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2E44" w:rsidRPr="00123A1B" w:rsidRDefault="00712E44" w:rsidP="00E67258">
      <w:pPr>
        <w:pStyle w:val="Nadpis2"/>
        <w:jc w:val="center"/>
        <w:rPr>
          <w:rFonts w:ascii="Times New Roman" w:hAnsi="Times New Roman" w:cs="Times New Roman"/>
          <w:bCs w:val="0"/>
          <w:i w:val="0"/>
          <w:sz w:val="44"/>
          <w:szCs w:val="44"/>
        </w:rPr>
      </w:pPr>
      <w:r w:rsidRPr="00123A1B">
        <w:rPr>
          <w:rFonts w:ascii="Times New Roman" w:hAnsi="Times New Roman" w:cs="Times New Roman"/>
          <w:bCs w:val="0"/>
          <w:i w:val="0"/>
          <w:sz w:val="44"/>
          <w:szCs w:val="44"/>
        </w:rPr>
        <w:t>Technická univerzita v Liberci</w:t>
      </w:r>
    </w:p>
    <w:p w:rsidR="00712E44" w:rsidRPr="00123A1B" w:rsidRDefault="00712E44" w:rsidP="00E67258">
      <w:pPr>
        <w:jc w:val="center"/>
        <w:rPr>
          <w:b/>
          <w:sz w:val="40"/>
          <w:szCs w:val="40"/>
        </w:rPr>
      </w:pPr>
      <w:r w:rsidRPr="00123A1B">
        <w:rPr>
          <w:b/>
          <w:sz w:val="40"/>
          <w:szCs w:val="40"/>
        </w:rPr>
        <w:t>Ekonomická fakulta</w:t>
      </w:r>
    </w:p>
    <w:p w:rsidR="00712E44" w:rsidRPr="00123A1B" w:rsidRDefault="00712E44" w:rsidP="00E67258">
      <w:pPr>
        <w:spacing w:line="360" w:lineRule="auto"/>
        <w:jc w:val="center"/>
        <w:rPr>
          <w:b/>
          <w:sz w:val="40"/>
          <w:szCs w:val="40"/>
        </w:rPr>
      </w:pPr>
    </w:p>
    <w:p w:rsidR="00712E44" w:rsidRDefault="00712E44" w:rsidP="00E67258">
      <w:pPr>
        <w:spacing w:line="360" w:lineRule="auto"/>
        <w:rPr>
          <w:b/>
        </w:rPr>
      </w:pPr>
    </w:p>
    <w:p w:rsidR="00712E44" w:rsidRDefault="00712E44" w:rsidP="00E67258">
      <w:pPr>
        <w:spacing w:line="360" w:lineRule="auto"/>
        <w:rPr>
          <w:b/>
        </w:rPr>
      </w:pPr>
    </w:p>
    <w:p w:rsidR="00712E44" w:rsidRDefault="00DC4908" w:rsidP="00E67258">
      <w:pPr>
        <w:spacing w:line="360" w:lineRule="auto"/>
        <w:jc w:val="center"/>
        <w:rPr>
          <w:b/>
        </w:rPr>
      </w:pPr>
      <w:r>
        <w:rPr>
          <w:noProof/>
          <w:lang w:eastAsia="cs-CZ"/>
        </w:rPr>
        <w:drawing>
          <wp:inline distT="0" distB="0" distL="0" distR="0">
            <wp:extent cx="2133600" cy="2133600"/>
            <wp:effectExtent l="1905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7"/>
                    <a:srcRect/>
                    <a:stretch>
                      <a:fillRect/>
                    </a:stretch>
                  </pic:blipFill>
                  <pic:spPr bwMode="auto">
                    <a:xfrm>
                      <a:off x="0" y="0"/>
                      <a:ext cx="2133600" cy="2133600"/>
                    </a:xfrm>
                    <a:prstGeom prst="rect">
                      <a:avLst/>
                    </a:prstGeom>
                    <a:noFill/>
                    <a:ln w="9525">
                      <a:noFill/>
                      <a:miter lim="800000"/>
                      <a:headEnd/>
                      <a:tailEnd/>
                    </a:ln>
                  </pic:spPr>
                </pic:pic>
              </a:graphicData>
            </a:graphic>
          </wp:inline>
        </w:drawing>
      </w:r>
    </w:p>
    <w:p w:rsidR="00712E44" w:rsidRDefault="00712E44" w:rsidP="00E67258">
      <w:pPr>
        <w:spacing w:line="360" w:lineRule="auto"/>
        <w:jc w:val="center"/>
        <w:rPr>
          <w:b/>
        </w:rPr>
      </w:pPr>
    </w:p>
    <w:p w:rsidR="00712E44" w:rsidRDefault="00712E44" w:rsidP="00E67258">
      <w:pPr>
        <w:spacing w:line="360" w:lineRule="auto"/>
        <w:jc w:val="center"/>
        <w:rPr>
          <w:b/>
        </w:rPr>
      </w:pPr>
    </w:p>
    <w:p w:rsidR="00712E44" w:rsidRPr="00123A1B" w:rsidRDefault="00712E44" w:rsidP="00E67258">
      <w:pPr>
        <w:spacing w:line="360" w:lineRule="auto"/>
        <w:jc w:val="center"/>
        <w:rPr>
          <w:b/>
          <w:bCs/>
          <w:sz w:val="40"/>
          <w:szCs w:val="40"/>
        </w:rPr>
      </w:pPr>
      <w:r w:rsidRPr="00123A1B">
        <w:rPr>
          <w:b/>
          <w:bCs/>
          <w:sz w:val="40"/>
          <w:szCs w:val="40"/>
        </w:rPr>
        <w:t>DIPLOMOVÁ PRÁ</w:t>
      </w:r>
      <w:r>
        <w:rPr>
          <w:b/>
          <w:bCs/>
          <w:sz w:val="40"/>
          <w:szCs w:val="40"/>
        </w:rPr>
        <w:t>C</w:t>
      </w:r>
      <w:r w:rsidRPr="00123A1B">
        <w:rPr>
          <w:b/>
          <w:bCs/>
          <w:sz w:val="40"/>
          <w:szCs w:val="40"/>
        </w:rPr>
        <w:t>E</w:t>
      </w:r>
    </w:p>
    <w:p w:rsidR="00712E44" w:rsidRDefault="00712E44" w:rsidP="00E67258">
      <w:pPr>
        <w:spacing w:line="360" w:lineRule="auto"/>
        <w:jc w:val="center"/>
        <w:rPr>
          <w:b/>
        </w:rPr>
      </w:pPr>
    </w:p>
    <w:p w:rsidR="00712E44" w:rsidRDefault="00712E44" w:rsidP="00E67258">
      <w:pPr>
        <w:spacing w:line="360" w:lineRule="auto"/>
        <w:jc w:val="center"/>
        <w:rPr>
          <w:b/>
        </w:rPr>
      </w:pPr>
    </w:p>
    <w:p w:rsidR="00712E44" w:rsidRDefault="00712E44" w:rsidP="00E67258">
      <w:pPr>
        <w:spacing w:line="360" w:lineRule="auto"/>
        <w:jc w:val="center"/>
        <w:rPr>
          <w:b/>
        </w:rPr>
      </w:pPr>
    </w:p>
    <w:p w:rsidR="00712E44" w:rsidRDefault="00712E44" w:rsidP="00E67258">
      <w:pPr>
        <w:spacing w:line="360" w:lineRule="auto"/>
        <w:jc w:val="center"/>
        <w:rPr>
          <w:b/>
        </w:rPr>
      </w:pPr>
    </w:p>
    <w:p w:rsidR="00712E44" w:rsidRDefault="00712E44" w:rsidP="00E67258">
      <w:pPr>
        <w:spacing w:line="360" w:lineRule="auto"/>
        <w:rPr>
          <w:b/>
        </w:rPr>
      </w:pPr>
    </w:p>
    <w:p w:rsidR="00712E44" w:rsidRDefault="00712E44" w:rsidP="00E67258">
      <w:pPr>
        <w:spacing w:line="360" w:lineRule="auto"/>
        <w:rPr>
          <w:b/>
        </w:rPr>
      </w:pPr>
    </w:p>
    <w:p w:rsidR="00712E44" w:rsidRDefault="00712E44" w:rsidP="00E67258">
      <w:pPr>
        <w:spacing w:line="360" w:lineRule="auto"/>
        <w:rPr>
          <w:b/>
        </w:rPr>
      </w:pPr>
    </w:p>
    <w:p w:rsidR="00712E44" w:rsidRDefault="00712E44" w:rsidP="00E67258"/>
    <w:p w:rsidR="00712E44" w:rsidRDefault="00712E44" w:rsidP="00E67258"/>
    <w:p w:rsidR="00712E44" w:rsidRDefault="00712E44" w:rsidP="00E67258">
      <w:pPr>
        <w:spacing w:line="360" w:lineRule="auto"/>
        <w:jc w:val="right"/>
        <w:rPr>
          <w:b/>
          <w:sz w:val="36"/>
          <w:szCs w:val="36"/>
        </w:rPr>
      </w:pPr>
    </w:p>
    <w:p w:rsidR="00712E44" w:rsidRDefault="00712E44" w:rsidP="00E67258">
      <w:pPr>
        <w:spacing w:line="360" w:lineRule="auto"/>
        <w:jc w:val="right"/>
        <w:rPr>
          <w:b/>
          <w:sz w:val="36"/>
          <w:szCs w:val="36"/>
        </w:rPr>
      </w:pPr>
    </w:p>
    <w:p w:rsidR="00712E44" w:rsidRDefault="00712E44" w:rsidP="00E67258">
      <w:pPr>
        <w:spacing w:line="360" w:lineRule="auto"/>
        <w:jc w:val="right"/>
        <w:rPr>
          <w:b/>
          <w:sz w:val="36"/>
          <w:szCs w:val="36"/>
        </w:rPr>
      </w:pPr>
    </w:p>
    <w:p w:rsidR="00712E44" w:rsidRPr="00123A1B" w:rsidRDefault="00712E44" w:rsidP="00E67258">
      <w:pPr>
        <w:spacing w:line="360" w:lineRule="auto"/>
        <w:jc w:val="right"/>
        <w:rPr>
          <w:b/>
          <w:sz w:val="36"/>
          <w:szCs w:val="36"/>
        </w:rPr>
      </w:pPr>
      <w:r w:rsidRPr="00123A1B">
        <w:rPr>
          <w:b/>
          <w:sz w:val="36"/>
          <w:szCs w:val="36"/>
        </w:rPr>
        <w:t xml:space="preserve">2011  </w:t>
      </w:r>
      <w:r>
        <w:rPr>
          <w:b/>
          <w:sz w:val="36"/>
          <w:szCs w:val="36"/>
        </w:rPr>
        <w:t xml:space="preserve">                                             </w:t>
      </w:r>
      <w:r w:rsidRPr="00123A1B">
        <w:rPr>
          <w:b/>
          <w:sz w:val="36"/>
          <w:szCs w:val="36"/>
        </w:rPr>
        <w:t>Bc. Andrea Nikodýmová</w:t>
      </w:r>
    </w:p>
    <w:p w:rsidR="00712E44" w:rsidRPr="00123A1B" w:rsidRDefault="00712E44" w:rsidP="00E67258">
      <w:pPr>
        <w:pStyle w:val="Nadpis2"/>
        <w:jc w:val="center"/>
        <w:rPr>
          <w:rFonts w:ascii="Times New Roman" w:hAnsi="Times New Roman" w:cs="Times New Roman"/>
          <w:bCs w:val="0"/>
          <w:i w:val="0"/>
          <w:sz w:val="44"/>
          <w:szCs w:val="44"/>
        </w:rPr>
      </w:pPr>
      <w:r w:rsidRPr="00123A1B">
        <w:rPr>
          <w:rFonts w:ascii="Times New Roman" w:hAnsi="Times New Roman" w:cs="Times New Roman"/>
          <w:bCs w:val="0"/>
          <w:i w:val="0"/>
          <w:sz w:val="44"/>
          <w:szCs w:val="44"/>
        </w:rPr>
        <w:lastRenderedPageBreak/>
        <w:t>Technická univerzita v Liberci</w:t>
      </w:r>
    </w:p>
    <w:p w:rsidR="00712E44" w:rsidRPr="00123A1B" w:rsidRDefault="00712E44" w:rsidP="00E67258">
      <w:pPr>
        <w:jc w:val="center"/>
        <w:rPr>
          <w:b/>
          <w:sz w:val="40"/>
          <w:szCs w:val="40"/>
        </w:rPr>
      </w:pPr>
      <w:r w:rsidRPr="00123A1B">
        <w:rPr>
          <w:b/>
          <w:sz w:val="40"/>
          <w:szCs w:val="40"/>
        </w:rPr>
        <w:t>Ekonomická fakulta</w:t>
      </w:r>
    </w:p>
    <w:p w:rsidR="00712E44" w:rsidRPr="00123A1B" w:rsidRDefault="00712E44" w:rsidP="00E67258">
      <w:pPr>
        <w:spacing w:line="360" w:lineRule="auto"/>
        <w:jc w:val="center"/>
        <w:rPr>
          <w:b/>
          <w:sz w:val="40"/>
          <w:szCs w:val="40"/>
        </w:rPr>
      </w:pPr>
    </w:p>
    <w:p w:rsidR="00712E44" w:rsidRPr="00D90CCE" w:rsidRDefault="00712E44" w:rsidP="00E67258">
      <w:pPr>
        <w:rPr>
          <w:sz w:val="28"/>
          <w:szCs w:val="28"/>
        </w:rPr>
      </w:pPr>
      <w:r w:rsidRPr="00D90CCE">
        <w:rPr>
          <w:sz w:val="28"/>
          <w:szCs w:val="28"/>
        </w:rPr>
        <w:t xml:space="preserve">Studijní program: </w:t>
      </w:r>
      <w:r>
        <w:rPr>
          <w:sz w:val="28"/>
          <w:szCs w:val="28"/>
        </w:rPr>
        <w:tab/>
      </w:r>
      <w:r>
        <w:rPr>
          <w:sz w:val="28"/>
          <w:szCs w:val="28"/>
        </w:rPr>
        <w:tab/>
        <w:t xml:space="preserve">B </w:t>
      </w:r>
      <w:r w:rsidRPr="00D90CCE">
        <w:rPr>
          <w:sz w:val="28"/>
          <w:szCs w:val="28"/>
        </w:rPr>
        <w:t>6208 – Ekonomika a management</w:t>
      </w:r>
    </w:p>
    <w:p w:rsidR="00712E44" w:rsidRPr="00D90CCE" w:rsidRDefault="00712E44" w:rsidP="00E67258">
      <w:pPr>
        <w:rPr>
          <w:sz w:val="28"/>
          <w:szCs w:val="28"/>
        </w:rPr>
      </w:pPr>
      <w:r w:rsidRPr="00D90CCE">
        <w:rPr>
          <w:sz w:val="28"/>
          <w:szCs w:val="28"/>
        </w:rPr>
        <w:t xml:space="preserve">Studijní obor: </w:t>
      </w:r>
      <w:r>
        <w:rPr>
          <w:sz w:val="28"/>
          <w:szCs w:val="28"/>
        </w:rPr>
        <w:tab/>
      </w:r>
      <w:r>
        <w:rPr>
          <w:sz w:val="28"/>
          <w:szCs w:val="28"/>
        </w:rPr>
        <w:tab/>
      </w:r>
      <w:r w:rsidRPr="00D90CCE">
        <w:rPr>
          <w:sz w:val="28"/>
          <w:szCs w:val="28"/>
        </w:rPr>
        <w:t>Podniková ekonomika</w:t>
      </w:r>
    </w:p>
    <w:p w:rsidR="00712E44" w:rsidRPr="00D90CCE" w:rsidRDefault="00712E44" w:rsidP="00E67258">
      <w:pPr>
        <w:rPr>
          <w:sz w:val="28"/>
          <w:szCs w:val="28"/>
        </w:rPr>
      </w:pPr>
    </w:p>
    <w:p w:rsidR="00712E44" w:rsidRDefault="00712E44" w:rsidP="00E67258">
      <w:pPr>
        <w:spacing w:line="360" w:lineRule="auto"/>
        <w:rPr>
          <w:b/>
        </w:rPr>
      </w:pPr>
    </w:p>
    <w:p w:rsidR="00712E44" w:rsidRDefault="00712E44" w:rsidP="00E67258">
      <w:pPr>
        <w:spacing w:line="360" w:lineRule="auto"/>
      </w:pPr>
    </w:p>
    <w:p w:rsidR="00712E44" w:rsidRDefault="00712E44" w:rsidP="00E67258">
      <w:pPr>
        <w:spacing w:line="360" w:lineRule="auto"/>
        <w:rPr>
          <w:b/>
        </w:rPr>
      </w:pPr>
    </w:p>
    <w:p w:rsidR="00712E44" w:rsidRDefault="00712E44" w:rsidP="00E67258">
      <w:pPr>
        <w:jc w:val="center"/>
        <w:rPr>
          <w:b/>
          <w:bCs/>
          <w:sz w:val="28"/>
        </w:rPr>
      </w:pPr>
    </w:p>
    <w:p w:rsidR="00712E44" w:rsidRPr="009354D1" w:rsidRDefault="00712E44" w:rsidP="009354D1">
      <w:pPr>
        <w:pStyle w:val="Nadpis4"/>
        <w:jc w:val="center"/>
        <w:rPr>
          <w:rFonts w:ascii="Times New Roman" w:hAnsi="Times New Roman"/>
          <w:bCs w:val="0"/>
          <w:i w:val="0"/>
          <w:color w:val="auto"/>
          <w:sz w:val="28"/>
          <w:szCs w:val="28"/>
        </w:rPr>
      </w:pPr>
      <w:r w:rsidRPr="009354D1">
        <w:rPr>
          <w:rFonts w:ascii="Times New Roman" w:hAnsi="Times New Roman"/>
          <w:bCs w:val="0"/>
          <w:i w:val="0"/>
          <w:color w:val="auto"/>
          <w:sz w:val="28"/>
          <w:szCs w:val="28"/>
        </w:rPr>
        <w:t>Slovenská republika jako součást eurozóny</w:t>
      </w:r>
    </w:p>
    <w:p w:rsidR="00712E44" w:rsidRPr="009354D1" w:rsidRDefault="00712E44" w:rsidP="009354D1">
      <w:pPr>
        <w:spacing w:line="360" w:lineRule="auto"/>
        <w:jc w:val="center"/>
        <w:rPr>
          <w:b/>
          <w:sz w:val="28"/>
          <w:szCs w:val="28"/>
        </w:rPr>
      </w:pPr>
    </w:p>
    <w:p w:rsidR="00712E44" w:rsidRPr="009354D1" w:rsidRDefault="00712E44" w:rsidP="009354D1">
      <w:pPr>
        <w:pStyle w:val="Nadpis3"/>
        <w:jc w:val="center"/>
        <w:rPr>
          <w:sz w:val="28"/>
          <w:szCs w:val="28"/>
        </w:rPr>
      </w:pPr>
      <w:r w:rsidRPr="009354D1">
        <w:rPr>
          <w:sz w:val="28"/>
          <w:szCs w:val="28"/>
        </w:rPr>
        <w:t>The Slovak Republic as a Part of the Euro Area</w:t>
      </w:r>
    </w:p>
    <w:p w:rsidR="00712E44" w:rsidRPr="009354D1" w:rsidRDefault="00712E44" w:rsidP="009354D1">
      <w:pPr>
        <w:jc w:val="center"/>
        <w:rPr>
          <w:b/>
          <w:sz w:val="28"/>
          <w:szCs w:val="28"/>
        </w:rPr>
      </w:pPr>
    </w:p>
    <w:p w:rsidR="00712E44" w:rsidRPr="009354D1" w:rsidRDefault="00712E44" w:rsidP="009354D1">
      <w:pPr>
        <w:pStyle w:val="Nadpis3"/>
        <w:jc w:val="center"/>
        <w:rPr>
          <w:sz w:val="28"/>
          <w:szCs w:val="28"/>
        </w:rPr>
      </w:pPr>
      <w:r w:rsidRPr="009354D1">
        <w:rPr>
          <w:sz w:val="28"/>
          <w:szCs w:val="28"/>
        </w:rPr>
        <w:t>DP - EF - KEK - 2011 - 42</w:t>
      </w:r>
    </w:p>
    <w:p w:rsidR="00712E44" w:rsidRDefault="00712E44" w:rsidP="00E67258">
      <w:pPr>
        <w:spacing w:line="360" w:lineRule="auto"/>
        <w:jc w:val="right"/>
      </w:pPr>
    </w:p>
    <w:p w:rsidR="00712E44" w:rsidRDefault="00712E44" w:rsidP="00E67258">
      <w:pPr>
        <w:spacing w:line="360" w:lineRule="auto"/>
        <w:jc w:val="right"/>
      </w:pPr>
    </w:p>
    <w:p w:rsidR="00712E44" w:rsidRDefault="00712E44" w:rsidP="00E67258">
      <w:pPr>
        <w:jc w:val="center"/>
      </w:pPr>
      <w:r>
        <w:t>Bc. ANDREA NIKODÝMOVÁ</w:t>
      </w:r>
    </w:p>
    <w:p w:rsidR="00712E44" w:rsidRDefault="00712E44" w:rsidP="00E67258">
      <w:pPr>
        <w:spacing w:line="360" w:lineRule="auto"/>
        <w:jc w:val="right"/>
      </w:pPr>
    </w:p>
    <w:p w:rsidR="00712E44" w:rsidRDefault="00712E44" w:rsidP="00E67258">
      <w:pPr>
        <w:spacing w:line="360" w:lineRule="auto"/>
      </w:pPr>
    </w:p>
    <w:p w:rsidR="00712E44" w:rsidRDefault="00712E44" w:rsidP="00E67258">
      <w:pPr>
        <w:spacing w:line="360" w:lineRule="auto"/>
      </w:pPr>
    </w:p>
    <w:p w:rsidR="00712E44" w:rsidRDefault="00712E44" w:rsidP="00E67258">
      <w:pPr>
        <w:spacing w:line="360" w:lineRule="auto"/>
      </w:pPr>
    </w:p>
    <w:p w:rsidR="00712E44" w:rsidRDefault="00712E44" w:rsidP="00E67258">
      <w:pPr>
        <w:spacing w:line="360" w:lineRule="auto"/>
      </w:pPr>
    </w:p>
    <w:p w:rsidR="00712E44" w:rsidRDefault="00712E44" w:rsidP="00E67258">
      <w:pPr>
        <w:spacing w:line="360" w:lineRule="auto"/>
      </w:pPr>
    </w:p>
    <w:p w:rsidR="00712E44" w:rsidRDefault="00712E44" w:rsidP="00E67258">
      <w:pPr>
        <w:spacing w:line="360" w:lineRule="auto"/>
      </w:pPr>
    </w:p>
    <w:p w:rsidR="00712E44" w:rsidRPr="00E504BC" w:rsidRDefault="00712E44" w:rsidP="00E67258">
      <w:pPr>
        <w:spacing w:line="360" w:lineRule="auto"/>
      </w:pPr>
      <w:r w:rsidRPr="00E504BC">
        <w:t xml:space="preserve">Vedoucí práce: </w:t>
      </w:r>
      <w:r w:rsidRPr="00E504BC">
        <w:tab/>
        <w:t>Ph</w:t>
      </w:r>
      <w:r>
        <w:t>Dr. Ing. Pavla Bednář</w:t>
      </w:r>
      <w:r w:rsidRPr="00E504BC">
        <w:t>ov</w:t>
      </w:r>
      <w:r>
        <w:t>á</w:t>
      </w:r>
      <w:r w:rsidRPr="00E504BC">
        <w:t>, Ph.D., katedra ekonomie</w:t>
      </w:r>
    </w:p>
    <w:p w:rsidR="00712E44" w:rsidRPr="00E504BC" w:rsidRDefault="00712E44" w:rsidP="00E67258">
      <w:pPr>
        <w:spacing w:line="360" w:lineRule="auto"/>
      </w:pPr>
      <w:r w:rsidRPr="00E504BC">
        <w:t xml:space="preserve">Konzultant: </w:t>
      </w:r>
      <w:r w:rsidRPr="00E504BC">
        <w:tab/>
        <w:t xml:space="preserve">  </w:t>
      </w:r>
      <w:r w:rsidRPr="00E504BC">
        <w:tab/>
        <w:t>Ing. Jana Šimanová, Technická univerzita v Liberci, katedra ekonomie</w:t>
      </w:r>
    </w:p>
    <w:p w:rsidR="00712E44" w:rsidRDefault="00712E44" w:rsidP="00E67258">
      <w:pPr>
        <w:spacing w:line="360" w:lineRule="auto"/>
      </w:pPr>
    </w:p>
    <w:p w:rsidR="00712E44" w:rsidRDefault="00712E44" w:rsidP="00E67258">
      <w:pPr>
        <w:spacing w:line="360" w:lineRule="auto"/>
      </w:pPr>
    </w:p>
    <w:p w:rsidR="00712E44" w:rsidRDefault="00712E44" w:rsidP="00E67258">
      <w:pPr>
        <w:spacing w:line="360" w:lineRule="auto"/>
      </w:pPr>
    </w:p>
    <w:p w:rsidR="00712E44" w:rsidRDefault="00712E44" w:rsidP="00E67258">
      <w:r>
        <w:t>Počet stran: 9</w:t>
      </w:r>
      <w:r w:rsidR="00DD21F8">
        <w:t>1</w:t>
      </w:r>
      <w:r>
        <w:t xml:space="preserve">                                                                                         </w:t>
      </w:r>
      <w:r>
        <w:tab/>
        <w:t xml:space="preserve"> Počet příloh  </w:t>
      </w:r>
      <w:r w:rsidR="00DD21F8">
        <w:t>4</w:t>
      </w:r>
    </w:p>
    <w:p w:rsidR="00712E44" w:rsidRDefault="00712E44" w:rsidP="00E67258">
      <w:r>
        <w:t>Datum odevzdání: 6. 5. 2011</w:t>
      </w:r>
    </w:p>
    <w:p w:rsidR="00712E44" w:rsidRDefault="00712E44" w:rsidP="00E67258">
      <w:pPr>
        <w:pageBreakBefore/>
        <w:spacing w:line="360" w:lineRule="auto"/>
        <w:rPr>
          <w:b/>
        </w:rPr>
      </w:pPr>
      <w:r w:rsidRPr="00E67258">
        <w:rPr>
          <w:b/>
          <w:highlight w:val="lightGray"/>
        </w:rPr>
        <w:lastRenderedPageBreak/>
        <w:t>Vložit zadání</w:t>
      </w:r>
      <w:r>
        <w:rPr>
          <w:b/>
          <w:highlight w:val="lightGray"/>
        </w:rPr>
        <w:t xml:space="preserve"> </w:t>
      </w:r>
      <w:r w:rsidRPr="00E67258">
        <w:rPr>
          <w:b/>
          <w:highlight w:val="lightGray"/>
        </w:rPr>
        <w:t>1</w:t>
      </w:r>
    </w:p>
    <w:p w:rsidR="00712E44" w:rsidRDefault="00712E44" w:rsidP="00E67258">
      <w:pPr>
        <w:pageBreakBefore/>
        <w:spacing w:line="360" w:lineRule="auto"/>
        <w:rPr>
          <w:b/>
        </w:rPr>
      </w:pPr>
      <w:r w:rsidRPr="00E67258">
        <w:rPr>
          <w:b/>
          <w:highlight w:val="lightGray"/>
        </w:rPr>
        <w:lastRenderedPageBreak/>
        <w:t>Vložit zadání 2</w:t>
      </w:r>
    </w:p>
    <w:p w:rsidR="00712E44" w:rsidRPr="00E67258" w:rsidRDefault="00712E44" w:rsidP="00E67258">
      <w:pPr>
        <w:spacing w:line="360" w:lineRule="auto"/>
        <w:rPr>
          <w:b/>
        </w:rPr>
      </w:pPr>
    </w:p>
    <w:p w:rsidR="00712E44" w:rsidRDefault="00712E44" w:rsidP="00E67258">
      <w:pPr>
        <w:pageBreakBefore/>
        <w:jc w:val="center"/>
        <w:rPr>
          <w:b/>
        </w:rPr>
        <w:sectPr w:rsidR="00712E44" w:rsidSect="00D64977">
          <w:footerReference w:type="default" r:id="rId8"/>
          <w:pgSz w:w="11906" w:h="16838"/>
          <w:pgMar w:top="1417" w:right="1417" w:bottom="1417" w:left="1417" w:header="708" w:footer="708" w:gutter="0"/>
          <w:cols w:space="708"/>
          <w:docGrid w:linePitch="360"/>
        </w:sectPr>
      </w:pPr>
    </w:p>
    <w:p w:rsidR="00712E44" w:rsidRDefault="00712E44" w:rsidP="00E67258">
      <w:pPr>
        <w:pageBreakBefore/>
        <w:jc w:val="center"/>
      </w:pPr>
      <w:r>
        <w:rPr>
          <w:b/>
        </w:rPr>
        <w:lastRenderedPageBreak/>
        <w:t>Prohlášení</w:t>
      </w:r>
    </w:p>
    <w:p w:rsidR="00712E44" w:rsidRDefault="00712E44" w:rsidP="00DD55D3">
      <w:pPr>
        <w:jc w:val="both"/>
      </w:pPr>
    </w:p>
    <w:p w:rsidR="00712E44" w:rsidRDefault="00712E44" w:rsidP="00DD55D3">
      <w:pPr>
        <w:jc w:val="both"/>
      </w:pPr>
      <w:r>
        <w:t>Byl(a) jsem seznámen(a) s tím, že na mou diplomovou práci se plně vztahuje zákon č. 121/2000 Sb., o právu autorském, zejména § 60 – školní dílo.</w:t>
      </w:r>
    </w:p>
    <w:p w:rsidR="00712E44" w:rsidRDefault="00712E44" w:rsidP="00DD55D3">
      <w:pPr>
        <w:jc w:val="both"/>
      </w:pPr>
    </w:p>
    <w:p w:rsidR="00712E44" w:rsidRDefault="00712E44" w:rsidP="00DD55D3">
      <w:pPr>
        <w:jc w:val="both"/>
      </w:pPr>
      <w:r>
        <w:t>Beru na vědomí, že Technická univerzita v Liberci (TUL) nezasahuje do mých autorských práv užitím mé diplomové práce pro vnitřní potřebu TUL.</w:t>
      </w:r>
    </w:p>
    <w:p w:rsidR="00712E44" w:rsidRDefault="00712E44" w:rsidP="00DD55D3">
      <w:pPr>
        <w:jc w:val="both"/>
      </w:pPr>
    </w:p>
    <w:p w:rsidR="00712E44" w:rsidRDefault="00712E44" w:rsidP="00DD55D3">
      <w:pPr>
        <w:jc w:val="both"/>
      </w:pPr>
      <w:r>
        <w:t>Užiji-li diplomovou práci nebo poskytnu-li licenci k jejímu využití, jsem si vědom(a) povinnosti informovat o této skutečnosti TUL</w:t>
      </w:r>
      <w:r w:rsidRPr="00EE27D1">
        <w:t>;</w:t>
      </w:r>
      <w:r>
        <w:t xml:space="preserve"> v tomto případě má TUL právo ode mne požadovat úhradu nákladů, které vynaložila na vytvoření díla, až do jejich skutečné výše.</w:t>
      </w:r>
    </w:p>
    <w:p w:rsidR="00712E44" w:rsidRDefault="00712E44" w:rsidP="00DD55D3">
      <w:pPr>
        <w:jc w:val="both"/>
      </w:pPr>
    </w:p>
    <w:p w:rsidR="00712E44" w:rsidRDefault="00712E44" w:rsidP="00DD55D3">
      <w:pPr>
        <w:jc w:val="both"/>
      </w:pPr>
      <w:r>
        <w:t>Diplomovou práci jsem vypracoval(a) samostatně s použitím uvedené literatury a na základě konzultací s vedoucím diplomové práce a konzultantem.</w:t>
      </w:r>
    </w:p>
    <w:p w:rsidR="00712E44" w:rsidRDefault="00712E44" w:rsidP="00DD55D3">
      <w:pPr>
        <w:jc w:val="both"/>
      </w:pPr>
    </w:p>
    <w:p w:rsidR="00712E44" w:rsidRDefault="00712E44" w:rsidP="00DD55D3">
      <w:pPr>
        <w:jc w:val="both"/>
      </w:pPr>
    </w:p>
    <w:p w:rsidR="00712E44" w:rsidRDefault="00712E44" w:rsidP="00DD55D3">
      <w:pPr>
        <w:jc w:val="both"/>
      </w:pPr>
    </w:p>
    <w:p w:rsidR="00712E44" w:rsidRDefault="00712E44" w:rsidP="00DD55D3">
      <w:pPr>
        <w:jc w:val="both"/>
      </w:pPr>
      <w:r>
        <w:t>V Liberci, 6.5.2011</w:t>
      </w:r>
    </w:p>
    <w:p w:rsidR="00712E44" w:rsidRDefault="00712E44" w:rsidP="00DD55D3">
      <w:pPr>
        <w:jc w:val="both"/>
      </w:pPr>
    </w:p>
    <w:p w:rsidR="00712E44" w:rsidRDefault="00712E44" w:rsidP="00DD55D3">
      <w:pPr>
        <w:jc w:val="both"/>
      </w:pPr>
    </w:p>
    <w:p w:rsidR="00712E44" w:rsidRDefault="00712E44" w:rsidP="00DD55D3">
      <w:pPr>
        <w:jc w:val="both"/>
      </w:pPr>
    </w:p>
    <w:p w:rsidR="00712E44" w:rsidRDefault="00712E44" w:rsidP="00DD55D3">
      <w:pPr>
        <w:jc w:val="both"/>
      </w:pPr>
    </w:p>
    <w:p w:rsidR="00712E44" w:rsidRDefault="00712E44" w:rsidP="00DD55D3">
      <w:pPr>
        <w:jc w:val="both"/>
      </w:pPr>
    </w:p>
    <w:p w:rsidR="00712E44" w:rsidRDefault="00712E44" w:rsidP="00DD55D3">
      <w:pPr>
        <w:pStyle w:val="Nadpis1"/>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r>
        <w:rPr>
          <w:sz w:val="26"/>
        </w:rPr>
        <w:lastRenderedPageBreak/>
        <w:t>Poděkování</w:t>
      </w:r>
    </w:p>
    <w:p w:rsidR="00712E44" w:rsidRDefault="00712E44" w:rsidP="00DD55D3">
      <w:pPr>
        <w:pStyle w:val="Zkladntext"/>
        <w:spacing w:line="360" w:lineRule="auto"/>
        <w:jc w:val="both"/>
      </w:pPr>
      <w:r>
        <w:t xml:space="preserve">Touto cestou bych ráda poděkovala všem, kteří mi pomáhali při zpracování diplomové práce, konkrétně účastníkům dotazníkového šetření, díky kterým jsem získala mnoho zajímavých </w:t>
      </w:r>
      <w:r>
        <w:br/>
        <w:t xml:space="preserve">a hodnotných rad a informací ohledně zpracované problematiky. Za trpělivou podporu, povzbuzování a pomocnou ruku děkuji celé své nejbližší rodině, která mě podržela vždy, </w:t>
      </w:r>
      <w:r>
        <w:br/>
        <w:t xml:space="preserve">když jsem to nejvíce potřebovala. </w:t>
      </w:r>
    </w:p>
    <w:p w:rsidR="00712E44" w:rsidRDefault="00712E44" w:rsidP="00DD55D3">
      <w:pPr>
        <w:pStyle w:val="Nadpis3"/>
        <w:spacing w:line="360" w:lineRule="auto"/>
        <w:jc w:val="both"/>
        <w:rPr>
          <w:sz w:val="26"/>
        </w:rPr>
      </w:pPr>
      <w:r>
        <w:rPr>
          <w:rFonts w:eastAsia="Arial Unicode MS"/>
          <w:b w:val="0"/>
          <w:bCs w:val="0"/>
          <w:kern w:val="1"/>
          <w:sz w:val="24"/>
          <w:szCs w:val="24"/>
          <w:lang w:eastAsia="en-US"/>
        </w:rPr>
        <w:t xml:space="preserve">Velké díky patří i vedoucí mé diplomové práce, paní PhDr. Ing. Pavle Bednářové, Ph.D., </w:t>
      </w:r>
      <w:r>
        <w:rPr>
          <w:rFonts w:eastAsia="Arial Unicode MS"/>
          <w:b w:val="0"/>
          <w:bCs w:val="0"/>
          <w:kern w:val="1"/>
          <w:sz w:val="24"/>
          <w:szCs w:val="24"/>
          <w:lang w:eastAsia="en-US"/>
        </w:rPr>
        <w:br/>
        <w:t>za její trpělivost, pomoc, cenné rady a připomínky.</w:t>
      </w:r>
      <w:r>
        <w:rPr>
          <w:sz w:val="26"/>
        </w:rPr>
        <w:t xml:space="preserve"> </w:t>
      </w: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pStyle w:val="Nadpis3"/>
        <w:spacing w:line="360" w:lineRule="auto"/>
        <w:jc w:val="both"/>
        <w:rPr>
          <w:sz w:val="26"/>
        </w:rPr>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pStyle w:val="Nadpis3"/>
        <w:spacing w:line="360" w:lineRule="auto"/>
        <w:rPr>
          <w:sz w:val="26"/>
        </w:rPr>
      </w:pPr>
    </w:p>
    <w:p w:rsidR="00712E44" w:rsidRDefault="00712E44" w:rsidP="00DD55D3">
      <w:pPr>
        <w:pStyle w:val="Nadpis3"/>
        <w:spacing w:line="360" w:lineRule="auto"/>
        <w:rPr>
          <w:sz w:val="26"/>
        </w:rPr>
      </w:pPr>
    </w:p>
    <w:p w:rsidR="00712E44" w:rsidRDefault="00712E44" w:rsidP="00DD55D3">
      <w:pPr>
        <w:pStyle w:val="Nadpis3"/>
        <w:spacing w:line="360" w:lineRule="auto"/>
        <w:rPr>
          <w:sz w:val="26"/>
        </w:rPr>
      </w:pPr>
    </w:p>
    <w:p w:rsidR="00712E44" w:rsidRDefault="00712E44" w:rsidP="00EC5C16">
      <w:pPr>
        <w:pStyle w:val="Nadpis3"/>
        <w:spacing w:before="0" w:beforeAutospacing="0" w:after="0" w:afterAutospacing="0" w:line="360" w:lineRule="auto"/>
        <w:rPr>
          <w:sz w:val="26"/>
        </w:rPr>
      </w:pPr>
      <w:r>
        <w:rPr>
          <w:sz w:val="26"/>
        </w:rPr>
        <w:lastRenderedPageBreak/>
        <w:t>Anotace</w:t>
      </w:r>
    </w:p>
    <w:p w:rsidR="00712E44" w:rsidRDefault="00712E44" w:rsidP="00EC5C16">
      <w:pPr>
        <w:spacing w:line="360" w:lineRule="auto"/>
      </w:pPr>
    </w:p>
    <w:p w:rsidR="00712E44" w:rsidRDefault="00712E44" w:rsidP="00EC5C16">
      <w:pPr>
        <w:spacing w:line="360" w:lineRule="auto"/>
      </w:pPr>
      <w:r>
        <w:t>Autor:</w:t>
      </w:r>
      <w:r>
        <w:tab/>
        <w:t xml:space="preserve">   Andrea Nikodýmová</w:t>
      </w:r>
    </w:p>
    <w:p w:rsidR="00712E44" w:rsidRDefault="00712E44" w:rsidP="00EC5C16">
      <w:pPr>
        <w:spacing w:line="360" w:lineRule="auto"/>
      </w:pPr>
    </w:p>
    <w:p w:rsidR="00712E44" w:rsidRDefault="00712E44" w:rsidP="00EC5C16">
      <w:pPr>
        <w:pStyle w:val="Zkladntext"/>
        <w:spacing w:after="0" w:line="360" w:lineRule="auto"/>
        <w:jc w:val="both"/>
      </w:pPr>
      <w:r>
        <w:t>V současné době se pojmy Evropská měnová unie, eurozóna, euro skloňují v mnoha podobách a souvislostech. Hlavním cílem diplomové práce je stručně analyzovat tyto pojmy v konkrétní podobě, a to ve smyslu zavedení nové měny – eura na Slovensku.</w:t>
      </w:r>
    </w:p>
    <w:p w:rsidR="00712E44" w:rsidRDefault="00712E44" w:rsidP="00EC5C16">
      <w:pPr>
        <w:pStyle w:val="Zkladntext"/>
        <w:spacing w:after="0" w:line="360" w:lineRule="auto"/>
        <w:jc w:val="both"/>
      </w:pPr>
    </w:p>
    <w:p w:rsidR="00712E44" w:rsidRDefault="00712E44" w:rsidP="00EC5C16">
      <w:pPr>
        <w:pStyle w:val="Zkladntext"/>
        <w:spacing w:after="0" w:line="360" w:lineRule="auto"/>
        <w:jc w:val="both"/>
      </w:pPr>
      <w:r>
        <w:t>Autor se snaží čtenáři přiblížit průběh celého procesu zavádění společné evropské měny. Popisuje cestu za úplnou integrací Slovenské republiky.</w:t>
      </w:r>
    </w:p>
    <w:p w:rsidR="00712E44" w:rsidRDefault="00712E44" w:rsidP="00EC5C16">
      <w:pPr>
        <w:pStyle w:val="Zkladntext"/>
        <w:spacing w:line="360" w:lineRule="auto"/>
        <w:jc w:val="both"/>
      </w:pPr>
    </w:p>
    <w:p w:rsidR="00712E44" w:rsidRDefault="00712E44" w:rsidP="00EC5C16">
      <w:pPr>
        <w:pStyle w:val="Zkladntext"/>
        <w:spacing w:line="360" w:lineRule="auto"/>
        <w:jc w:val="both"/>
      </w:pPr>
      <w:r>
        <w:t xml:space="preserve">První část je nosnou částí diplomové práce, protože se věnuje popisu celého integračního postupu Slovenské republiky ve smyslu zavedení nové společné evropské měny – eura. </w:t>
      </w:r>
      <w:r w:rsidR="00C1227E">
        <w:t xml:space="preserve">Současně </w:t>
      </w:r>
      <w:r w:rsidR="0043303F">
        <w:t>analyzuje</w:t>
      </w:r>
      <w:r w:rsidR="00C1227E">
        <w:t xml:space="preserve"> přímé výhody, nepřímé přínosy, rizika a nevýhody spojené se zavedením nové měny</w:t>
      </w:r>
      <w:r w:rsidR="00C850B4">
        <w:t xml:space="preserve"> do oběhu</w:t>
      </w:r>
      <w:r w:rsidR="00C1227E">
        <w:t>, které se projevil</w:t>
      </w:r>
      <w:r w:rsidR="00C850B4">
        <w:t xml:space="preserve">y ve slovenské ekonomice během roku 2009 a 2010. </w:t>
      </w:r>
    </w:p>
    <w:p w:rsidR="00712E44" w:rsidRDefault="00712E44" w:rsidP="00EC5C16">
      <w:pPr>
        <w:spacing w:line="360" w:lineRule="auto"/>
        <w:jc w:val="both"/>
      </w:pPr>
    </w:p>
    <w:p w:rsidR="00712E44" w:rsidRDefault="00712E44" w:rsidP="00EC5C16">
      <w:pPr>
        <w:spacing w:line="360" w:lineRule="auto"/>
        <w:jc w:val="both"/>
      </w:pPr>
      <w:r>
        <w:t>Další část je praktická a rozebírá sesbírané informace zjištěné dotazníkovým šetřením. Jejím hlavním úkolem je načrtnout čtenáři z několika hledisek převládající názory občanů na novou měnu nabyté prostřednictvím jejího aktivního používání.</w:t>
      </w:r>
    </w:p>
    <w:p w:rsidR="00712E44" w:rsidRDefault="00712E44" w:rsidP="00EC5C16">
      <w:pPr>
        <w:spacing w:line="360" w:lineRule="auto"/>
        <w:jc w:val="both"/>
      </w:pPr>
    </w:p>
    <w:p w:rsidR="00712E44" w:rsidRDefault="00712E44" w:rsidP="00EC5C16">
      <w:pPr>
        <w:spacing w:line="360" w:lineRule="auto"/>
        <w:jc w:val="both"/>
      </w:pPr>
      <w:r>
        <w:t xml:space="preserve">Poslední část přináší zhodnocení dosažených cílů a vyhodnocení stanovených hypotéz z první kapitoly. Závěr práce je zaměřen na shrnutí zjištěných přínosů i nákladů spojených </w:t>
      </w:r>
      <w:r>
        <w:br/>
        <w:t xml:space="preserve">se zaváděním nové měny obecně, ale především konkrétně eura na Slovensku. Analyzuje důsledky hospodaření Slovenska v roce 2009 a 2010 nejenom z hlediska nové měny, nýbrž také na základě vlivu hospodářské krize.  </w:t>
      </w:r>
    </w:p>
    <w:p w:rsidR="00712E44" w:rsidRDefault="00712E44" w:rsidP="00EC5C16">
      <w:pPr>
        <w:autoSpaceDE w:val="0"/>
        <w:autoSpaceDN w:val="0"/>
        <w:adjustRightInd w:val="0"/>
        <w:spacing w:line="360" w:lineRule="auto"/>
        <w:jc w:val="both"/>
        <w:rPr>
          <w:rFonts w:ascii="ArialMT" w:hAnsi="ArialMT"/>
          <w:szCs w:val="18"/>
        </w:rPr>
      </w:pPr>
    </w:p>
    <w:p w:rsidR="00712E44" w:rsidRDefault="00712E44" w:rsidP="00EC5C16">
      <w:pPr>
        <w:autoSpaceDE w:val="0"/>
        <w:autoSpaceDN w:val="0"/>
        <w:adjustRightInd w:val="0"/>
        <w:spacing w:line="360" w:lineRule="auto"/>
        <w:jc w:val="both"/>
      </w:pPr>
      <w:r w:rsidRPr="004F5529">
        <w:rPr>
          <w:b/>
          <w:sz w:val="28"/>
          <w:szCs w:val="28"/>
        </w:rPr>
        <w:t>Klíčová slova</w:t>
      </w:r>
      <w:r>
        <w:rPr>
          <w:b/>
          <w:sz w:val="28"/>
          <w:szCs w:val="28"/>
        </w:rPr>
        <w:t>:</w:t>
      </w:r>
    </w:p>
    <w:p w:rsidR="00712E44" w:rsidRDefault="00712E44" w:rsidP="00EC5C16">
      <w:pPr>
        <w:autoSpaceDE w:val="0"/>
        <w:autoSpaceDN w:val="0"/>
        <w:adjustRightInd w:val="0"/>
        <w:spacing w:line="360" w:lineRule="auto"/>
        <w:jc w:val="both"/>
      </w:pPr>
    </w:p>
    <w:p w:rsidR="00712E44" w:rsidRPr="004F5529" w:rsidRDefault="00712E44" w:rsidP="00EC5C16">
      <w:pPr>
        <w:autoSpaceDE w:val="0"/>
        <w:autoSpaceDN w:val="0"/>
        <w:adjustRightInd w:val="0"/>
        <w:spacing w:line="360" w:lineRule="auto"/>
        <w:jc w:val="both"/>
      </w:pPr>
      <w:r>
        <w:t>dotazníkové šetření, ekonomický růst, euro, eurozóna, Evropská měnová unie, hospodářská krize, inflace, integrace, měna, náklady eura, nezaměstnanost, přínosy eura</w:t>
      </w:r>
    </w:p>
    <w:p w:rsidR="00712E44" w:rsidRDefault="00712E44" w:rsidP="00DD55D3">
      <w:pPr>
        <w:autoSpaceDE w:val="0"/>
        <w:autoSpaceDN w:val="0"/>
        <w:adjustRightInd w:val="0"/>
        <w:spacing w:line="360" w:lineRule="auto"/>
        <w:jc w:val="both"/>
        <w:rPr>
          <w:b/>
          <w:sz w:val="28"/>
          <w:szCs w:val="28"/>
        </w:rPr>
      </w:pPr>
    </w:p>
    <w:p w:rsidR="00712E44" w:rsidRPr="004F5529" w:rsidRDefault="00712E44" w:rsidP="00DD55D3">
      <w:pPr>
        <w:autoSpaceDE w:val="0"/>
        <w:autoSpaceDN w:val="0"/>
        <w:adjustRightInd w:val="0"/>
        <w:jc w:val="both"/>
        <w:rPr>
          <w:b/>
          <w:sz w:val="28"/>
          <w:szCs w:val="28"/>
        </w:rPr>
      </w:pPr>
    </w:p>
    <w:p w:rsidR="00EC5C16" w:rsidRDefault="00EC5C16" w:rsidP="00EC5C16">
      <w:pPr>
        <w:pStyle w:val="Nadpis3"/>
        <w:spacing w:before="0" w:beforeAutospacing="0" w:after="0" w:afterAutospacing="0" w:line="360" w:lineRule="auto"/>
        <w:rPr>
          <w:sz w:val="26"/>
          <w:lang w:val="en-GB"/>
        </w:rPr>
      </w:pPr>
    </w:p>
    <w:p w:rsidR="00712E44" w:rsidRDefault="00712E44" w:rsidP="00EC5C16">
      <w:pPr>
        <w:pStyle w:val="Nadpis3"/>
        <w:spacing w:before="0" w:beforeAutospacing="0" w:after="0" w:afterAutospacing="0" w:line="360" w:lineRule="auto"/>
        <w:rPr>
          <w:sz w:val="26"/>
        </w:rPr>
      </w:pPr>
      <w:r w:rsidRPr="00AC48C9">
        <w:rPr>
          <w:sz w:val="26"/>
          <w:lang w:val="en-GB"/>
        </w:rPr>
        <w:lastRenderedPageBreak/>
        <w:t>Annotation</w:t>
      </w:r>
    </w:p>
    <w:p w:rsidR="00712E44" w:rsidRPr="00AC48C9" w:rsidRDefault="00712E44" w:rsidP="00806D98">
      <w:pPr>
        <w:spacing w:line="360" w:lineRule="auto"/>
        <w:rPr>
          <w:lang w:val="en-US"/>
        </w:rPr>
      </w:pPr>
    </w:p>
    <w:p w:rsidR="00712E44" w:rsidRDefault="00712E44" w:rsidP="00806D98">
      <w:pPr>
        <w:spacing w:line="360" w:lineRule="auto"/>
      </w:pPr>
      <w:r w:rsidRPr="00AC48C9">
        <w:rPr>
          <w:lang w:val="en-US"/>
        </w:rPr>
        <w:t>Author</w:t>
      </w:r>
      <w:r>
        <w:t>:</w:t>
      </w:r>
      <w:r>
        <w:tab/>
        <w:t xml:space="preserve">   Andrea</w:t>
      </w:r>
      <w:r w:rsidRPr="00AC48C9">
        <w:rPr>
          <w:lang w:val="en-GB"/>
        </w:rPr>
        <w:t xml:space="preserve"> Nikodýmová</w:t>
      </w:r>
    </w:p>
    <w:p w:rsidR="00712E44" w:rsidRPr="00AC48C9" w:rsidRDefault="00712E44" w:rsidP="00806D98">
      <w:pPr>
        <w:spacing w:line="360" w:lineRule="auto"/>
        <w:rPr>
          <w:lang w:val="en-GB"/>
        </w:rPr>
      </w:pPr>
    </w:p>
    <w:p w:rsidR="00712E44" w:rsidRDefault="00712E44" w:rsidP="00EC5C16">
      <w:pPr>
        <w:pStyle w:val="Zkladntext"/>
        <w:spacing w:after="0" w:line="360" w:lineRule="auto"/>
        <w:jc w:val="both"/>
      </w:pPr>
      <w:r w:rsidRPr="00AC48C9">
        <w:rPr>
          <w:lang w:val="en-GB"/>
        </w:rPr>
        <w:t>Terms European</w:t>
      </w:r>
      <w:r w:rsidRPr="00AC48C9">
        <w:rPr>
          <w:lang w:val="en-US"/>
        </w:rPr>
        <w:t xml:space="preserve"> Monetary</w:t>
      </w:r>
      <w:r w:rsidRPr="00970EB0">
        <w:t xml:space="preserve"> Union</w:t>
      </w:r>
      <w:r>
        <w:t>, eurozone, euro are</w:t>
      </w:r>
      <w:r w:rsidRPr="00AC48C9">
        <w:rPr>
          <w:lang w:val="en-US"/>
        </w:rPr>
        <w:t xml:space="preserve"> today</w:t>
      </w:r>
      <w:r w:rsidRPr="00AC48C9">
        <w:rPr>
          <w:lang w:val="en-TT"/>
        </w:rPr>
        <w:t xml:space="preserve"> mentioned</w:t>
      </w:r>
      <w:r>
        <w:t xml:space="preserve"> in many</w:t>
      </w:r>
      <w:r w:rsidRPr="00AC48C9">
        <w:rPr>
          <w:lang w:val="en-US"/>
        </w:rPr>
        <w:t xml:space="preserve"> forms</w:t>
      </w:r>
      <w:r w:rsidRPr="00AC48C9">
        <w:rPr>
          <w:lang w:val="en-TT"/>
        </w:rPr>
        <w:t xml:space="preserve"> </w:t>
      </w:r>
      <w:r>
        <w:rPr>
          <w:lang w:val="en-TT"/>
        </w:rPr>
        <w:br/>
      </w:r>
      <w:r w:rsidRPr="00AC48C9">
        <w:rPr>
          <w:lang w:val="en-TT"/>
        </w:rPr>
        <w:t>and</w:t>
      </w:r>
      <w:r w:rsidRPr="00AC48C9">
        <w:rPr>
          <w:lang w:val="en-US"/>
        </w:rPr>
        <w:t xml:space="preserve"> connections</w:t>
      </w:r>
      <w:r>
        <w:t>.</w:t>
      </w:r>
      <w:r w:rsidRPr="00AC48C9">
        <w:rPr>
          <w:lang w:val="en-US"/>
        </w:rPr>
        <w:t xml:space="preserve"> The</w:t>
      </w:r>
      <w:r w:rsidRPr="00AC48C9">
        <w:rPr>
          <w:lang w:val="en-TT"/>
        </w:rPr>
        <w:t xml:space="preserve"> main</w:t>
      </w:r>
      <w:r w:rsidRPr="00AC48C9">
        <w:rPr>
          <w:lang w:val="en-ZW"/>
        </w:rPr>
        <w:t xml:space="preserve"> aim of this</w:t>
      </w:r>
      <w:r>
        <w:rPr>
          <w:lang w:val="en-ZW"/>
        </w:rPr>
        <w:t xml:space="preserve"> </w:t>
      </w:r>
      <w:r w:rsidRPr="00AC48C9">
        <w:rPr>
          <w:lang w:val="en-US"/>
        </w:rPr>
        <w:t>graduation</w:t>
      </w:r>
      <w:r w:rsidRPr="00AC48C9">
        <w:rPr>
          <w:lang w:val="en-TT"/>
        </w:rPr>
        <w:t xml:space="preserve"> theses</w:t>
      </w:r>
      <w:r w:rsidRPr="00AC48C9">
        <w:rPr>
          <w:lang w:val="en-US"/>
        </w:rPr>
        <w:t xml:space="preserve"> is</w:t>
      </w:r>
      <w:r>
        <w:t xml:space="preserve"> to</w:t>
      </w:r>
      <w:r w:rsidRPr="00AC48C9">
        <w:rPr>
          <w:lang w:val="en-TT"/>
        </w:rPr>
        <w:t xml:space="preserve"> briefly</w:t>
      </w:r>
      <w:r w:rsidRPr="00970EB0">
        <w:t xml:space="preserve"> </w:t>
      </w:r>
      <w:r>
        <w:t>analyse these</w:t>
      </w:r>
      <w:r w:rsidRPr="00AC48C9">
        <w:rPr>
          <w:lang w:val="en-SG"/>
        </w:rPr>
        <w:t xml:space="preserve"> terms</w:t>
      </w:r>
      <w:r>
        <w:t xml:space="preserve"> </w:t>
      </w:r>
      <w:r>
        <w:br/>
        <w:t>in</w:t>
      </w:r>
      <w:r w:rsidRPr="00AC48C9">
        <w:rPr>
          <w:lang w:val="en-SG"/>
        </w:rPr>
        <w:t xml:space="preserve"> concrete</w:t>
      </w:r>
      <w:r w:rsidRPr="00AC48C9">
        <w:rPr>
          <w:lang w:val="en-NZ"/>
        </w:rPr>
        <w:t xml:space="preserve"> form</w:t>
      </w:r>
      <w:r>
        <w:t xml:space="preserve"> in</w:t>
      </w:r>
      <w:r w:rsidRPr="00AC48C9">
        <w:rPr>
          <w:lang w:val="en-AU"/>
        </w:rPr>
        <w:t xml:space="preserve"> the</w:t>
      </w:r>
      <w:r>
        <w:t xml:space="preserve"> </w:t>
      </w:r>
      <w:r w:rsidRPr="00970EB0">
        <w:t xml:space="preserve">sense </w:t>
      </w:r>
      <w:r>
        <w:t xml:space="preserve">of using new currency – euro in </w:t>
      </w:r>
      <w:smartTag w:uri="urn:schemas-microsoft-com:office:smarttags" w:element="place">
        <w:smartTag w:uri="urn:schemas-microsoft-com:office:smarttags" w:element="PlaceName">
          <w:r>
            <w:t>Slovak</w:t>
          </w:r>
        </w:smartTag>
        <w:r>
          <w:t xml:space="preserve"> </w:t>
        </w:r>
        <w:smartTag w:uri="urn:schemas-microsoft-com:office:smarttags" w:element="PlaceType">
          <w:r>
            <w:t>Republic</w:t>
          </w:r>
        </w:smartTag>
      </w:smartTag>
      <w:r>
        <w:t xml:space="preserve">. </w:t>
      </w:r>
    </w:p>
    <w:p w:rsidR="00712E44" w:rsidRDefault="00712E44" w:rsidP="00806D98">
      <w:pPr>
        <w:pStyle w:val="Zkladntext"/>
        <w:spacing w:line="360" w:lineRule="auto"/>
        <w:jc w:val="both"/>
      </w:pPr>
    </w:p>
    <w:p w:rsidR="00712E44" w:rsidRDefault="00712E44" w:rsidP="00EC5C16">
      <w:pPr>
        <w:pStyle w:val="Zkladntext"/>
        <w:spacing w:after="0" w:line="360" w:lineRule="auto"/>
        <w:jc w:val="both"/>
      </w:pPr>
      <w:r>
        <w:t xml:space="preserve">Author tries to show to reader process of whole adoption of a common european currency. She describes journey of entire integration of Slovak Republic. </w:t>
      </w:r>
    </w:p>
    <w:p w:rsidR="00712E44" w:rsidRDefault="00712E44" w:rsidP="00EC5C16">
      <w:pPr>
        <w:pStyle w:val="Zkladntext"/>
        <w:spacing w:after="0" w:line="360" w:lineRule="auto"/>
        <w:jc w:val="both"/>
      </w:pPr>
    </w:p>
    <w:p w:rsidR="00712E44" w:rsidRDefault="00712E44" w:rsidP="00EC5C16">
      <w:pPr>
        <w:pStyle w:val="Zkladntext"/>
        <w:spacing w:after="0" w:line="360" w:lineRule="auto"/>
        <w:jc w:val="both"/>
      </w:pPr>
      <w:r>
        <w:t xml:space="preserve">The first part is </w:t>
      </w:r>
      <w:r w:rsidRPr="00BF758D">
        <w:t xml:space="preserve">structural part </w:t>
      </w:r>
      <w:r>
        <w:t xml:space="preserve">of this </w:t>
      </w:r>
      <w:r w:rsidRPr="00BF758D">
        <w:t xml:space="preserve">graduation theses </w:t>
      </w:r>
      <w:r>
        <w:t xml:space="preserve"> and targets to whole proces of </w:t>
      </w:r>
      <w:r w:rsidRPr="00BF758D">
        <w:t>Slovak Republic</w:t>
      </w:r>
      <w:r>
        <w:t xml:space="preserve"> integration of using the official </w:t>
      </w:r>
      <w:hyperlink r:id="rId9" w:history="1">
        <w:r w:rsidRPr="007B5FA1">
          <w:t>currency</w:t>
        </w:r>
      </w:hyperlink>
      <w:r>
        <w:t xml:space="preserve"> of the </w:t>
      </w:r>
      <w:hyperlink r:id="rId10" w:history="1">
        <w:r w:rsidRPr="007B5FA1">
          <w:t>eurozone</w:t>
        </w:r>
      </w:hyperlink>
      <w:r>
        <w:t xml:space="preserve"> – euro. </w:t>
      </w:r>
      <w:r w:rsidR="0043303F" w:rsidRPr="0043303F">
        <w:t>Currently we are analyzing the direct benefits, indirect gains, risks and drawbacks in relation to the introduction of the new currency into the money cycle that happened in the Slovak Economy during 2009 - 2010.</w:t>
      </w:r>
    </w:p>
    <w:p w:rsidR="00712E44" w:rsidRDefault="00712E44" w:rsidP="00806D98">
      <w:pPr>
        <w:spacing w:line="360" w:lineRule="auto"/>
        <w:jc w:val="both"/>
      </w:pPr>
    </w:p>
    <w:p w:rsidR="00712E44" w:rsidRDefault="00712E44" w:rsidP="00806D98">
      <w:pPr>
        <w:spacing w:line="360" w:lineRule="auto"/>
        <w:jc w:val="both"/>
      </w:pPr>
      <w:r>
        <w:t xml:space="preserve">The next part is practical and analyse obtained informations from the questionnaire research. Its main aim is to draft out from several points of view people´s dominant opinions about </w:t>
      </w:r>
      <w:r>
        <w:br/>
        <w:t xml:space="preserve">the new currency which come out from its active use. </w:t>
      </w:r>
    </w:p>
    <w:p w:rsidR="00712E44" w:rsidRDefault="00712E44" w:rsidP="00806D98">
      <w:pPr>
        <w:spacing w:line="360" w:lineRule="auto"/>
        <w:jc w:val="both"/>
      </w:pPr>
    </w:p>
    <w:p w:rsidR="00712E44" w:rsidRDefault="00712E44" w:rsidP="00EC5C16">
      <w:pPr>
        <w:spacing w:line="360" w:lineRule="auto"/>
        <w:jc w:val="both"/>
      </w:pPr>
      <w:r>
        <w:t xml:space="preserve">The last part brings evaluation of </w:t>
      </w:r>
      <w:r w:rsidRPr="004A4A77">
        <w:t xml:space="preserve">reached </w:t>
      </w:r>
      <w:r>
        <w:t xml:space="preserve">aims and </w:t>
      </w:r>
      <w:r w:rsidRPr="009B2715">
        <w:t xml:space="preserve">assessment </w:t>
      </w:r>
      <w:r>
        <w:t xml:space="preserve">of defined </w:t>
      </w:r>
      <w:r w:rsidRPr="004A4A77">
        <w:t xml:space="preserve">hypothesis </w:t>
      </w:r>
      <w:r>
        <w:t xml:space="preserve">from the first charter. </w:t>
      </w:r>
      <w:r w:rsidRPr="004A4A77">
        <w:t xml:space="preserve">The conclusion of </w:t>
      </w:r>
      <w:r>
        <w:t xml:space="preserve">graduation theses refers to the summary of research benefits and costs </w:t>
      </w:r>
      <w:r w:rsidRPr="004A4A77">
        <w:t xml:space="preserve">involved in </w:t>
      </w:r>
      <w:r>
        <w:t xml:space="preserve">use of new currency generally but primarely conected with euro </w:t>
      </w:r>
      <w:r>
        <w:br/>
        <w:t xml:space="preserve">in Slovak Republic. It </w:t>
      </w:r>
      <w:r w:rsidRPr="00A4187F">
        <w:t xml:space="preserve">analyses </w:t>
      </w:r>
      <w:r>
        <w:t xml:space="preserve"> </w:t>
      </w:r>
      <w:r w:rsidRPr="006B0919">
        <w:t xml:space="preserve">consequences </w:t>
      </w:r>
      <w:r>
        <w:t xml:space="preserve"> of Slovak economy in 2009 and 2010 not only in light of new currency but also based on effect of </w:t>
      </w:r>
      <w:r w:rsidRPr="006B0919">
        <w:t>economic depression</w:t>
      </w:r>
      <w:r>
        <w:t>.</w:t>
      </w:r>
      <w:r w:rsidRPr="006B0919">
        <w:t xml:space="preserve"> </w:t>
      </w:r>
    </w:p>
    <w:p w:rsidR="00712E44" w:rsidRDefault="00712E44" w:rsidP="00EC5C16">
      <w:pPr>
        <w:autoSpaceDE w:val="0"/>
        <w:autoSpaceDN w:val="0"/>
        <w:adjustRightInd w:val="0"/>
        <w:spacing w:line="360" w:lineRule="auto"/>
        <w:jc w:val="both"/>
        <w:rPr>
          <w:rFonts w:ascii="ArialMT" w:hAnsi="ArialMT"/>
          <w:szCs w:val="18"/>
        </w:rPr>
      </w:pPr>
    </w:p>
    <w:p w:rsidR="00712E44" w:rsidRDefault="00712E44" w:rsidP="00EC5C16">
      <w:pPr>
        <w:autoSpaceDE w:val="0"/>
        <w:autoSpaceDN w:val="0"/>
        <w:adjustRightInd w:val="0"/>
        <w:spacing w:line="360" w:lineRule="auto"/>
        <w:jc w:val="both"/>
      </w:pPr>
      <w:r>
        <w:rPr>
          <w:b/>
          <w:sz w:val="28"/>
          <w:szCs w:val="28"/>
        </w:rPr>
        <w:t>K</w:t>
      </w:r>
      <w:r w:rsidRPr="00517A86">
        <w:rPr>
          <w:b/>
          <w:sz w:val="28"/>
          <w:szCs w:val="28"/>
        </w:rPr>
        <w:t>eyword</w:t>
      </w:r>
      <w:r>
        <w:rPr>
          <w:b/>
          <w:sz w:val="28"/>
          <w:szCs w:val="28"/>
        </w:rPr>
        <w:t>s:</w:t>
      </w:r>
    </w:p>
    <w:p w:rsidR="00712E44" w:rsidRDefault="00712E44" w:rsidP="00EC5C16">
      <w:pPr>
        <w:autoSpaceDE w:val="0"/>
        <w:autoSpaceDN w:val="0"/>
        <w:adjustRightInd w:val="0"/>
        <w:spacing w:line="360" w:lineRule="auto"/>
        <w:jc w:val="both"/>
      </w:pPr>
    </w:p>
    <w:p w:rsidR="00712E44" w:rsidRPr="004F5529" w:rsidRDefault="00712E44" w:rsidP="00EC5C16">
      <w:pPr>
        <w:autoSpaceDE w:val="0"/>
        <w:autoSpaceDN w:val="0"/>
        <w:adjustRightInd w:val="0"/>
        <w:spacing w:line="360" w:lineRule="auto"/>
        <w:jc w:val="both"/>
      </w:pPr>
      <w:r w:rsidRPr="00766D4A">
        <w:t>questionnaire research</w:t>
      </w:r>
      <w:r>
        <w:t xml:space="preserve">, </w:t>
      </w:r>
      <w:r w:rsidRPr="00124496">
        <w:t>growth performance</w:t>
      </w:r>
      <w:r>
        <w:t xml:space="preserve">, euro, eurozone, </w:t>
      </w:r>
      <w:r w:rsidRPr="00124496">
        <w:t>European Monetary Union</w:t>
      </w:r>
      <w:r>
        <w:t xml:space="preserve">, </w:t>
      </w:r>
      <w:r w:rsidRPr="00124496">
        <w:t>economic depression</w:t>
      </w:r>
      <w:r>
        <w:t xml:space="preserve">, </w:t>
      </w:r>
      <w:r w:rsidRPr="00124496">
        <w:t>inflation</w:t>
      </w:r>
      <w:r>
        <w:t xml:space="preserve">, </w:t>
      </w:r>
      <w:r w:rsidRPr="00124496">
        <w:t>integration</w:t>
      </w:r>
      <w:r>
        <w:t xml:space="preserve">, </w:t>
      </w:r>
      <w:r w:rsidRPr="00124496">
        <w:t>currency</w:t>
      </w:r>
      <w:r>
        <w:t xml:space="preserve">, costs of euro, </w:t>
      </w:r>
      <w:r w:rsidRPr="00766D4A">
        <w:t>unemployment</w:t>
      </w:r>
      <w:r>
        <w:t>, benefits of euro</w:t>
      </w:r>
    </w:p>
    <w:p w:rsidR="00EC5C16" w:rsidRDefault="00EC5C16" w:rsidP="00854A67">
      <w:pPr>
        <w:autoSpaceDE w:val="0"/>
        <w:autoSpaceDN w:val="0"/>
        <w:adjustRightInd w:val="0"/>
        <w:spacing w:line="360" w:lineRule="auto"/>
        <w:jc w:val="both"/>
        <w:rPr>
          <w:b/>
          <w:bCs/>
          <w:sz w:val="26"/>
          <w:szCs w:val="26"/>
        </w:rPr>
      </w:pPr>
    </w:p>
    <w:p w:rsidR="00712E44" w:rsidRDefault="00712E44" w:rsidP="00854A67">
      <w:pPr>
        <w:autoSpaceDE w:val="0"/>
        <w:autoSpaceDN w:val="0"/>
        <w:adjustRightInd w:val="0"/>
        <w:spacing w:line="360" w:lineRule="auto"/>
        <w:jc w:val="both"/>
        <w:rPr>
          <w:b/>
          <w:bCs/>
          <w:sz w:val="26"/>
          <w:szCs w:val="26"/>
        </w:rPr>
      </w:pPr>
      <w:r>
        <w:rPr>
          <w:b/>
          <w:bCs/>
          <w:sz w:val="26"/>
          <w:szCs w:val="26"/>
        </w:rPr>
        <w:lastRenderedPageBreak/>
        <w:t>Obsah</w:t>
      </w:r>
    </w:p>
    <w:p w:rsidR="00712E44" w:rsidRDefault="00712E44" w:rsidP="00854A67">
      <w:pPr>
        <w:autoSpaceDE w:val="0"/>
        <w:autoSpaceDN w:val="0"/>
        <w:adjustRightInd w:val="0"/>
        <w:spacing w:line="360" w:lineRule="auto"/>
        <w:jc w:val="both"/>
        <w:rPr>
          <w:b/>
        </w:rPr>
      </w:pPr>
    </w:p>
    <w:p w:rsidR="00712E44" w:rsidRDefault="00712E44" w:rsidP="00854A67">
      <w:pPr>
        <w:autoSpaceDE w:val="0"/>
        <w:autoSpaceDN w:val="0"/>
        <w:adjustRightInd w:val="0"/>
        <w:spacing w:line="360" w:lineRule="auto"/>
        <w:jc w:val="both"/>
        <w:rPr>
          <w:b/>
          <w:bCs/>
          <w:sz w:val="26"/>
          <w:szCs w:val="26"/>
        </w:rPr>
      </w:pPr>
      <w:r>
        <w:rPr>
          <w:b/>
        </w:rPr>
        <w:t>Seznam obrázků………………………………………………………………………….</w:t>
      </w:r>
      <w:r>
        <w:rPr>
          <w:b/>
        </w:rPr>
        <w:tab/>
        <w:t>11</w:t>
      </w:r>
    </w:p>
    <w:p w:rsidR="00712E44" w:rsidRDefault="00712E44" w:rsidP="00D7630A">
      <w:pPr>
        <w:spacing w:line="360" w:lineRule="auto"/>
        <w:rPr>
          <w:b/>
        </w:rPr>
      </w:pPr>
      <w:r>
        <w:rPr>
          <w:b/>
        </w:rPr>
        <w:t>Seznam tabulek…………………………………………………………………………..</w:t>
      </w:r>
      <w:r>
        <w:rPr>
          <w:b/>
        </w:rPr>
        <w:tab/>
        <w:t>12</w:t>
      </w:r>
    </w:p>
    <w:p w:rsidR="00712E44" w:rsidRDefault="00712E44" w:rsidP="00854A67">
      <w:pPr>
        <w:autoSpaceDE w:val="0"/>
        <w:autoSpaceDN w:val="0"/>
        <w:adjustRightInd w:val="0"/>
        <w:spacing w:line="360" w:lineRule="auto"/>
        <w:jc w:val="both"/>
        <w:rPr>
          <w:b/>
          <w:bCs/>
          <w:szCs w:val="18"/>
        </w:rPr>
      </w:pPr>
      <w:r>
        <w:rPr>
          <w:b/>
          <w:bCs/>
          <w:szCs w:val="18"/>
        </w:rPr>
        <w:t>Seznam použitých zkratek, značek a symbolů…………………………………………</w:t>
      </w:r>
      <w:r>
        <w:rPr>
          <w:b/>
          <w:bCs/>
          <w:szCs w:val="18"/>
        </w:rPr>
        <w:tab/>
        <w:t>13</w:t>
      </w:r>
    </w:p>
    <w:p w:rsidR="00712E44" w:rsidRDefault="00712E44" w:rsidP="00854A67">
      <w:pPr>
        <w:autoSpaceDE w:val="0"/>
        <w:autoSpaceDN w:val="0"/>
        <w:adjustRightInd w:val="0"/>
        <w:spacing w:line="360" w:lineRule="auto"/>
        <w:jc w:val="both"/>
        <w:rPr>
          <w:b/>
          <w:bCs/>
          <w:szCs w:val="18"/>
        </w:rPr>
      </w:pPr>
      <w:r>
        <w:rPr>
          <w:b/>
          <w:bCs/>
          <w:szCs w:val="18"/>
        </w:rPr>
        <w:t>Úvod………………………………………………………………………………………</w:t>
      </w:r>
      <w:r>
        <w:rPr>
          <w:b/>
          <w:bCs/>
          <w:szCs w:val="18"/>
        </w:rPr>
        <w:tab/>
        <w:t>15</w:t>
      </w:r>
    </w:p>
    <w:p w:rsidR="00712E44" w:rsidRDefault="00712E44" w:rsidP="00854A67">
      <w:pPr>
        <w:autoSpaceDE w:val="0"/>
        <w:autoSpaceDN w:val="0"/>
        <w:adjustRightInd w:val="0"/>
        <w:spacing w:line="360" w:lineRule="auto"/>
        <w:rPr>
          <w:b/>
          <w:bCs/>
          <w:szCs w:val="18"/>
        </w:rPr>
      </w:pPr>
      <w:r>
        <w:rPr>
          <w:b/>
          <w:bCs/>
          <w:szCs w:val="18"/>
        </w:rPr>
        <w:t>1. Stanovení hypotéz a vytýčení cílů práce……………………………………………..</w:t>
      </w:r>
      <w:r>
        <w:rPr>
          <w:b/>
          <w:bCs/>
          <w:szCs w:val="18"/>
        </w:rPr>
        <w:tab/>
        <w:t>16</w:t>
      </w:r>
    </w:p>
    <w:p w:rsidR="00712E44" w:rsidRDefault="00712E44" w:rsidP="00854A67">
      <w:pPr>
        <w:autoSpaceDE w:val="0"/>
        <w:autoSpaceDN w:val="0"/>
        <w:adjustRightInd w:val="0"/>
        <w:spacing w:line="360" w:lineRule="auto"/>
        <w:jc w:val="both"/>
        <w:rPr>
          <w:szCs w:val="18"/>
        </w:rPr>
      </w:pPr>
      <w:r>
        <w:rPr>
          <w:szCs w:val="18"/>
        </w:rPr>
        <w:t>1.1 Cíle Eurosystému……………………………………………………………………...</w:t>
      </w:r>
      <w:r>
        <w:rPr>
          <w:szCs w:val="18"/>
        </w:rPr>
        <w:tab/>
        <w:t>16</w:t>
      </w:r>
    </w:p>
    <w:p w:rsidR="00712E44" w:rsidRDefault="00712E44" w:rsidP="00854A67">
      <w:pPr>
        <w:autoSpaceDE w:val="0"/>
        <w:autoSpaceDN w:val="0"/>
        <w:adjustRightInd w:val="0"/>
        <w:spacing w:line="360" w:lineRule="auto"/>
        <w:jc w:val="both"/>
        <w:rPr>
          <w:szCs w:val="18"/>
        </w:rPr>
      </w:pPr>
      <w:r>
        <w:rPr>
          <w:szCs w:val="18"/>
        </w:rPr>
        <w:t>1.2 Základní hypotézy z hlediska koherence SR s eurozónou…….………………............17</w:t>
      </w:r>
    </w:p>
    <w:p w:rsidR="00712E44" w:rsidRDefault="00712E44" w:rsidP="00854A67">
      <w:pPr>
        <w:autoSpaceDE w:val="0"/>
        <w:autoSpaceDN w:val="0"/>
        <w:adjustRightInd w:val="0"/>
        <w:spacing w:line="360" w:lineRule="auto"/>
        <w:jc w:val="both"/>
        <w:rPr>
          <w:szCs w:val="18"/>
        </w:rPr>
      </w:pPr>
      <w:r>
        <w:rPr>
          <w:szCs w:val="18"/>
        </w:rPr>
        <w:t>1.3 Cíle práce……………………………………………………………………………...</w:t>
      </w:r>
      <w:r>
        <w:rPr>
          <w:szCs w:val="18"/>
        </w:rPr>
        <w:tab/>
        <w:t>18</w:t>
      </w:r>
    </w:p>
    <w:p w:rsidR="00712E44" w:rsidRDefault="00712E44" w:rsidP="00854A67">
      <w:pPr>
        <w:autoSpaceDE w:val="0"/>
        <w:autoSpaceDN w:val="0"/>
        <w:adjustRightInd w:val="0"/>
        <w:spacing w:line="360" w:lineRule="auto"/>
        <w:jc w:val="both"/>
        <w:rPr>
          <w:b/>
          <w:bCs/>
          <w:szCs w:val="18"/>
        </w:rPr>
      </w:pPr>
      <w:r>
        <w:rPr>
          <w:b/>
          <w:bCs/>
          <w:szCs w:val="18"/>
        </w:rPr>
        <w:t>2. Eurozóna, její vývoj a význam…..…………………………………………................19</w:t>
      </w:r>
    </w:p>
    <w:p w:rsidR="00712E44" w:rsidRDefault="00712E44" w:rsidP="00854A67">
      <w:pPr>
        <w:autoSpaceDE w:val="0"/>
        <w:autoSpaceDN w:val="0"/>
        <w:adjustRightInd w:val="0"/>
        <w:spacing w:line="360" w:lineRule="auto"/>
        <w:rPr>
          <w:szCs w:val="18"/>
        </w:rPr>
      </w:pPr>
      <w:r>
        <w:rPr>
          <w:szCs w:val="18"/>
        </w:rPr>
        <w:t>2.</w:t>
      </w:r>
      <w:r w:rsidRPr="007E1DA7">
        <w:t>1</w:t>
      </w:r>
      <w:r>
        <w:t xml:space="preserve"> </w:t>
      </w:r>
      <w:r w:rsidRPr="007E1DA7">
        <w:rPr>
          <w:bCs/>
        </w:rPr>
        <w:t>Události předcházející vzniku a vytvoření Hospodářské a měnové unie</w:t>
      </w:r>
      <w:r>
        <w:rPr>
          <w:bCs/>
        </w:rPr>
        <w:t>..</w:t>
      </w:r>
      <w:r>
        <w:rPr>
          <w:szCs w:val="18"/>
        </w:rPr>
        <w:t>…………….19</w:t>
      </w:r>
    </w:p>
    <w:p w:rsidR="00712E44" w:rsidRDefault="00712E44" w:rsidP="00854A67">
      <w:pPr>
        <w:autoSpaceDE w:val="0"/>
        <w:autoSpaceDN w:val="0"/>
        <w:adjustRightInd w:val="0"/>
        <w:spacing w:line="360" w:lineRule="auto"/>
        <w:jc w:val="both"/>
        <w:rPr>
          <w:szCs w:val="18"/>
        </w:rPr>
      </w:pPr>
      <w:r>
        <w:rPr>
          <w:szCs w:val="18"/>
        </w:rPr>
        <w:t>2.1.1 Systém měnového hada …………………………………………………………….</w:t>
      </w:r>
      <w:r>
        <w:rPr>
          <w:szCs w:val="18"/>
        </w:rPr>
        <w:tab/>
        <w:t>21</w:t>
      </w:r>
    </w:p>
    <w:p w:rsidR="00712E44" w:rsidRDefault="00712E44" w:rsidP="00854A67">
      <w:pPr>
        <w:autoSpaceDE w:val="0"/>
        <w:autoSpaceDN w:val="0"/>
        <w:adjustRightInd w:val="0"/>
        <w:spacing w:line="360" w:lineRule="auto"/>
        <w:jc w:val="both"/>
        <w:rPr>
          <w:szCs w:val="18"/>
        </w:rPr>
      </w:pPr>
      <w:r>
        <w:rPr>
          <w:szCs w:val="18"/>
        </w:rPr>
        <w:t>2.1.2 Evropský měnový systém.……………………………………………………….….</w:t>
      </w:r>
      <w:r>
        <w:rPr>
          <w:szCs w:val="18"/>
        </w:rPr>
        <w:tab/>
        <w:t>22</w:t>
      </w:r>
    </w:p>
    <w:p w:rsidR="00712E44" w:rsidRDefault="00712E44" w:rsidP="00854A67">
      <w:pPr>
        <w:autoSpaceDE w:val="0"/>
        <w:autoSpaceDN w:val="0"/>
        <w:adjustRightInd w:val="0"/>
        <w:spacing w:line="360" w:lineRule="auto"/>
        <w:jc w:val="both"/>
        <w:rPr>
          <w:szCs w:val="18"/>
        </w:rPr>
      </w:pPr>
      <w:r>
        <w:rPr>
          <w:szCs w:val="18"/>
        </w:rPr>
        <w:t>2.1.3 ECU………………………………………………....................................................</w:t>
      </w:r>
      <w:r>
        <w:rPr>
          <w:szCs w:val="18"/>
        </w:rPr>
        <w:tab/>
        <w:t>22</w:t>
      </w:r>
    </w:p>
    <w:p w:rsidR="00712E44" w:rsidRDefault="00712E44" w:rsidP="00854A67">
      <w:pPr>
        <w:autoSpaceDE w:val="0"/>
        <w:autoSpaceDN w:val="0"/>
        <w:adjustRightInd w:val="0"/>
        <w:spacing w:line="360" w:lineRule="auto"/>
        <w:jc w:val="both"/>
        <w:rPr>
          <w:szCs w:val="18"/>
        </w:rPr>
      </w:pPr>
      <w:r>
        <w:rPr>
          <w:szCs w:val="18"/>
        </w:rPr>
        <w:t>2.1.4 ERM ………………………………………………………………………………..</w:t>
      </w:r>
      <w:r>
        <w:rPr>
          <w:szCs w:val="18"/>
        </w:rPr>
        <w:tab/>
        <w:t>23</w:t>
      </w:r>
    </w:p>
    <w:p w:rsidR="00712E44" w:rsidRDefault="00712E44" w:rsidP="00854A67">
      <w:pPr>
        <w:autoSpaceDE w:val="0"/>
        <w:autoSpaceDN w:val="0"/>
        <w:adjustRightInd w:val="0"/>
        <w:spacing w:line="360" w:lineRule="auto"/>
        <w:jc w:val="both"/>
        <w:rPr>
          <w:szCs w:val="18"/>
        </w:rPr>
      </w:pPr>
      <w:r>
        <w:rPr>
          <w:szCs w:val="18"/>
        </w:rPr>
        <w:t>2.2 Krize EMS v letech 1992 – 1993……………………………………………………..</w:t>
      </w:r>
      <w:r>
        <w:rPr>
          <w:szCs w:val="18"/>
        </w:rPr>
        <w:tab/>
        <w:t>24</w:t>
      </w:r>
    </w:p>
    <w:p w:rsidR="00712E44" w:rsidRDefault="00712E44" w:rsidP="00854A67">
      <w:pPr>
        <w:autoSpaceDE w:val="0"/>
        <w:autoSpaceDN w:val="0"/>
        <w:adjustRightInd w:val="0"/>
        <w:spacing w:line="360" w:lineRule="auto"/>
        <w:jc w:val="both"/>
        <w:rPr>
          <w:szCs w:val="18"/>
        </w:rPr>
      </w:pPr>
      <w:r>
        <w:rPr>
          <w:szCs w:val="18"/>
        </w:rPr>
        <w:t>2.3 Hospodářská a měnová unie…………………………………………………………..</w:t>
      </w:r>
      <w:r>
        <w:rPr>
          <w:szCs w:val="18"/>
        </w:rPr>
        <w:tab/>
        <w:t>24</w:t>
      </w:r>
    </w:p>
    <w:p w:rsidR="00712E44" w:rsidRDefault="00712E44" w:rsidP="00854A67">
      <w:pPr>
        <w:autoSpaceDE w:val="0"/>
        <w:autoSpaceDN w:val="0"/>
        <w:adjustRightInd w:val="0"/>
        <w:spacing w:line="360" w:lineRule="auto"/>
        <w:rPr>
          <w:b/>
          <w:bCs/>
          <w:szCs w:val="18"/>
        </w:rPr>
      </w:pPr>
      <w:r>
        <w:rPr>
          <w:b/>
          <w:bCs/>
          <w:szCs w:val="18"/>
        </w:rPr>
        <w:t>3. Proces příprav vstupu Slovenské republiky do eurozóny ……………………….....</w:t>
      </w:r>
      <w:r>
        <w:rPr>
          <w:b/>
          <w:bCs/>
          <w:szCs w:val="18"/>
        </w:rPr>
        <w:tab/>
        <w:t>29</w:t>
      </w:r>
    </w:p>
    <w:p w:rsidR="00712E44" w:rsidRDefault="00712E44" w:rsidP="00854A67">
      <w:pPr>
        <w:autoSpaceDE w:val="0"/>
        <w:autoSpaceDN w:val="0"/>
        <w:adjustRightInd w:val="0"/>
        <w:spacing w:line="360" w:lineRule="auto"/>
        <w:rPr>
          <w:bCs/>
          <w:szCs w:val="18"/>
        </w:rPr>
      </w:pPr>
      <w:r>
        <w:rPr>
          <w:bCs/>
          <w:szCs w:val="18"/>
        </w:rPr>
        <w:t>3.1 Postup zavedení eura na Slovensku…………………………………………………...</w:t>
      </w:r>
      <w:r>
        <w:rPr>
          <w:bCs/>
          <w:szCs w:val="18"/>
        </w:rPr>
        <w:tab/>
        <w:t>29</w:t>
      </w:r>
    </w:p>
    <w:p w:rsidR="00712E44" w:rsidRDefault="00712E44" w:rsidP="00854A67">
      <w:pPr>
        <w:autoSpaceDE w:val="0"/>
        <w:autoSpaceDN w:val="0"/>
        <w:adjustRightInd w:val="0"/>
        <w:spacing w:line="360" w:lineRule="auto"/>
        <w:rPr>
          <w:bCs/>
          <w:szCs w:val="18"/>
        </w:rPr>
      </w:pPr>
      <w:r>
        <w:rPr>
          <w:bCs/>
          <w:szCs w:val="18"/>
        </w:rPr>
        <w:t>3.2 Konvergenční kritéria…………………………………………………………………</w:t>
      </w:r>
      <w:r>
        <w:rPr>
          <w:bCs/>
          <w:szCs w:val="18"/>
        </w:rPr>
        <w:tab/>
        <w:t>31</w:t>
      </w:r>
    </w:p>
    <w:p w:rsidR="00712E44" w:rsidRDefault="00712E44" w:rsidP="00854A67">
      <w:pPr>
        <w:autoSpaceDE w:val="0"/>
        <w:autoSpaceDN w:val="0"/>
        <w:adjustRightInd w:val="0"/>
        <w:spacing w:line="360" w:lineRule="auto"/>
        <w:rPr>
          <w:bCs/>
          <w:szCs w:val="18"/>
        </w:rPr>
      </w:pPr>
      <w:r>
        <w:rPr>
          <w:bCs/>
          <w:szCs w:val="18"/>
        </w:rPr>
        <w:t>3.3 Splnění konvergenčních kritérií na Slovensku……………………………………….</w:t>
      </w:r>
      <w:r>
        <w:rPr>
          <w:bCs/>
          <w:szCs w:val="18"/>
        </w:rPr>
        <w:tab/>
        <w:t>31</w:t>
      </w:r>
    </w:p>
    <w:p w:rsidR="00712E44" w:rsidRDefault="00712E44" w:rsidP="00854A67">
      <w:pPr>
        <w:autoSpaceDE w:val="0"/>
        <w:autoSpaceDN w:val="0"/>
        <w:adjustRightInd w:val="0"/>
        <w:spacing w:line="360" w:lineRule="auto"/>
        <w:rPr>
          <w:bCs/>
          <w:szCs w:val="18"/>
        </w:rPr>
      </w:pPr>
      <w:r>
        <w:rPr>
          <w:bCs/>
          <w:szCs w:val="18"/>
        </w:rPr>
        <w:t>3.3.1 Kritérium pro deficit veřejných financí a veřejný dluh…………………………….</w:t>
      </w:r>
      <w:r>
        <w:rPr>
          <w:bCs/>
          <w:szCs w:val="18"/>
        </w:rPr>
        <w:tab/>
        <w:t>32</w:t>
      </w:r>
    </w:p>
    <w:p w:rsidR="00712E44" w:rsidRDefault="00712E44" w:rsidP="00854A67">
      <w:pPr>
        <w:autoSpaceDE w:val="0"/>
        <w:autoSpaceDN w:val="0"/>
        <w:adjustRightInd w:val="0"/>
        <w:spacing w:line="360" w:lineRule="auto"/>
        <w:rPr>
          <w:bCs/>
          <w:szCs w:val="18"/>
        </w:rPr>
      </w:pPr>
      <w:r>
        <w:rPr>
          <w:bCs/>
          <w:szCs w:val="18"/>
        </w:rPr>
        <w:t>3.3.2 Inflační kritérium……………………………………………………………………</w:t>
      </w:r>
      <w:r>
        <w:rPr>
          <w:bCs/>
          <w:szCs w:val="18"/>
        </w:rPr>
        <w:tab/>
        <w:t>32</w:t>
      </w:r>
    </w:p>
    <w:p w:rsidR="00712E44" w:rsidRDefault="00712E44" w:rsidP="00854A67">
      <w:pPr>
        <w:autoSpaceDE w:val="0"/>
        <w:autoSpaceDN w:val="0"/>
        <w:adjustRightInd w:val="0"/>
        <w:spacing w:line="360" w:lineRule="auto"/>
        <w:rPr>
          <w:bCs/>
          <w:szCs w:val="18"/>
        </w:rPr>
      </w:pPr>
      <w:r>
        <w:rPr>
          <w:bCs/>
          <w:szCs w:val="18"/>
        </w:rPr>
        <w:t>3.3.3 Kritérium dlouhodobých úrokových sazeb…………………………………………</w:t>
      </w:r>
      <w:r>
        <w:rPr>
          <w:bCs/>
          <w:szCs w:val="18"/>
        </w:rPr>
        <w:tab/>
        <w:t>32</w:t>
      </w:r>
    </w:p>
    <w:p w:rsidR="00712E44" w:rsidRDefault="00712E44" w:rsidP="00854A67">
      <w:pPr>
        <w:autoSpaceDE w:val="0"/>
        <w:autoSpaceDN w:val="0"/>
        <w:adjustRightInd w:val="0"/>
        <w:spacing w:line="360" w:lineRule="auto"/>
        <w:rPr>
          <w:bCs/>
          <w:szCs w:val="18"/>
        </w:rPr>
      </w:pPr>
      <w:r>
        <w:rPr>
          <w:bCs/>
          <w:szCs w:val="18"/>
        </w:rPr>
        <w:t>3.3.4 Kritérium směnného kurzu………………………………………………………….</w:t>
      </w:r>
      <w:r>
        <w:rPr>
          <w:bCs/>
          <w:szCs w:val="18"/>
        </w:rPr>
        <w:tab/>
        <w:t>33</w:t>
      </w:r>
    </w:p>
    <w:p w:rsidR="00712E44" w:rsidRDefault="00712E44" w:rsidP="00854A67">
      <w:pPr>
        <w:autoSpaceDE w:val="0"/>
        <w:autoSpaceDN w:val="0"/>
        <w:adjustRightInd w:val="0"/>
        <w:spacing w:line="360" w:lineRule="auto"/>
        <w:rPr>
          <w:bCs/>
          <w:szCs w:val="18"/>
        </w:rPr>
      </w:pPr>
      <w:r>
        <w:rPr>
          <w:bCs/>
          <w:szCs w:val="18"/>
        </w:rPr>
        <w:t>3.4 Slovenská republika součástí eurozóny……………………………………………….</w:t>
      </w:r>
      <w:r>
        <w:rPr>
          <w:bCs/>
          <w:szCs w:val="18"/>
        </w:rPr>
        <w:tab/>
        <w:t>33</w:t>
      </w:r>
    </w:p>
    <w:p w:rsidR="00712E44" w:rsidRDefault="00712E44" w:rsidP="00854A67">
      <w:pPr>
        <w:autoSpaceDE w:val="0"/>
        <w:autoSpaceDN w:val="0"/>
        <w:adjustRightInd w:val="0"/>
        <w:spacing w:line="360" w:lineRule="auto"/>
        <w:rPr>
          <w:bCs/>
          <w:szCs w:val="18"/>
        </w:rPr>
      </w:pPr>
      <w:r>
        <w:rPr>
          <w:bCs/>
          <w:szCs w:val="18"/>
        </w:rPr>
        <w:t>3.4.1 Konverzní kurz……………………………………………………………………...</w:t>
      </w:r>
      <w:r>
        <w:rPr>
          <w:bCs/>
          <w:szCs w:val="18"/>
        </w:rPr>
        <w:tab/>
        <w:t>34</w:t>
      </w:r>
    </w:p>
    <w:p w:rsidR="00712E44" w:rsidRPr="006B6AED" w:rsidRDefault="00712E44" w:rsidP="00854A67">
      <w:pPr>
        <w:autoSpaceDE w:val="0"/>
        <w:autoSpaceDN w:val="0"/>
        <w:adjustRightInd w:val="0"/>
        <w:spacing w:line="360" w:lineRule="auto"/>
        <w:rPr>
          <w:bCs/>
          <w:szCs w:val="18"/>
        </w:rPr>
      </w:pPr>
      <w:r>
        <w:rPr>
          <w:bCs/>
          <w:szCs w:val="18"/>
        </w:rPr>
        <w:t>3.4.2 Zásady zavedení eura……………………………………………………………….</w:t>
      </w:r>
      <w:r>
        <w:rPr>
          <w:bCs/>
          <w:szCs w:val="18"/>
        </w:rPr>
        <w:tab/>
        <w:t>34</w:t>
      </w:r>
    </w:p>
    <w:p w:rsidR="00712E44" w:rsidRDefault="00712E44" w:rsidP="00854A67">
      <w:pPr>
        <w:autoSpaceDE w:val="0"/>
        <w:autoSpaceDN w:val="0"/>
        <w:adjustRightInd w:val="0"/>
        <w:spacing w:line="360" w:lineRule="auto"/>
        <w:rPr>
          <w:szCs w:val="18"/>
        </w:rPr>
      </w:pPr>
      <w:r>
        <w:rPr>
          <w:szCs w:val="18"/>
        </w:rPr>
        <w:t>3.5 Slovenské euromince a eurobankovky………………………………………………..</w:t>
      </w:r>
      <w:r>
        <w:rPr>
          <w:szCs w:val="18"/>
        </w:rPr>
        <w:tab/>
        <w:t>36</w:t>
      </w:r>
    </w:p>
    <w:p w:rsidR="00712E44" w:rsidRDefault="00712E44" w:rsidP="00854A67">
      <w:pPr>
        <w:autoSpaceDE w:val="0"/>
        <w:autoSpaceDN w:val="0"/>
        <w:adjustRightInd w:val="0"/>
        <w:spacing w:line="360" w:lineRule="auto"/>
        <w:rPr>
          <w:b/>
          <w:bCs/>
          <w:szCs w:val="18"/>
        </w:rPr>
      </w:pPr>
      <w:r>
        <w:rPr>
          <w:b/>
          <w:bCs/>
          <w:szCs w:val="18"/>
        </w:rPr>
        <w:t>4. Dosavadní přínosy a náklady zavedení eura na Slovensku.………………………...37</w:t>
      </w:r>
    </w:p>
    <w:p w:rsidR="00712E44" w:rsidRDefault="00712E44" w:rsidP="00854A67">
      <w:pPr>
        <w:autoSpaceDE w:val="0"/>
        <w:autoSpaceDN w:val="0"/>
        <w:adjustRightInd w:val="0"/>
        <w:spacing w:line="360" w:lineRule="auto"/>
        <w:jc w:val="both"/>
        <w:rPr>
          <w:szCs w:val="18"/>
        </w:rPr>
      </w:pPr>
      <w:r>
        <w:rPr>
          <w:szCs w:val="18"/>
        </w:rPr>
        <w:t>4.1 Stabilita a síla eura…………………………………………………………………….</w:t>
      </w:r>
      <w:r>
        <w:rPr>
          <w:szCs w:val="18"/>
        </w:rPr>
        <w:tab/>
        <w:t>37</w:t>
      </w:r>
    </w:p>
    <w:p w:rsidR="00712E44" w:rsidRDefault="00712E44" w:rsidP="00854A67">
      <w:pPr>
        <w:autoSpaceDE w:val="0"/>
        <w:autoSpaceDN w:val="0"/>
        <w:adjustRightInd w:val="0"/>
        <w:spacing w:line="360" w:lineRule="auto"/>
        <w:jc w:val="both"/>
        <w:rPr>
          <w:szCs w:val="18"/>
        </w:rPr>
      </w:pPr>
      <w:r>
        <w:rPr>
          <w:szCs w:val="18"/>
        </w:rPr>
        <w:t>4.2 Výhody a přínosy zavedení eura ……………………………………….......................39</w:t>
      </w:r>
    </w:p>
    <w:p w:rsidR="00712E44" w:rsidRDefault="00712E44" w:rsidP="00854A67">
      <w:pPr>
        <w:autoSpaceDE w:val="0"/>
        <w:autoSpaceDN w:val="0"/>
        <w:adjustRightInd w:val="0"/>
        <w:spacing w:line="360" w:lineRule="auto"/>
        <w:rPr>
          <w:szCs w:val="18"/>
        </w:rPr>
      </w:pPr>
      <w:r>
        <w:rPr>
          <w:szCs w:val="18"/>
        </w:rPr>
        <w:t>4.3 Přímé výhody a nepřímé přínosy zavedení eura….…………………………………...</w:t>
      </w:r>
      <w:r>
        <w:rPr>
          <w:szCs w:val="18"/>
        </w:rPr>
        <w:tab/>
        <w:t>39</w:t>
      </w:r>
    </w:p>
    <w:p w:rsidR="00712E44" w:rsidRDefault="00712E44" w:rsidP="00854A67">
      <w:pPr>
        <w:autoSpaceDE w:val="0"/>
        <w:autoSpaceDN w:val="0"/>
        <w:adjustRightInd w:val="0"/>
        <w:spacing w:line="360" w:lineRule="auto"/>
        <w:rPr>
          <w:szCs w:val="18"/>
        </w:rPr>
      </w:pPr>
      <w:r>
        <w:rPr>
          <w:szCs w:val="18"/>
        </w:rPr>
        <w:lastRenderedPageBreak/>
        <w:t>4.3.1 Eliminace transakčních nákladů …………………………………………................</w:t>
      </w:r>
      <w:r>
        <w:rPr>
          <w:szCs w:val="18"/>
        </w:rPr>
        <w:tab/>
        <w:t>40</w:t>
      </w:r>
    </w:p>
    <w:p w:rsidR="00712E44" w:rsidRDefault="00712E44" w:rsidP="00854A67">
      <w:pPr>
        <w:autoSpaceDE w:val="0"/>
        <w:autoSpaceDN w:val="0"/>
        <w:adjustRightInd w:val="0"/>
        <w:spacing w:line="360" w:lineRule="auto"/>
        <w:rPr>
          <w:szCs w:val="18"/>
        </w:rPr>
      </w:pPr>
      <w:r>
        <w:rPr>
          <w:szCs w:val="18"/>
        </w:rPr>
        <w:t>4.3.2 Vliv zavedení eura na eliminaci kurzového rizika………………………………….</w:t>
      </w:r>
      <w:r>
        <w:rPr>
          <w:szCs w:val="18"/>
        </w:rPr>
        <w:tab/>
        <w:t>42</w:t>
      </w:r>
    </w:p>
    <w:p w:rsidR="00712E44" w:rsidRDefault="00712E44" w:rsidP="00854A67">
      <w:pPr>
        <w:autoSpaceDE w:val="0"/>
        <w:autoSpaceDN w:val="0"/>
        <w:adjustRightInd w:val="0"/>
        <w:spacing w:line="360" w:lineRule="auto"/>
        <w:rPr>
          <w:szCs w:val="18"/>
        </w:rPr>
      </w:pPr>
      <w:r>
        <w:rPr>
          <w:szCs w:val="18"/>
        </w:rPr>
        <w:t>4.3.3 Vliv zavedení eura na transparentnost cen………………………………………….</w:t>
      </w:r>
      <w:r>
        <w:rPr>
          <w:szCs w:val="18"/>
        </w:rPr>
        <w:tab/>
        <w:t>44</w:t>
      </w:r>
    </w:p>
    <w:p w:rsidR="00712E44" w:rsidRDefault="00712E44" w:rsidP="00854A67">
      <w:pPr>
        <w:autoSpaceDE w:val="0"/>
        <w:autoSpaceDN w:val="0"/>
        <w:adjustRightInd w:val="0"/>
        <w:spacing w:line="360" w:lineRule="auto"/>
        <w:rPr>
          <w:szCs w:val="18"/>
        </w:rPr>
      </w:pPr>
      <w:r>
        <w:rPr>
          <w:szCs w:val="18"/>
        </w:rPr>
        <w:t>4.3.4 Vliv zavedení eura na pokles nákladů kapitálu……………………………………..</w:t>
      </w:r>
      <w:r>
        <w:rPr>
          <w:szCs w:val="18"/>
        </w:rPr>
        <w:tab/>
        <w:t>44</w:t>
      </w:r>
    </w:p>
    <w:p w:rsidR="00712E44" w:rsidRDefault="00712E44" w:rsidP="00854A67">
      <w:pPr>
        <w:autoSpaceDE w:val="0"/>
        <w:autoSpaceDN w:val="0"/>
        <w:adjustRightInd w:val="0"/>
        <w:spacing w:line="360" w:lineRule="auto"/>
        <w:rPr>
          <w:szCs w:val="18"/>
        </w:rPr>
      </w:pPr>
      <w:r>
        <w:rPr>
          <w:szCs w:val="18"/>
        </w:rPr>
        <w:t>4.4 Vliv zavedení eura na ekonomický růst Slovenska…………………………………...</w:t>
      </w:r>
      <w:r>
        <w:rPr>
          <w:szCs w:val="18"/>
        </w:rPr>
        <w:tab/>
        <w:t>45</w:t>
      </w:r>
    </w:p>
    <w:p w:rsidR="00712E44" w:rsidRDefault="00712E44" w:rsidP="00854A67">
      <w:pPr>
        <w:autoSpaceDE w:val="0"/>
        <w:autoSpaceDN w:val="0"/>
        <w:adjustRightInd w:val="0"/>
        <w:spacing w:line="360" w:lineRule="auto"/>
        <w:rPr>
          <w:szCs w:val="18"/>
        </w:rPr>
      </w:pPr>
      <w:r>
        <w:rPr>
          <w:szCs w:val="18"/>
        </w:rPr>
        <w:t>4.5 Slovenská ekonomika v roce 2009 a 2010……………………………………………</w:t>
      </w:r>
      <w:r>
        <w:rPr>
          <w:szCs w:val="18"/>
        </w:rPr>
        <w:tab/>
        <w:t>45</w:t>
      </w:r>
    </w:p>
    <w:p w:rsidR="00712E44" w:rsidRDefault="00712E44" w:rsidP="00854A67">
      <w:pPr>
        <w:autoSpaceDE w:val="0"/>
        <w:autoSpaceDN w:val="0"/>
        <w:adjustRightInd w:val="0"/>
        <w:spacing w:line="360" w:lineRule="auto"/>
        <w:rPr>
          <w:szCs w:val="18"/>
        </w:rPr>
      </w:pPr>
      <w:r>
        <w:rPr>
          <w:szCs w:val="18"/>
        </w:rPr>
        <w:t>4.5.1 Vliv zavedení eura na zahraniční obchod…………………………………………...</w:t>
      </w:r>
      <w:r>
        <w:rPr>
          <w:szCs w:val="18"/>
        </w:rPr>
        <w:tab/>
        <w:t>47</w:t>
      </w:r>
    </w:p>
    <w:p w:rsidR="00712E44" w:rsidRDefault="00712E44" w:rsidP="00854A67">
      <w:pPr>
        <w:autoSpaceDE w:val="0"/>
        <w:autoSpaceDN w:val="0"/>
        <w:adjustRightInd w:val="0"/>
        <w:spacing w:line="360" w:lineRule="auto"/>
        <w:rPr>
          <w:szCs w:val="18"/>
        </w:rPr>
      </w:pPr>
      <w:r>
        <w:rPr>
          <w:szCs w:val="18"/>
        </w:rPr>
        <w:t>4.5.2 Vliv zavedení eura na vývoj průmyslové produkce………………………………...</w:t>
      </w:r>
      <w:r>
        <w:rPr>
          <w:szCs w:val="18"/>
        </w:rPr>
        <w:tab/>
        <w:t>49</w:t>
      </w:r>
    </w:p>
    <w:p w:rsidR="00712E44" w:rsidRDefault="00712E44" w:rsidP="00854A67">
      <w:pPr>
        <w:autoSpaceDE w:val="0"/>
        <w:autoSpaceDN w:val="0"/>
        <w:adjustRightInd w:val="0"/>
        <w:spacing w:line="360" w:lineRule="auto"/>
        <w:rPr>
          <w:szCs w:val="18"/>
        </w:rPr>
      </w:pPr>
      <w:r>
        <w:rPr>
          <w:szCs w:val="18"/>
        </w:rPr>
        <w:t>4.5.3 Vliv zavedení eura na vývoj spotřebitelských cen (inflace)………………………...</w:t>
      </w:r>
      <w:r>
        <w:rPr>
          <w:szCs w:val="18"/>
        </w:rPr>
        <w:tab/>
        <w:t>50</w:t>
      </w:r>
    </w:p>
    <w:p w:rsidR="00712E44" w:rsidRDefault="00712E44" w:rsidP="00854A67">
      <w:pPr>
        <w:autoSpaceDE w:val="0"/>
        <w:autoSpaceDN w:val="0"/>
        <w:adjustRightInd w:val="0"/>
        <w:spacing w:line="360" w:lineRule="auto"/>
        <w:rPr>
          <w:szCs w:val="18"/>
        </w:rPr>
      </w:pPr>
      <w:r>
        <w:rPr>
          <w:szCs w:val="18"/>
        </w:rPr>
        <w:t>4.5.4 Vývoj inflace na Slovensku v roce 2009 a 2010……………………………………</w:t>
      </w:r>
      <w:r>
        <w:rPr>
          <w:szCs w:val="18"/>
        </w:rPr>
        <w:tab/>
        <w:t>52</w:t>
      </w:r>
    </w:p>
    <w:p w:rsidR="00712E44" w:rsidRDefault="00712E44" w:rsidP="00854A67">
      <w:pPr>
        <w:autoSpaceDE w:val="0"/>
        <w:autoSpaceDN w:val="0"/>
        <w:adjustRightInd w:val="0"/>
        <w:spacing w:line="360" w:lineRule="auto"/>
        <w:rPr>
          <w:szCs w:val="18"/>
        </w:rPr>
      </w:pPr>
      <w:r>
        <w:rPr>
          <w:szCs w:val="18"/>
        </w:rPr>
        <w:t>4.5.5 Vliv zavedení eura na dosažení vyrovnaného veřejného rozpočtu…………………</w:t>
      </w:r>
      <w:r>
        <w:rPr>
          <w:szCs w:val="18"/>
        </w:rPr>
        <w:tab/>
        <w:t>55</w:t>
      </w:r>
    </w:p>
    <w:p w:rsidR="00712E44" w:rsidRDefault="00712E44" w:rsidP="00854A67">
      <w:pPr>
        <w:autoSpaceDE w:val="0"/>
        <w:autoSpaceDN w:val="0"/>
        <w:adjustRightInd w:val="0"/>
        <w:spacing w:line="360" w:lineRule="auto"/>
        <w:rPr>
          <w:szCs w:val="18"/>
        </w:rPr>
      </w:pPr>
      <w:r>
        <w:rPr>
          <w:szCs w:val="18"/>
        </w:rPr>
        <w:t>4.5.6 Vývoj míry nezaměstnanosti na Slovensku v průběhu členství v eurozóně………..</w:t>
      </w:r>
      <w:r>
        <w:rPr>
          <w:szCs w:val="18"/>
        </w:rPr>
        <w:tab/>
        <w:t>56</w:t>
      </w:r>
    </w:p>
    <w:p w:rsidR="00712E44" w:rsidRDefault="00712E44" w:rsidP="00854A67">
      <w:pPr>
        <w:autoSpaceDE w:val="0"/>
        <w:autoSpaceDN w:val="0"/>
        <w:adjustRightInd w:val="0"/>
        <w:spacing w:line="360" w:lineRule="auto"/>
        <w:rPr>
          <w:szCs w:val="18"/>
        </w:rPr>
      </w:pPr>
      <w:r>
        <w:rPr>
          <w:szCs w:val="18"/>
        </w:rPr>
        <w:t>4.5.7 Vliv zavedení eura na příliv zahraničních investic………………………………….</w:t>
      </w:r>
      <w:r>
        <w:rPr>
          <w:szCs w:val="18"/>
        </w:rPr>
        <w:tab/>
        <w:t>58</w:t>
      </w:r>
    </w:p>
    <w:p w:rsidR="00712E44" w:rsidRDefault="00712E44" w:rsidP="00854A67">
      <w:pPr>
        <w:autoSpaceDE w:val="0"/>
        <w:autoSpaceDN w:val="0"/>
        <w:adjustRightInd w:val="0"/>
        <w:spacing w:line="360" w:lineRule="auto"/>
        <w:rPr>
          <w:szCs w:val="18"/>
        </w:rPr>
      </w:pPr>
      <w:r>
        <w:rPr>
          <w:szCs w:val="18"/>
        </w:rPr>
        <w:t>4.5.8 Vliv zavedení eura na úrokové míry…………………………………………………59</w:t>
      </w:r>
    </w:p>
    <w:p w:rsidR="00712E44" w:rsidRDefault="00712E44" w:rsidP="00854A67">
      <w:pPr>
        <w:autoSpaceDE w:val="0"/>
        <w:autoSpaceDN w:val="0"/>
        <w:adjustRightInd w:val="0"/>
        <w:spacing w:line="360" w:lineRule="auto"/>
        <w:rPr>
          <w:szCs w:val="18"/>
        </w:rPr>
      </w:pPr>
      <w:r>
        <w:rPr>
          <w:szCs w:val="18"/>
        </w:rPr>
        <w:t>4.6 Náklady a nevýhody zavedení eura……………………………………………………60</w:t>
      </w:r>
    </w:p>
    <w:p w:rsidR="00712E44" w:rsidRDefault="00712E44" w:rsidP="00854A67">
      <w:pPr>
        <w:autoSpaceDE w:val="0"/>
        <w:autoSpaceDN w:val="0"/>
        <w:adjustRightInd w:val="0"/>
        <w:spacing w:line="360" w:lineRule="auto"/>
        <w:rPr>
          <w:szCs w:val="18"/>
        </w:rPr>
      </w:pPr>
      <w:r>
        <w:rPr>
          <w:szCs w:val="18"/>
        </w:rPr>
        <w:t>4.7 Rizika a obavy ze zavedení eura……………………………………………………...</w:t>
      </w:r>
      <w:r>
        <w:rPr>
          <w:szCs w:val="18"/>
        </w:rPr>
        <w:tab/>
        <w:t>62</w:t>
      </w:r>
    </w:p>
    <w:p w:rsidR="00712E44" w:rsidRDefault="00712E44" w:rsidP="00854A67">
      <w:pPr>
        <w:autoSpaceDE w:val="0"/>
        <w:autoSpaceDN w:val="0"/>
        <w:adjustRightInd w:val="0"/>
        <w:spacing w:line="360" w:lineRule="auto"/>
        <w:rPr>
          <w:szCs w:val="18"/>
        </w:rPr>
      </w:pPr>
      <w:r>
        <w:rPr>
          <w:szCs w:val="18"/>
        </w:rPr>
        <w:t>4.8 Kvantifikace výhod a nevýhod zavedení eura na základě studie NBS……………….</w:t>
      </w:r>
      <w:r>
        <w:rPr>
          <w:szCs w:val="18"/>
        </w:rPr>
        <w:tab/>
        <w:t>62</w:t>
      </w:r>
    </w:p>
    <w:p w:rsidR="00712E44" w:rsidRDefault="00712E44" w:rsidP="00854A67">
      <w:pPr>
        <w:autoSpaceDE w:val="0"/>
        <w:autoSpaceDN w:val="0"/>
        <w:adjustRightInd w:val="0"/>
        <w:spacing w:line="360" w:lineRule="auto"/>
        <w:rPr>
          <w:b/>
          <w:bCs/>
          <w:szCs w:val="18"/>
        </w:rPr>
      </w:pPr>
      <w:r>
        <w:rPr>
          <w:b/>
          <w:bCs/>
          <w:szCs w:val="18"/>
        </w:rPr>
        <w:t>5. Postoj obyvatel Slovenska ke vstupu do eurozóny…………………………………..64</w:t>
      </w:r>
    </w:p>
    <w:p w:rsidR="00712E44" w:rsidRDefault="00712E44" w:rsidP="00854A67">
      <w:pPr>
        <w:autoSpaceDE w:val="0"/>
        <w:autoSpaceDN w:val="0"/>
        <w:adjustRightInd w:val="0"/>
        <w:spacing w:line="360" w:lineRule="auto"/>
        <w:rPr>
          <w:szCs w:val="18"/>
        </w:rPr>
      </w:pPr>
      <w:r>
        <w:rPr>
          <w:szCs w:val="18"/>
        </w:rPr>
        <w:t>5.1 Euro jako psychologická změna pro slovenské obyvatele….………………………...</w:t>
      </w:r>
      <w:r>
        <w:rPr>
          <w:szCs w:val="18"/>
        </w:rPr>
        <w:tab/>
        <w:t>64</w:t>
      </w:r>
    </w:p>
    <w:p w:rsidR="00712E44" w:rsidRDefault="00712E44" w:rsidP="00854A67">
      <w:pPr>
        <w:autoSpaceDE w:val="0"/>
        <w:autoSpaceDN w:val="0"/>
        <w:adjustRightInd w:val="0"/>
        <w:spacing w:line="360" w:lineRule="auto"/>
        <w:rPr>
          <w:szCs w:val="18"/>
        </w:rPr>
      </w:pPr>
      <w:r>
        <w:rPr>
          <w:szCs w:val="18"/>
        </w:rPr>
        <w:t>5.2 Dotazníkové šetření…………………………………………………………………...</w:t>
      </w:r>
      <w:r>
        <w:rPr>
          <w:szCs w:val="18"/>
        </w:rPr>
        <w:tab/>
        <w:t>64</w:t>
      </w:r>
    </w:p>
    <w:p w:rsidR="00712E44" w:rsidRDefault="00712E44" w:rsidP="00854A67">
      <w:pPr>
        <w:autoSpaceDE w:val="0"/>
        <w:autoSpaceDN w:val="0"/>
        <w:adjustRightInd w:val="0"/>
        <w:spacing w:line="360" w:lineRule="auto"/>
        <w:rPr>
          <w:szCs w:val="18"/>
        </w:rPr>
      </w:pPr>
      <w:r>
        <w:rPr>
          <w:szCs w:val="18"/>
        </w:rPr>
        <w:t>5.2.1 Výsledky dotazníkového šetření…………………………………………………….</w:t>
      </w:r>
      <w:r>
        <w:rPr>
          <w:szCs w:val="18"/>
        </w:rPr>
        <w:tab/>
        <w:t>65</w:t>
      </w:r>
    </w:p>
    <w:p w:rsidR="00712E44" w:rsidRDefault="00712E44" w:rsidP="00854A67">
      <w:pPr>
        <w:autoSpaceDE w:val="0"/>
        <w:autoSpaceDN w:val="0"/>
        <w:adjustRightInd w:val="0"/>
        <w:spacing w:line="360" w:lineRule="auto"/>
        <w:rPr>
          <w:szCs w:val="18"/>
        </w:rPr>
      </w:pPr>
      <w:r>
        <w:rPr>
          <w:szCs w:val="18"/>
        </w:rPr>
        <w:t>5.2.2 Shrnutí dotazníkového šetření…………………………………………………….…74</w:t>
      </w:r>
    </w:p>
    <w:p w:rsidR="00712E44" w:rsidRDefault="00712E44" w:rsidP="00854A67">
      <w:pPr>
        <w:autoSpaceDE w:val="0"/>
        <w:autoSpaceDN w:val="0"/>
        <w:adjustRightInd w:val="0"/>
        <w:spacing w:line="360" w:lineRule="auto"/>
        <w:rPr>
          <w:b/>
          <w:bCs/>
          <w:szCs w:val="18"/>
        </w:rPr>
      </w:pPr>
      <w:r>
        <w:rPr>
          <w:b/>
          <w:bCs/>
          <w:szCs w:val="18"/>
        </w:rPr>
        <w:t>6. Závěr a zhodnocení dosažených cílů………………...………………………………..76</w:t>
      </w:r>
    </w:p>
    <w:p w:rsidR="00712E44" w:rsidRDefault="00712E44" w:rsidP="00854A67">
      <w:pPr>
        <w:autoSpaceDE w:val="0"/>
        <w:autoSpaceDN w:val="0"/>
        <w:adjustRightInd w:val="0"/>
        <w:spacing w:line="360" w:lineRule="auto"/>
        <w:jc w:val="both"/>
        <w:rPr>
          <w:szCs w:val="18"/>
        </w:rPr>
      </w:pPr>
      <w:r>
        <w:rPr>
          <w:szCs w:val="18"/>
        </w:rPr>
        <w:t>6.1 Zhodnocení dosažených cílů ………………………………….……………………...</w:t>
      </w:r>
      <w:r>
        <w:rPr>
          <w:szCs w:val="18"/>
        </w:rPr>
        <w:tab/>
        <w:t>76</w:t>
      </w:r>
    </w:p>
    <w:p w:rsidR="00712E44" w:rsidRDefault="00712E44" w:rsidP="00854A67">
      <w:pPr>
        <w:autoSpaceDE w:val="0"/>
        <w:autoSpaceDN w:val="0"/>
        <w:adjustRightInd w:val="0"/>
        <w:spacing w:line="360" w:lineRule="auto"/>
        <w:rPr>
          <w:szCs w:val="18"/>
        </w:rPr>
      </w:pPr>
      <w:r>
        <w:rPr>
          <w:szCs w:val="18"/>
        </w:rPr>
        <w:t>6.2 Návrh řešení…………………………………………………………………………...</w:t>
      </w:r>
      <w:r>
        <w:rPr>
          <w:szCs w:val="18"/>
        </w:rPr>
        <w:tab/>
        <w:t>79</w:t>
      </w:r>
    </w:p>
    <w:p w:rsidR="00712E44" w:rsidRDefault="00712E44" w:rsidP="00854A67">
      <w:pPr>
        <w:autoSpaceDE w:val="0"/>
        <w:autoSpaceDN w:val="0"/>
        <w:adjustRightInd w:val="0"/>
        <w:spacing w:line="360" w:lineRule="auto"/>
        <w:jc w:val="both"/>
        <w:rPr>
          <w:b/>
          <w:bCs/>
          <w:szCs w:val="18"/>
        </w:rPr>
      </w:pPr>
      <w:r>
        <w:rPr>
          <w:b/>
          <w:bCs/>
          <w:szCs w:val="18"/>
        </w:rPr>
        <w:t>Závěr……………………………………………………………………………………...</w:t>
      </w:r>
      <w:r>
        <w:rPr>
          <w:b/>
          <w:bCs/>
          <w:szCs w:val="18"/>
        </w:rPr>
        <w:tab/>
        <w:t>81</w:t>
      </w:r>
    </w:p>
    <w:p w:rsidR="00712E44" w:rsidRDefault="00712E44" w:rsidP="00854A67">
      <w:pPr>
        <w:autoSpaceDE w:val="0"/>
        <w:autoSpaceDN w:val="0"/>
        <w:adjustRightInd w:val="0"/>
        <w:spacing w:line="360" w:lineRule="auto"/>
        <w:jc w:val="both"/>
        <w:rPr>
          <w:b/>
          <w:bCs/>
          <w:szCs w:val="18"/>
        </w:rPr>
      </w:pPr>
      <w:r>
        <w:rPr>
          <w:b/>
          <w:bCs/>
          <w:szCs w:val="18"/>
        </w:rPr>
        <w:t>Seznam citací…………………………………………………………………………….</w:t>
      </w:r>
      <w:r>
        <w:rPr>
          <w:b/>
          <w:bCs/>
          <w:szCs w:val="18"/>
        </w:rPr>
        <w:tab/>
        <w:t>85</w:t>
      </w:r>
    </w:p>
    <w:p w:rsidR="00712E44" w:rsidRDefault="00712E44" w:rsidP="00854A67">
      <w:pPr>
        <w:autoSpaceDE w:val="0"/>
        <w:autoSpaceDN w:val="0"/>
        <w:adjustRightInd w:val="0"/>
        <w:spacing w:line="360" w:lineRule="auto"/>
        <w:jc w:val="both"/>
        <w:rPr>
          <w:b/>
          <w:bCs/>
          <w:szCs w:val="18"/>
        </w:rPr>
      </w:pPr>
      <w:r>
        <w:rPr>
          <w:b/>
          <w:bCs/>
          <w:szCs w:val="18"/>
        </w:rPr>
        <w:t>Seznam použité literatury……………………………………………………………….</w:t>
      </w:r>
      <w:r>
        <w:rPr>
          <w:b/>
          <w:bCs/>
          <w:szCs w:val="18"/>
        </w:rPr>
        <w:tab/>
        <w:t>89</w:t>
      </w:r>
    </w:p>
    <w:p w:rsidR="00712E44" w:rsidRDefault="00712E44" w:rsidP="00854A67">
      <w:pPr>
        <w:autoSpaceDE w:val="0"/>
        <w:autoSpaceDN w:val="0"/>
        <w:adjustRightInd w:val="0"/>
        <w:spacing w:line="360" w:lineRule="auto"/>
        <w:jc w:val="both"/>
        <w:rPr>
          <w:b/>
          <w:bCs/>
          <w:szCs w:val="18"/>
        </w:rPr>
      </w:pPr>
      <w:r>
        <w:rPr>
          <w:b/>
          <w:bCs/>
          <w:szCs w:val="18"/>
        </w:rPr>
        <w:t>Seznam příloh……………………………………………………………………………</w:t>
      </w:r>
      <w:r>
        <w:rPr>
          <w:b/>
          <w:bCs/>
          <w:szCs w:val="18"/>
        </w:rPr>
        <w:tab/>
        <w:t>9</w:t>
      </w:r>
      <w:r w:rsidR="000C72D8">
        <w:rPr>
          <w:b/>
          <w:bCs/>
          <w:szCs w:val="18"/>
        </w:rPr>
        <w:t>1</w:t>
      </w:r>
    </w:p>
    <w:p w:rsidR="00712E44" w:rsidRDefault="00712E44" w:rsidP="00DD55D3">
      <w:pPr>
        <w:autoSpaceDE w:val="0"/>
        <w:autoSpaceDN w:val="0"/>
        <w:adjustRightInd w:val="0"/>
        <w:jc w:val="both"/>
        <w:rPr>
          <w:b/>
          <w:bCs/>
          <w:szCs w:val="18"/>
        </w:rPr>
      </w:pPr>
    </w:p>
    <w:p w:rsidR="00712E44" w:rsidRDefault="00712E44" w:rsidP="00DD55D3">
      <w:pPr>
        <w:autoSpaceDE w:val="0"/>
        <w:autoSpaceDN w:val="0"/>
        <w:adjustRightInd w:val="0"/>
        <w:jc w:val="both"/>
        <w:rPr>
          <w:szCs w:val="18"/>
        </w:rPr>
      </w:pPr>
    </w:p>
    <w:p w:rsidR="00712E44" w:rsidRDefault="00712E44" w:rsidP="00DD55D3">
      <w:pPr>
        <w:autoSpaceDE w:val="0"/>
        <w:autoSpaceDN w:val="0"/>
        <w:adjustRightInd w:val="0"/>
        <w:jc w:val="both"/>
        <w:rPr>
          <w:szCs w:val="18"/>
        </w:rPr>
      </w:pPr>
    </w:p>
    <w:p w:rsidR="00712E44" w:rsidRDefault="00712E44" w:rsidP="00DD55D3">
      <w:pPr>
        <w:autoSpaceDE w:val="0"/>
        <w:autoSpaceDN w:val="0"/>
        <w:adjustRightInd w:val="0"/>
        <w:jc w:val="both"/>
        <w:rPr>
          <w:szCs w:val="18"/>
        </w:rPr>
      </w:pPr>
    </w:p>
    <w:p w:rsidR="00712E44" w:rsidRDefault="00712E44" w:rsidP="00DD55D3">
      <w:pPr>
        <w:autoSpaceDE w:val="0"/>
        <w:autoSpaceDN w:val="0"/>
        <w:adjustRightInd w:val="0"/>
        <w:jc w:val="both"/>
        <w:rPr>
          <w:szCs w:val="18"/>
        </w:rPr>
      </w:pPr>
    </w:p>
    <w:p w:rsidR="00712E44" w:rsidRDefault="00712E44" w:rsidP="00D7630A">
      <w:pPr>
        <w:spacing w:line="360" w:lineRule="auto"/>
        <w:rPr>
          <w:b/>
          <w:sz w:val="26"/>
          <w:szCs w:val="26"/>
        </w:rPr>
      </w:pPr>
    </w:p>
    <w:p w:rsidR="00712E44" w:rsidRPr="00113C5E" w:rsidRDefault="00712E44" w:rsidP="00D7630A">
      <w:pPr>
        <w:spacing w:line="360" w:lineRule="auto"/>
        <w:rPr>
          <w:b/>
          <w:sz w:val="26"/>
          <w:szCs w:val="26"/>
        </w:rPr>
      </w:pPr>
      <w:r w:rsidRPr="00113C5E">
        <w:rPr>
          <w:b/>
          <w:sz w:val="26"/>
          <w:szCs w:val="26"/>
        </w:rPr>
        <w:lastRenderedPageBreak/>
        <w:t>Seznam obrázků</w:t>
      </w:r>
    </w:p>
    <w:p w:rsidR="00712E44" w:rsidRDefault="00712E44" w:rsidP="00D7630A">
      <w:pPr>
        <w:spacing w:line="360" w:lineRule="auto"/>
        <w:rPr>
          <w:b/>
        </w:rPr>
      </w:pPr>
    </w:p>
    <w:p w:rsidR="00712E44" w:rsidRPr="00B4561A" w:rsidRDefault="00712E44" w:rsidP="00D7630A">
      <w:pPr>
        <w:spacing w:line="360" w:lineRule="auto"/>
      </w:pPr>
      <w:r w:rsidRPr="00B4561A">
        <w:t>Obr. 1 Eurozóna k 1. lednu 2011</w:t>
      </w:r>
    </w:p>
    <w:p w:rsidR="00712E44" w:rsidRPr="00B4561A" w:rsidRDefault="00712E44" w:rsidP="00D7630A">
      <w:pPr>
        <w:spacing w:line="360" w:lineRule="auto"/>
      </w:pPr>
      <w:r w:rsidRPr="00B4561A">
        <w:t>Obr. 2 Vývoj čtvrtletního meziročního HDP</w:t>
      </w:r>
    </w:p>
    <w:p w:rsidR="00712E44" w:rsidRPr="00B4561A" w:rsidRDefault="00712E44" w:rsidP="00D7630A">
      <w:pPr>
        <w:spacing w:line="360" w:lineRule="auto"/>
        <w:rPr>
          <w:i/>
        </w:rPr>
      </w:pPr>
      <w:r w:rsidRPr="00B4561A">
        <w:t>Obr. 3 Podíl eurozóny a České republiky na celkovém exportu SR v období 2008 – 2010</w:t>
      </w:r>
      <w:r w:rsidRPr="00B4561A">
        <w:rPr>
          <w:i/>
        </w:rPr>
        <w:t xml:space="preserve">    </w:t>
      </w:r>
    </w:p>
    <w:p w:rsidR="00712E44" w:rsidRPr="00B4561A" w:rsidRDefault="00712E44" w:rsidP="00D7630A">
      <w:pPr>
        <w:spacing w:line="360" w:lineRule="auto"/>
        <w:rPr>
          <w:i/>
        </w:rPr>
      </w:pPr>
      <w:r w:rsidRPr="00B4561A">
        <w:t>Obr. 4 Podíl eurozóny a České republiky na celkovém importu SR období 2008 – 2010</w:t>
      </w:r>
      <w:r w:rsidRPr="00B4561A">
        <w:rPr>
          <w:i/>
        </w:rPr>
        <w:t xml:space="preserve">       </w:t>
      </w:r>
    </w:p>
    <w:p w:rsidR="00712E44" w:rsidRDefault="00712E44" w:rsidP="00D7630A">
      <w:pPr>
        <w:spacing w:line="360" w:lineRule="auto"/>
      </w:pPr>
      <w:r w:rsidRPr="00BB43D8">
        <w:t>Obr. 5 Vývoj průmyslové produkce na Slovensku v roce 2009ve srovnání s ČR, eurozónou</w:t>
      </w:r>
    </w:p>
    <w:p w:rsidR="00712E44" w:rsidRPr="00BB43D8" w:rsidRDefault="00712E44" w:rsidP="00D7630A">
      <w:pPr>
        <w:spacing w:line="360" w:lineRule="auto"/>
        <w:ind w:firstLine="708"/>
      </w:pPr>
      <w:r>
        <w:t xml:space="preserve">a </w:t>
      </w:r>
      <w:r w:rsidRPr="00BB43D8">
        <w:t xml:space="preserve">celou EU (index 2005 = 100)                                 </w:t>
      </w:r>
    </w:p>
    <w:p w:rsidR="00712E44" w:rsidRPr="00B4561A" w:rsidRDefault="00712E44" w:rsidP="00D7630A">
      <w:pPr>
        <w:spacing w:line="360" w:lineRule="auto"/>
      </w:pPr>
      <w:r w:rsidRPr="00B4561A">
        <w:t xml:space="preserve">Obr. </w:t>
      </w:r>
      <w:r>
        <w:t>6</w:t>
      </w:r>
      <w:r w:rsidRPr="00B4561A">
        <w:t xml:space="preserve"> Vývoj míry inflace na Slovensku v období 2008 – 2010 (měřeno národní metodikou)</w:t>
      </w:r>
    </w:p>
    <w:p w:rsidR="00712E44" w:rsidRPr="00B4561A" w:rsidRDefault="00712E44" w:rsidP="00D7630A">
      <w:pPr>
        <w:spacing w:line="360" w:lineRule="auto"/>
      </w:pPr>
      <w:r w:rsidRPr="00B4561A">
        <w:t xml:space="preserve">Obr. </w:t>
      </w:r>
      <w:r>
        <w:t>7</w:t>
      </w:r>
      <w:r w:rsidRPr="00B4561A">
        <w:t xml:space="preserve"> Vývoj průměrné roční míry HICP inflace v letech 2007 - 2010                          </w:t>
      </w:r>
    </w:p>
    <w:p w:rsidR="00712E44" w:rsidRPr="00B4561A" w:rsidRDefault="00712E44" w:rsidP="00D7630A">
      <w:pPr>
        <w:spacing w:line="360" w:lineRule="auto"/>
      </w:pPr>
      <w:r>
        <w:t>Obr. 8</w:t>
      </w:r>
      <w:r w:rsidRPr="00B4561A">
        <w:t xml:space="preserve"> Počet uchazečů o zaměstnání déle než 12 měsíců (vždy k prosinci)          </w:t>
      </w:r>
    </w:p>
    <w:p w:rsidR="00712E44" w:rsidRPr="00B4561A" w:rsidRDefault="00712E44" w:rsidP="00D7630A">
      <w:pPr>
        <w:spacing w:line="360" w:lineRule="auto"/>
        <w:rPr>
          <w:i/>
        </w:rPr>
      </w:pPr>
      <w:r>
        <w:t>Obr. 9</w:t>
      </w:r>
      <w:r w:rsidRPr="00B4561A">
        <w:t xml:space="preserve"> Struktura dlouhodobě se ucházejících o zaměstnání v prosinci 2010 podle krajů</w:t>
      </w:r>
      <w:r w:rsidRPr="00B4561A">
        <w:rPr>
          <w:i/>
        </w:rPr>
        <w:t xml:space="preserve">    </w:t>
      </w:r>
    </w:p>
    <w:p w:rsidR="00712E44" w:rsidRPr="00B4561A" w:rsidRDefault="00712E44" w:rsidP="00D7630A">
      <w:pPr>
        <w:spacing w:line="360" w:lineRule="auto"/>
        <w:rPr>
          <w:i/>
        </w:rPr>
      </w:pPr>
      <w:r>
        <w:t>Obr. 10</w:t>
      </w:r>
      <w:r w:rsidRPr="00B4561A">
        <w:t xml:space="preserve"> Vývoj úrokových sazeb nových úvěrů na bydlení</w:t>
      </w:r>
      <w:r w:rsidRPr="00B4561A">
        <w:rPr>
          <w:i/>
        </w:rPr>
        <w:t xml:space="preserve">   </w:t>
      </w:r>
    </w:p>
    <w:p w:rsidR="00712E44" w:rsidRPr="00B4561A" w:rsidRDefault="00712E44" w:rsidP="00D7630A">
      <w:pPr>
        <w:spacing w:line="360" w:lineRule="auto"/>
        <w:rPr>
          <w:i/>
        </w:rPr>
      </w:pPr>
      <w:r w:rsidRPr="00B4561A">
        <w:t>O</w:t>
      </w:r>
      <w:r>
        <w:t>br. 11</w:t>
      </w:r>
      <w:r w:rsidRPr="00B4561A">
        <w:t xml:space="preserve"> Vývoj úrokových sazeb nových úvěrů na bydlení a vkladů se splatností do 1 rok</w:t>
      </w:r>
      <w:r>
        <w:t>u</w:t>
      </w:r>
      <w:r w:rsidRPr="00B4561A">
        <w:rPr>
          <w:i/>
        </w:rPr>
        <w:t xml:space="preserve">   </w:t>
      </w:r>
    </w:p>
    <w:p w:rsidR="00712E44" w:rsidRPr="00747FEE" w:rsidRDefault="00712E44" w:rsidP="00D7630A">
      <w:pPr>
        <w:spacing w:line="360" w:lineRule="auto"/>
      </w:pPr>
      <w:r w:rsidRPr="00747FEE">
        <w:t>Obr. 12 Slovenské euromince</w:t>
      </w:r>
    </w:p>
    <w:p w:rsidR="00712E44" w:rsidRPr="00747FEE" w:rsidRDefault="00712E44" w:rsidP="00D7630A">
      <w:pPr>
        <w:spacing w:line="360" w:lineRule="auto"/>
      </w:pPr>
      <w:r w:rsidRPr="00747FEE">
        <w:t>Obr. 13 Slovenské eurobankovky</w:t>
      </w: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712E44" w:rsidRDefault="00712E44" w:rsidP="00D7630A">
      <w:pPr>
        <w:rPr>
          <w:b/>
          <w:sz w:val="26"/>
          <w:szCs w:val="26"/>
        </w:rPr>
      </w:pPr>
    </w:p>
    <w:p w:rsidR="00567DD7" w:rsidRDefault="00567DD7" w:rsidP="00D7630A">
      <w:pPr>
        <w:rPr>
          <w:b/>
          <w:sz w:val="26"/>
          <w:szCs w:val="26"/>
        </w:rPr>
      </w:pPr>
    </w:p>
    <w:p w:rsidR="00567DD7" w:rsidRDefault="00567DD7" w:rsidP="00D7630A">
      <w:pPr>
        <w:rPr>
          <w:b/>
          <w:sz w:val="26"/>
          <w:szCs w:val="26"/>
        </w:rPr>
      </w:pPr>
    </w:p>
    <w:p w:rsidR="00712E44" w:rsidRPr="00113C5E" w:rsidRDefault="00712E44" w:rsidP="00D7630A">
      <w:pPr>
        <w:rPr>
          <w:b/>
          <w:sz w:val="26"/>
          <w:szCs w:val="26"/>
        </w:rPr>
      </w:pPr>
      <w:r w:rsidRPr="00113C5E">
        <w:rPr>
          <w:b/>
          <w:sz w:val="26"/>
          <w:szCs w:val="26"/>
        </w:rPr>
        <w:lastRenderedPageBreak/>
        <w:t>Seznam tabulek</w:t>
      </w:r>
    </w:p>
    <w:p w:rsidR="00712E44" w:rsidRDefault="00712E44" w:rsidP="00D7630A">
      <w:pPr>
        <w:rPr>
          <w:b/>
        </w:rPr>
      </w:pPr>
    </w:p>
    <w:p w:rsidR="00712E44" w:rsidRPr="00993725" w:rsidRDefault="00712E44" w:rsidP="00D7630A">
      <w:pPr>
        <w:widowControl/>
        <w:suppressAutoHyphens w:val="0"/>
        <w:spacing w:before="100" w:beforeAutospacing="1" w:line="360" w:lineRule="auto"/>
        <w:jc w:val="both"/>
        <w:rPr>
          <w:rFonts w:eastAsia="Times New Roman"/>
          <w:kern w:val="0"/>
          <w:lang w:eastAsia="cs-CZ"/>
        </w:rPr>
      </w:pPr>
      <w:r w:rsidRPr="00993725">
        <w:rPr>
          <w:rFonts w:eastAsia="Times New Roman"/>
          <w:bCs/>
          <w:kern w:val="0"/>
          <w:lang w:eastAsia="cs-CZ"/>
        </w:rPr>
        <w:t>Tab. 1</w:t>
      </w:r>
      <w:r>
        <w:rPr>
          <w:rFonts w:eastAsia="Times New Roman"/>
          <w:bCs/>
          <w:kern w:val="0"/>
          <w:lang w:eastAsia="cs-CZ"/>
        </w:rPr>
        <w:tab/>
      </w:r>
      <w:r w:rsidRPr="00993725">
        <w:rPr>
          <w:rFonts w:eastAsia="Times New Roman"/>
          <w:bCs/>
          <w:kern w:val="0"/>
          <w:lang w:eastAsia="cs-CZ"/>
        </w:rPr>
        <w:t>Složení ECU v době vzniku (13. března 1979)</w:t>
      </w:r>
    </w:p>
    <w:p w:rsidR="00712E44" w:rsidRPr="00993725" w:rsidRDefault="00712E44" w:rsidP="00D7630A">
      <w:pPr>
        <w:spacing w:line="360" w:lineRule="auto"/>
        <w:jc w:val="both"/>
      </w:pPr>
      <w:r w:rsidRPr="00993725">
        <w:rPr>
          <w:bCs/>
        </w:rPr>
        <w:t>Tab. 2</w:t>
      </w:r>
      <w:r>
        <w:rPr>
          <w:bCs/>
        </w:rPr>
        <w:tab/>
      </w:r>
      <w:r w:rsidRPr="00993725">
        <w:rPr>
          <w:bCs/>
        </w:rPr>
        <w:t>Číselný odhad některých přínosů a nákladů zavedení eura v SR</w:t>
      </w:r>
    </w:p>
    <w:p w:rsidR="00712E44" w:rsidRDefault="00712E44" w:rsidP="00D7630A">
      <w:pPr>
        <w:spacing w:line="360" w:lineRule="auto"/>
        <w:jc w:val="both"/>
        <w:rPr>
          <w:bCs/>
        </w:rPr>
      </w:pPr>
      <w:r w:rsidRPr="00993725">
        <w:rPr>
          <w:bCs/>
        </w:rPr>
        <w:t xml:space="preserve">Tab. 3 </w:t>
      </w:r>
      <w:r>
        <w:rPr>
          <w:bCs/>
        </w:rPr>
        <w:tab/>
      </w:r>
      <w:r w:rsidRPr="00993725">
        <w:rPr>
          <w:bCs/>
        </w:rPr>
        <w:t>Výsledky týkající se otázky č. 1: „Súhlasil(a) ste so zmenou slovenskej meny z</w:t>
      </w:r>
      <w:r>
        <w:rPr>
          <w:bCs/>
        </w:rPr>
        <w:t> </w:t>
      </w:r>
      <w:r w:rsidRPr="00993725">
        <w:rPr>
          <w:bCs/>
        </w:rPr>
        <w:t>koruny</w:t>
      </w:r>
    </w:p>
    <w:p w:rsidR="00712E44" w:rsidRPr="00993725" w:rsidRDefault="00712E44" w:rsidP="00D7630A">
      <w:pPr>
        <w:spacing w:line="360" w:lineRule="auto"/>
        <w:jc w:val="both"/>
        <w:rPr>
          <w:bCs/>
        </w:rPr>
      </w:pPr>
      <w:r>
        <w:rPr>
          <w:bCs/>
        </w:rPr>
        <w:t xml:space="preserve">           </w:t>
      </w:r>
      <w:r>
        <w:rPr>
          <w:bCs/>
        </w:rPr>
        <w:tab/>
      </w:r>
      <w:r w:rsidRPr="00993725">
        <w:rPr>
          <w:bCs/>
        </w:rPr>
        <w:t>na euro?“</w:t>
      </w:r>
    </w:p>
    <w:p w:rsidR="00712E44" w:rsidRDefault="00712E44" w:rsidP="00D7630A">
      <w:pPr>
        <w:spacing w:line="360" w:lineRule="auto"/>
        <w:jc w:val="both"/>
        <w:rPr>
          <w:bCs/>
        </w:rPr>
      </w:pPr>
      <w:r w:rsidRPr="00993725">
        <w:rPr>
          <w:bCs/>
        </w:rPr>
        <w:t>Tab. 4</w:t>
      </w:r>
      <w:r>
        <w:rPr>
          <w:bCs/>
        </w:rPr>
        <w:tab/>
      </w:r>
      <w:r w:rsidRPr="00993725">
        <w:rPr>
          <w:bCs/>
        </w:rPr>
        <w:t>Výsledky týkající se otázky č. 2: „Priniesla táto změ</w:t>
      </w:r>
      <w:r>
        <w:rPr>
          <w:bCs/>
        </w:rPr>
        <w:t xml:space="preserve">na obyvateľstvu,  podľa  Vášho   </w:t>
      </w:r>
    </w:p>
    <w:p w:rsidR="00712E44" w:rsidRPr="00993725" w:rsidRDefault="00712E44" w:rsidP="00D7630A">
      <w:pPr>
        <w:spacing w:line="360" w:lineRule="auto"/>
        <w:jc w:val="both"/>
        <w:rPr>
          <w:bCs/>
        </w:rPr>
      </w:pPr>
      <w:r>
        <w:rPr>
          <w:bCs/>
        </w:rPr>
        <w:t xml:space="preserve">          </w:t>
      </w:r>
      <w:r>
        <w:rPr>
          <w:bCs/>
        </w:rPr>
        <w:tab/>
      </w:r>
      <w:r w:rsidRPr="00993725">
        <w:rPr>
          <w:bCs/>
        </w:rPr>
        <w:t>názora, niektoré z uvedených negatívnych  skutečností?“</w:t>
      </w:r>
    </w:p>
    <w:p w:rsidR="00712E44" w:rsidRDefault="00712E44" w:rsidP="00D7630A">
      <w:pPr>
        <w:spacing w:line="360" w:lineRule="auto"/>
        <w:jc w:val="both"/>
        <w:rPr>
          <w:bCs/>
        </w:rPr>
      </w:pPr>
      <w:r w:rsidRPr="00993725">
        <w:rPr>
          <w:bCs/>
        </w:rPr>
        <w:t>Tab. 5</w:t>
      </w:r>
      <w:r>
        <w:rPr>
          <w:bCs/>
        </w:rPr>
        <w:tab/>
      </w:r>
      <w:r w:rsidRPr="00993725">
        <w:rPr>
          <w:bCs/>
        </w:rPr>
        <w:t>Výsledky týkající se otázky</w:t>
      </w:r>
      <w:r>
        <w:rPr>
          <w:bCs/>
        </w:rPr>
        <w:t xml:space="preserve"> č. 3: </w:t>
      </w:r>
      <w:r w:rsidRPr="00993725">
        <w:rPr>
          <w:bCs/>
        </w:rPr>
        <w:t xml:space="preserve">„Priniesla táto změna obyvateľstvu, podľa Vášho </w:t>
      </w:r>
    </w:p>
    <w:p w:rsidR="00712E44" w:rsidRPr="00993725" w:rsidRDefault="00712E44" w:rsidP="00D7630A">
      <w:pPr>
        <w:spacing w:line="360" w:lineRule="auto"/>
        <w:ind w:firstLine="708"/>
        <w:jc w:val="both"/>
      </w:pPr>
      <w:r w:rsidRPr="00993725">
        <w:rPr>
          <w:bCs/>
        </w:rPr>
        <w:t>názora, niektoré z uvedených prínosov?“</w:t>
      </w:r>
    </w:p>
    <w:p w:rsidR="00712E44" w:rsidRDefault="00712E44" w:rsidP="00D7630A">
      <w:pPr>
        <w:spacing w:line="360" w:lineRule="auto"/>
        <w:jc w:val="both"/>
        <w:rPr>
          <w:bCs/>
        </w:rPr>
      </w:pPr>
      <w:r w:rsidRPr="00993725">
        <w:rPr>
          <w:bCs/>
        </w:rPr>
        <w:t>Tab. 6</w:t>
      </w:r>
      <w:r>
        <w:rPr>
          <w:bCs/>
        </w:rPr>
        <w:tab/>
      </w:r>
      <w:r w:rsidRPr="00993725">
        <w:rPr>
          <w:bCs/>
        </w:rPr>
        <w:t xml:space="preserve">Výsledky týkající se otázky č. 4: „Uľahčili Vám prechod na novú menu štátne </w:t>
      </w:r>
    </w:p>
    <w:p w:rsidR="00712E44" w:rsidRPr="00993725" w:rsidRDefault="00712E44" w:rsidP="00D7630A">
      <w:pPr>
        <w:spacing w:line="360" w:lineRule="auto"/>
        <w:ind w:firstLine="708"/>
        <w:jc w:val="both"/>
        <w:rPr>
          <w:bCs/>
        </w:rPr>
      </w:pPr>
      <w:r w:rsidRPr="00993725">
        <w:rPr>
          <w:bCs/>
        </w:rPr>
        <w:t>podporné prostriedky?“</w:t>
      </w:r>
    </w:p>
    <w:p w:rsidR="00712E44" w:rsidRDefault="00712E44" w:rsidP="00D7630A">
      <w:pPr>
        <w:spacing w:line="360" w:lineRule="auto"/>
        <w:jc w:val="both"/>
        <w:rPr>
          <w:bCs/>
        </w:rPr>
      </w:pPr>
      <w:r w:rsidRPr="00993725">
        <w:rPr>
          <w:bCs/>
        </w:rPr>
        <w:t>Tab. 7</w:t>
      </w:r>
      <w:r>
        <w:rPr>
          <w:bCs/>
        </w:rPr>
        <w:tab/>
      </w:r>
      <w:r w:rsidRPr="00993725">
        <w:rPr>
          <w:bCs/>
        </w:rPr>
        <w:t xml:space="preserve">Výsledky týkající se otázky č. 5: „Myslíte si, že došlo k zvýšeniu cien výrobkov </w:t>
      </w:r>
    </w:p>
    <w:p w:rsidR="00712E44" w:rsidRPr="00993725" w:rsidRDefault="00712E44" w:rsidP="00D7630A">
      <w:pPr>
        <w:spacing w:line="360" w:lineRule="auto"/>
        <w:ind w:firstLine="708"/>
        <w:jc w:val="both"/>
        <w:rPr>
          <w:bCs/>
        </w:rPr>
      </w:pPr>
      <w:r w:rsidRPr="00993725">
        <w:rPr>
          <w:bCs/>
        </w:rPr>
        <w:t>(služieb) v súvislosti so zavedením novej meny?“</w:t>
      </w:r>
    </w:p>
    <w:p w:rsidR="00712E44" w:rsidRDefault="00712E44" w:rsidP="00D7630A">
      <w:pPr>
        <w:spacing w:line="360" w:lineRule="auto"/>
        <w:jc w:val="both"/>
        <w:rPr>
          <w:bCs/>
        </w:rPr>
      </w:pPr>
      <w:r w:rsidRPr="00993725">
        <w:rPr>
          <w:bCs/>
        </w:rPr>
        <w:t xml:space="preserve">Tab. 8 </w:t>
      </w:r>
      <w:r>
        <w:rPr>
          <w:bCs/>
        </w:rPr>
        <w:tab/>
      </w:r>
      <w:r w:rsidRPr="00993725">
        <w:rPr>
          <w:bCs/>
        </w:rPr>
        <w:t xml:space="preserve">Výsledky týkající se otázky č. 6: „Ktorá skupina obyvateľstva, podľa Vášho názoru,  </w:t>
      </w:r>
    </w:p>
    <w:p w:rsidR="00712E44" w:rsidRPr="00993725" w:rsidRDefault="00712E44" w:rsidP="00D7630A">
      <w:pPr>
        <w:spacing w:line="360" w:lineRule="auto"/>
        <w:ind w:firstLine="708"/>
        <w:jc w:val="both"/>
        <w:rPr>
          <w:bCs/>
        </w:rPr>
      </w:pPr>
      <w:r>
        <w:rPr>
          <w:bCs/>
        </w:rPr>
        <w:t>mala</w:t>
      </w:r>
      <w:r w:rsidRPr="00993725">
        <w:rPr>
          <w:bCs/>
        </w:rPr>
        <w:t xml:space="preserve"> najväčší pr</w:t>
      </w:r>
      <w:r>
        <w:rPr>
          <w:bCs/>
        </w:rPr>
        <w:t>oblém</w:t>
      </w:r>
      <w:r w:rsidRPr="00993725">
        <w:rPr>
          <w:bCs/>
        </w:rPr>
        <w:t xml:space="preserve"> s prechodom koruny na euro?“</w:t>
      </w:r>
    </w:p>
    <w:p w:rsidR="0068602C" w:rsidRDefault="0068602C" w:rsidP="0068602C">
      <w:pPr>
        <w:spacing w:line="360" w:lineRule="auto"/>
      </w:pPr>
      <w:r>
        <w:t>Tab</w:t>
      </w:r>
      <w:r w:rsidRPr="00EB4377">
        <w:t xml:space="preserve">. </w:t>
      </w:r>
      <w:r>
        <w:t>9</w:t>
      </w:r>
      <w:r>
        <w:tab/>
      </w:r>
      <w:r w:rsidRPr="00EB4377">
        <w:t>Struktura uchazečů o zaměstnání podle doby evidence v měsících za kraje v</w:t>
      </w:r>
      <w:r>
        <w:t>ždy</w:t>
      </w:r>
    </w:p>
    <w:p w:rsidR="0068602C" w:rsidRDefault="0068602C" w:rsidP="0068602C">
      <w:pPr>
        <w:spacing w:line="360" w:lineRule="auto"/>
        <w:ind w:firstLine="708"/>
      </w:pPr>
      <w:r>
        <w:t xml:space="preserve"> k </w:t>
      </w:r>
      <w:r w:rsidRPr="00EB4377">
        <w:t>prosinci</w:t>
      </w:r>
    </w:p>
    <w:p w:rsidR="00712E44" w:rsidRDefault="00712E44" w:rsidP="0068602C">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Default="00712E44" w:rsidP="00854A67">
      <w:pPr>
        <w:spacing w:line="360" w:lineRule="auto"/>
        <w:rPr>
          <w:b/>
          <w:sz w:val="26"/>
          <w:szCs w:val="26"/>
        </w:rPr>
      </w:pPr>
    </w:p>
    <w:p w:rsidR="00712E44" w:rsidRPr="00113C5E" w:rsidRDefault="00712E44" w:rsidP="00854A67">
      <w:pPr>
        <w:spacing w:line="360" w:lineRule="auto"/>
        <w:rPr>
          <w:b/>
          <w:sz w:val="26"/>
          <w:szCs w:val="26"/>
        </w:rPr>
      </w:pPr>
      <w:r w:rsidRPr="00113C5E">
        <w:rPr>
          <w:b/>
          <w:sz w:val="26"/>
          <w:szCs w:val="26"/>
        </w:rPr>
        <w:lastRenderedPageBreak/>
        <w:t>Seznam použitých zkratek</w:t>
      </w:r>
      <w:r>
        <w:rPr>
          <w:b/>
          <w:sz w:val="26"/>
          <w:szCs w:val="26"/>
        </w:rPr>
        <w:t>, značek</w:t>
      </w:r>
      <w:r w:rsidRPr="00113C5E">
        <w:rPr>
          <w:b/>
          <w:sz w:val="26"/>
          <w:szCs w:val="26"/>
        </w:rPr>
        <w:t xml:space="preserve"> a symbolů</w:t>
      </w:r>
    </w:p>
    <w:p w:rsidR="00712E44" w:rsidRDefault="00712E44" w:rsidP="00854A67">
      <w:pPr>
        <w:autoSpaceDE w:val="0"/>
        <w:autoSpaceDN w:val="0"/>
        <w:adjustRightInd w:val="0"/>
        <w:spacing w:line="360" w:lineRule="auto"/>
        <w:jc w:val="both"/>
        <w:rPr>
          <w:szCs w:val="18"/>
        </w:rPr>
      </w:pPr>
    </w:p>
    <w:p w:rsidR="00712E44" w:rsidRDefault="00712E44" w:rsidP="00854A67">
      <w:pPr>
        <w:autoSpaceDE w:val="0"/>
        <w:autoSpaceDN w:val="0"/>
        <w:adjustRightInd w:val="0"/>
        <w:spacing w:line="360" w:lineRule="auto"/>
        <w:jc w:val="both"/>
        <w:rPr>
          <w:szCs w:val="18"/>
        </w:rPr>
      </w:pPr>
      <w:r>
        <w:rPr>
          <w:szCs w:val="18"/>
        </w:rPr>
        <w:t>atd.</w:t>
      </w:r>
      <w:r>
        <w:rPr>
          <w:szCs w:val="18"/>
        </w:rPr>
        <w:tab/>
      </w:r>
      <w:r>
        <w:rPr>
          <w:szCs w:val="18"/>
        </w:rPr>
        <w:tab/>
      </w:r>
      <w:r>
        <w:rPr>
          <w:szCs w:val="18"/>
        </w:rPr>
        <w:tab/>
      </w:r>
      <w:r>
        <w:rPr>
          <w:szCs w:val="18"/>
        </w:rPr>
        <w:tab/>
        <w:t>a tak dále</w:t>
      </w:r>
    </w:p>
    <w:p w:rsidR="00712E44" w:rsidRDefault="00712E44" w:rsidP="00DD55D3">
      <w:pPr>
        <w:autoSpaceDE w:val="0"/>
        <w:autoSpaceDN w:val="0"/>
        <w:adjustRightInd w:val="0"/>
        <w:spacing w:line="360" w:lineRule="auto"/>
        <w:jc w:val="both"/>
        <w:rPr>
          <w:szCs w:val="18"/>
        </w:rPr>
      </w:pPr>
      <w:r>
        <w:rPr>
          <w:szCs w:val="18"/>
        </w:rPr>
        <w:t>apod.</w:t>
      </w:r>
      <w:r>
        <w:rPr>
          <w:szCs w:val="18"/>
        </w:rPr>
        <w:tab/>
      </w:r>
      <w:r>
        <w:rPr>
          <w:szCs w:val="18"/>
        </w:rPr>
        <w:tab/>
      </w:r>
      <w:r>
        <w:rPr>
          <w:szCs w:val="18"/>
        </w:rPr>
        <w:tab/>
      </w:r>
      <w:r>
        <w:rPr>
          <w:szCs w:val="18"/>
        </w:rPr>
        <w:tab/>
        <w:t>a podobně</w:t>
      </w:r>
    </w:p>
    <w:p w:rsidR="00712E44" w:rsidRDefault="00712E44" w:rsidP="00DD55D3">
      <w:pPr>
        <w:autoSpaceDE w:val="0"/>
        <w:autoSpaceDN w:val="0"/>
        <w:adjustRightInd w:val="0"/>
        <w:spacing w:line="360" w:lineRule="auto"/>
        <w:rPr>
          <w:szCs w:val="18"/>
        </w:rPr>
      </w:pPr>
      <w:r>
        <w:rPr>
          <w:szCs w:val="18"/>
        </w:rPr>
        <w:t>ECB</w:t>
      </w:r>
      <w:r>
        <w:rPr>
          <w:szCs w:val="18"/>
        </w:rPr>
        <w:tab/>
      </w:r>
      <w:r>
        <w:rPr>
          <w:szCs w:val="18"/>
        </w:rPr>
        <w:tab/>
      </w:r>
      <w:r>
        <w:rPr>
          <w:szCs w:val="18"/>
        </w:rPr>
        <w:tab/>
      </w:r>
      <w:r>
        <w:rPr>
          <w:szCs w:val="18"/>
        </w:rPr>
        <w:tab/>
        <w:t>Evropská centrální banka</w:t>
      </w:r>
    </w:p>
    <w:p w:rsidR="00712E44" w:rsidRDefault="00712E44" w:rsidP="00DD55D3">
      <w:pPr>
        <w:autoSpaceDE w:val="0"/>
        <w:autoSpaceDN w:val="0"/>
        <w:adjustRightInd w:val="0"/>
        <w:spacing w:line="360" w:lineRule="auto"/>
        <w:jc w:val="both"/>
      </w:pPr>
      <w:r>
        <w:rPr>
          <w:szCs w:val="18"/>
        </w:rPr>
        <w:t>ECU</w:t>
      </w:r>
      <w:r>
        <w:rPr>
          <w:szCs w:val="18"/>
        </w:rPr>
        <w:tab/>
      </w:r>
      <w:r>
        <w:rPr>
          <w:szCs w:val="18"/>
        </w:rPr>
        <w:tab/>
      </w:r>
      <w:r>
        <w:rPr>
          <w:szCs w:val="18"/>
        </w:rPr>
        <w:tab/>
      </w:r>
      <w:r>
        <w:rPr>
          <w:szCs w:val="18"/>
        </w:rPr>
        <w:tab/>
      </w:r>
      <w:r>
        <w:t>European Currency Unit – evropská měnová jednotka</w:t>
      </w:r>
    </w:p>
    <w:p w:rsidR="00712E44" w:rsidRDefault="00712E44" w:rsidP="006D156F">
      <w:pPr>
        <w:autoSpaceDE w:val="0"/>
        <w:autoSpaceDN w:val="0"/>
        <w:adjustRightInd w:val="0"/>
        <w:spacing w:line="360" w:lineRule="auto"/>
        <w:ind w:left="2832" w:hanging="2832"/>
        <w:jc w:val="both"/>
      </w:pPr>
      <w:r>
        <w:t>EFSF</w:t>
      </w:r>
      <w:r>
        <w:tab/>
        <w:t>European Financial Stability Facility - Evropský nástroj finanční stability</w:t>
      </w:r>
    </w:p>
    <w:p w:rsidR="00712E44" w:rsidRDefault="00712E44" w:rsidP="006D156F">
      <w:pPr>
        <w:autoSpaceDE w:val="0"/>
        <w:autoSpaceDN w:val="0"/>
        <w:adjustRightInd w:val="0"/>
        <w:spacing w:line="360" w:lineRule="auto"/>
        <w:ind w:left="2832" w:hanging="2832"/>
        <w:jc w:val="both"/>
        <w:rPr>
          <w:szCs w:val="18"/>
        </w:rPr>
      </w:pPr>
      <w:r>
        <w:t>EFSM</w:t>
      </w:r>
      <w:r>
        <w:tab/>
        <w:t xml:space="preserve">European Financial Stabilisation Mechanism – Evropský mechanismus finanční stabilizace </w:t>
      </w:r>
    </w:p>
    <w:p w:rsidR="00712E44" w:rsidRDefault="00712E44" w:rsidP="00DD55D3">
      <w:pPr>
        <w:autoSpaceDE w:val="0"/>
        <w:autoSpaceDN w:val="0"/>
        <w:adjustRightInd w:val="0"/>
        <w:spacing w:line="360" w:lineRule="auto"/>
        <w:jc w:val="both"/>
        <w:rPr>
          <w:szCs w:val="18"/>
        </w:rPr>
      </w:pPr>
      <w:r>
        <w:rPr>
          <w:szCs w:val="18"/>
        </w:rPr>
        <w:t>EHS</w:t>
      </w:r>
      <w:r>
        <w:rPr>
          <w:szCs w:val="18"/>
        </w:rPr>
        <w:tab/>
      </w:r>
      <w:r>
        <w:rPr>
          <w:szCs w:val="18"/>
        </w:rPr>
        <w:tab/>
      </w:r>
      <w:r>
        <w:rPr>
          <w:szCs w:val="18"/>
        </w:rPr>
        <w:tab/>
      </w:r>
      <w:r>
        <w:rPr>
          <w:szCs w:val="18"/>
        </w:rPr>
        <w:tab/>
        <w:t>Evropské hospodářské společenství</w:t>
      </w:r>
    </w:p>
    <w:p w:rsidR="00712E44" w:rsidRDefault="00712E44" w:rsidP="00DD55D3">
      <w:pPr>
        <w:autoSpaceDE w:val="0"/>
        <w:autoSpaceDN w:val="0"/>
        <w:adjustRightInd w:val="0"/>
        <w:spacing w:line="360" w:lineRule="auto"/>
        <w:jc w:val="both"/>
        <w:rPr>
          <w:szCs w:val="18"/>
        </w:rPr>
      </w:pPr>
      <w:r>
        <w:rPr>
          <w:szCs w:val="18"/>
        </w:rPr>
        <w:t>EMI</w:t>
      </w:r>
      <w:r>
        <w:rPr>
          <w:szCs w:val="18"/>
        </w:rPr>
        <w:tab/>
      </w:r>
      <w:r>
        <w:rPr>
          <w:szCs w:val="18"/>
        </w:rPr>
        <w:tab/>
      </w:r>
      <w:r>
        <w:rPr>
          <w:szCs w:val="18"/>
        </w:rPr>
        <w:tab/>
      </w:r>
      <w:r>
        <w:rPr>
          <w:szCs w:val="18"/>
        </w:rPr>
        <w:tab/>
        <w:t>Evropský měnový institut</w:t>
      </w:r>
    </w:p>
    <w:p w:rsidR="00712E44" w:rsidRDefault="00712E44" w:rsidP="00DD55D3">
      <w:pPr>
        <w:autoSpaceDE w:val="0"/>
        <w:autoSpaceDN w:val="0"/>
        <w:adjustRightInd w:val="0"/>
        <w:spacing w:line="360" w:lineRule="auto"/>
        <w:jc w:val="both"/>
        <w:rPr>
          <w:szCs w:val="18"/>
        </w:rPr>
      </w:pPr>
      <w:r>
        <w:rPr>
          <w:szCs w:val="18"/>
        </w:rPr>
        <w:t>EMS</w:t>
      </w:r>
      <w:r>
        <w:rPr>
          <w:szCs w:val="18"/>
        </w:rPr>
        <w:tab/>
      </w:r>
      <w:r>
        <w:rPr>
          <w:szCs w:val="18"/>
        </w:rPr>
        <w:tab/>
      </w:r>
      <w:r>
        <w:rPr>
          <w:szCs w:val="18"/>
        </w:rPr>
        <w:tab/>
      </w:r>
      <w:r>
        <w:rPr>
          <w:szCs w:val="18"/>
        </w:rPr>
        <w:tab/>
        <w:t>Evropský měnový systém</w:t>
      </w:r>
    </w:p>
    <w:p w:rsidR="00712E44" w:rsidRDefault="00712E44" w:rsidP="00DD55D3">
      <w:pPr>
        <w:autoSpaceDE w:val="0"/>
        <w:autoSpaceDN w:val="0"/>
        <w:adjustRightInd w:val="0"/>
        <w:spacing w:line="360" w:lineRule="auto"/>
        <w:jc w:val="both"/>
        <w:rPr>
          <w:szCs w:val="18"/>
        </w:rPr>
      </w:pPr>
      <w:r>
        <w:rPr>
          <w:szCs w:val="18"/>
        </w:rPr>
        <w:t>ERM</w:t>
      </w:r>
      <w:r>
        <w:rPr>
          <w:szCs w:val="18"/>
        </w:rPr>
        <w:tab/>
      </w:r>
      <w:r>
        <w:rPr>
          <w:szCs w:val="18"/>
        </w:rPr>
        <w:tab/>
      </w:r>
      <w:r>
        <w:rPr>
          <w:szCs w:val="18"/>
        </w:rPr>
        <w:tab/>
      </w:r>
      <w:r>
        <w:rPr>
          <w:szCs w:val="18"/>
        </w:rPr>
        <w:tab/>
        <w:t>Exchange Rate Mechanism – mechanizmus měnových kurzů</w:t>
      </w:r>
    </w:p>
    <w:p w:rsidR="00712E44" w:rsidRDefault="00712E44" w:rsidP="006D156F">
      <w:pPr>
        <w:autoSpaceDE w:val="0"/>
        <w:autoSpaceDN w:val="0"/>
        <w:adjustRightInd w:val="0"/>
        <w:spacing w:line="360" w:lineRule="auto"/>
        <w:jc w:val="both"/>
        <w:rPr>
          <w:szCs w:val="18"/>
        </w:rPr>
      </w:pPr>
      <w:r>
        <w:rPr>
          <w:szCs w:val="18"/>
        </w:rPr>
        <w:t>EU</w:t>
      </w:r>
      <w:r>
        <w:rPr>
          <w:szCs w:val="18"/>
        </w:rPr>
        <w:tab/>
      </w:r>
      <w:r>
        <w:rPr>
          <w:szCs w:val="18"/>
        </w:rPr>
        <w:tab/>
      </w:r>
      <w:r>
        <w:rPr>
          <w:szCs w:val="18"/>
        </w:rPr>
        <w:tab/>
      </w:r>
      <w:r>
        <w:rPr>
          <w:szCs w:val="18"/>
        </w:rPr>
        <w:tab/>
        <w:t>Evropská unie</w:t>
      </w:r>
    </w:p>
    <w:p w:rsidR="00712E44" w:rsidRDefault="00712E44" w:rsidP="00DD55D3">
      <w:pPr>
        <w:autoSpaceDE w:val="0"/>
        <w:autoSpaceDN w:val="0"/>
        <w:adjustRightInd w:val="0"/>
        <w:spacing w:line="360" w:lineRule="auto"/>
        <w:jc w:val="both"/>
        <w:rPr>
          <w:szCs w:val="18"/>
        </w:rPr>
      </w:pPr>
      <w:r>
        <w:rPr>
          <w:szCs w:val="18"/>
        </w:rPr>
        <w:t>HDP</w:t>
      </w:r>
      <w:r>
        <w:rPr>
          <w:szCs w:val="18"/>
        </w:rPr>
        <w:tab/>
      </w:r>
      <w:r>
        <w:rPr>
          <w:szCs w:val="18"/>
        </w:rPr>
        <w:tab/>
      </w:r>
      <w:r>
        <w:rPr>
          <w:szCs w:val="18"/>
        </w:rPr>
        <w:tab/>
      </w:r>
      <w:r>
        <w:rPr>
          <w:szCs w:val="18"/>
        </w:rPr>
        <w:tab/>
        <w:t>Hrubý domácí produkt</w:t>
      </w:r>
    </w:p>
    <w:p w:rsidR="00712E44" w:rsidRDefault="00712E44" w:rsidP="00DD55D3">
      <w:pPr>
        <w:autoSpaceDE w:val="0"/>
        <w:autoSpaceDN w:val="0"/>
        <w:adjustRightInd w:val="0"/>
        <w:spacing w:line="360" w:lineRule="auto"/>
        <w:jc w:val="both"/>
        <w:rPr>
          <w:szCs w:val="18"/>
        </w:rPr>
      </w:pPr>
      <w:r>
        <w:rPr>
          <w:szCs w:val="18"/>
        </w:rPr>
        <w:t>HMU</w:t>
      </w:r>
      <w:r>
        <w:rPr>
          <w:szCs w:val="18"/>
        </w:rPr>
        <w:tab/>
      </w:r>
      <w:r>
        <w:rPr>
          <w:szCs w:val="18"/>
        </w:rPr>
        <w:tab/>
      </w:r>
      <w:r>
        <w:rPr>
          <w:szCs w:val="18"/>
        </w:rPr>
        <w:tab/>
      </w:r>
      <w:r>
        <w:rPr>
          <w:szCs w:val="18"/>
        </w:rPr>
        <w:tab/>
        <w:t>Hospodářská a měnová unie</w:t>
      </w:r>
    </w:p>
    <w:p w:rsidR="00712E44" w:rsidRDefault="00712E44" w:rsidP="00DD55D3">
      <w:pPr>
        <w:autoSpaceDE w:val="0"/>
        <w:autoSpaceDN w:val="0"/>
        <w:adjustRightInd w:val="0"/>
        <w:spacing w:line="360" w:lineRule="auto"/>
        <w:ind w:left="2832" w:hanging="2832"/>
        <w:jc w:val="both"/>
        <w:rPr>
          <w:szCs w:val="18"/>
        </w:rPr>
      </w:pPr>
      <w:r>
        <w:rPr>
          <w:szCs w:val="18"/>
        </w:rPr>
        <w:t>http</w:t>
      </w:r>
      <w:r>
        <w:rPr>
          <w:szCs w:val="18"/>
        </w:rPr>
        <w:tab/>
        <w:t xml:space="preserve">HyperText Transfer Protocol – hypertextový přenosový protokol </w:t>
      </w:r>
    </w:p>
    <w:p w:rsidR="00712E44" w:rsidRDefault="00712E44" w:rsidP="00DD55D3">
      <w:pPr>
        <w:autoSpaceDE w:val="0"/>
        <w:autoSpaceDN w:val="0"/>
        <w:adjustRightInd w:val="0"/>
        <w:spacing w:line="360" w:lineRule="auto"/>
        <w:ind w:left="2832" w:hanging="2832"/>
        <w:jc w:val="both"/>
        <w:rPr>
          <w:szCs w:val="18"/>
        </w:rPr>
      </w:pPr>
      <w:r>
        <w:rPr>
          <w:szCs w:val="18"/>
        </w:rPr>
        <w:t>ISBN</w:t>
      </w:r>
      <w:r>
        <w:rPr>
          <w:szCs w:val="18"/>
        </w:rPr>
        <w:tab/>
        <w:t>International Standart Book Number - mezinárodní standardní číslování knih</w:t>
      </w:r>
    </w:p>
    <w:p w:rsidR="00712E44" w:rsidRDefault="00712E44" w:rsidP="00DD55D3">
      <w:pPr>
        <w:autoSpaceDE w:val="0"/>
        <w:autoSpaceDN w:val="0"/>
        <w:adjustRightInd w:val="0"/>
        <w:spacing w:line="360" w:lineRule="auto"/>
        <w:ind w:left="2832" w:hanging="2832"/>
        <w:jc w:val="both"/>
        <w:rPr>
          <w:szCs w:val="18"/>
        </w:rPr>
      </w:pPr>
      <w:r>
        <w:rPr>
          <w:szCs w:val="18"/>
        </w:rPr>
        <w:t>MF SR</w:t>
      </w:r>
      <w:r>
        <w:rPr>
          <w:szCs w:val="18"/>
        </w:rPr>
        <w:tab/>
        <w:t>Ministerstvo financií Slovenskej republiky</w:t>
      </w:r>
    </w:p>
    <w:p w:rsidR="00712E44" w:rsidRDefault="00712E44" w:rsidP="00DD55D3">
      <w:pPr>
        <w:autoSpaceDE w:val="0"/>
        <w:autoSpaceDN w:val="0"/>
        <w:adjustRightInd w:val="0"/>
        <w:spacing w:line="360" w:lineRule="auto"/>
        <w:ind w:left="2832" w:hanging="2832"/>
        <w:jc w:val="both"/>
        <w:rPr>
          <w:szCs w:val="18"/>
        </w:rPr>
      </w:pPr>
      <w:r>
        <w:rPr>
          <w:szCs w:val="18"/>
        </w:rPr>
        <w:t>např.</w:t>
      </w:r>
      <w:r>
        <w:rPr>
          <w:szCs w:val="18"/>
        </w:rPr>
        <w:tab/>
        <w:t>například</w:t>
      </w:r>
    </w:p>
    <w:p w:rsidR="00712E44" w:rsidRDefault="00712E44" w:rsidP="00DD55D3">
      <w:pPr>
        <w:autoSpaceDE w:val="0"/>
        <w:autoSpaceDN w:val="0"/>
        <w:adjustRightInd w:val="0"/>
        <w:spacing w:line="360" w:lineRule="auto"/>
        <w:jc w:val="both"/>
        <w:rPr>
          <w:szCs w:val="18"/>
        </w:rPr>
      </w:pPr>
      <w:r>
        <w:rPr>
          <w:szCs w:val="18"/>
        </w:rPr>
        <w:t>NBS</w:t>
      </w:r>
      <w:r>
        <w:rPr>
          <w:szCs w:val="18"/>
        </w:rPr>
        <w:tab/>
      </w:r>
      <w:r>
        <w:rPr>
          <w:szCs w:val="18"/>
        </w:rPr>
        <w:tab/>
      </w:r>
      <w:r>
        <w:rPr>
          <w:szCs w:val="18"/>
        </w:rPr>
        <w:tab/>
      </w:r>
      <w:r>
        <w:rPr>
          <w:szCs w:val="18"/>
        </w:rPr>
        <w:tab/>
        <w:t>Národní banka Slovenska</w:t>
      </w:r>
    </w:p>
    <w:p w:rsidR="00712E44" w:rsidRDefault="00712E44" w:rsidP="00DD55D3">
      <w:pPr>
        <w:autoSpaceDE w:val="0"/>
        <w:autoSpaceDN w:val="0"/>
        <w:adjustRightInd w:val="0"/>
        <w:spacing w:line="360" w:lineRule="auto"/>
        <w:jc w:val="both"/>
        <w:rPr>
          <w:szCs w:val="18"/>
        </w:rPr>
      </w:pPr>
      <w:r>
        <w:rPr>
          <w:szCs w:val="18"/>
        </w:rPr>
        <w:t>Obr.</w:t>
      </w:r>
      <w:r>
        <w:rPr>
          <w:szCs w:val="18"/>
        </w:rPr>
        <w:tab/>
      </w:r>
      <w:r>
        <w:rPr>
          <w:szCs w:val="18"/>
        </w:rPr>
        <w:tab/>
      </w:r>
      <w:r>
        <w:rPr>
          <w:szCs w:val="18"/>
        </w:rPr>
        <w:tab/>
      </w:r>
      <w:r>
        <w:rPr>
          <w:szCs w:val="18"/>
        </w:rPr>
        <w:tab/>
        <w:t>Obrázek</w:t>
      </w:r>
    </w:p>
    <w:p w:rsidR="00712E44" w:rsidRDefault="00712E44" w:rsidP="00DD55D3">
      <w:pPr>
        <w:autoSpaceDE w:val="0"/>
        <w:autoSpaceDN w:val="0"/>
        <w:adjustRightInd w:val="0"/>
        <w:spacing w:line="360" w:lineRule="auto"/>
        <w:jc w:val="both"/>
        <w:rPr>
          <w:szCs w:val="18"/>
        </w:rPr>
      </w:pPr>
      <w:r>
        <w:rPr>
          <w:szCs w:val="18"/>
        </w:rPr>
        <w:t>PZI</w:t>
      </w:r>
      <w:r>
        <w:rPr>
          <w:szCs w:val="18"/>
        </w:rPr>
        <w:tab/>
      </w:r>
      <w:r>
        <w:rPr>
          <w:szCs w:val="18"/>
        </w:rPr>
        <w:tab/>
      </w:r>
      <w:r>
        <w:rPr>
          <w:szCs w:val="18"/>
        </w:rPr>
        <w:tab/>
      </w:r>
      <w:r>
        <w:rPr>
          <w:szCs w:val="18"/>
        </w:rPr>
        <w:tab/>
        <w:t>Přímé zahraniční investice</w:t>
      </w:r>
    </w:p>
    <w:p w:rsidR="00712E44" w:rsidRDefault="00712E44" w:rsidP="00DD55D3">
      <w:pPr>
        <w:autoSpaceDE w:val="0"/>
        <w:autoSpaceDN w:val="0"/>
        <w:adjustRightInd w:val="0"/>
        <w:spacing w:line="360" w:lineRule="auto"/>
        <w:jc w:val="both"/>
        <w:rPr>
          <w:szCs w:val="18"/>
        </w:rPr>
      </w:pPr>
      <w:r>
        <w:rPr>
          <w:szCs w:val="18"/>
        </w:rPr>
        <w:t>resp.</w:t>
      </w:r>
      <w:r>
        <w:rPr>
          <w:szCs w:val="18"/>
        </w:rPr>
        <w:tab/>
      </w:r>
      <w:r>
        <w:rPr>
          <w:szCs w:val="18"/>
        </w:rPr>
        <w:tab/>
      </w:r>
      <w:r>
        <w:rPr>
          <w:szCs w:val="18"/>
        </w:rPr>
        <w:tab/>
      </w:r>
      <w:r>
        <w:rPr>
          <w:szCs w:val="18"/>
        </w:rPr>
        <w:tab/>
        <w:t>respektive</w:t>
      </w:r>
    </w:p>
    <w:p w:rsidR="00712E44" w:rsidRDefault="00712E44" w:rsidP="00DD55D3">
      <w:pPr>
        <w:autoSpaceDE w:val="0"/>
        <w:autoSpaceDN w:val="0"/>
        <w:adjustRightInd w:val="0"/>
        <w:spacing w:line="360" w:lineRule="auto"/>
        <w:jc w:val="both"/>
        <w:rPr>
          <w:szCs w:val="18"/>
        </w:rPr>
      </w:pPr>
      <w:r>
        <w:rPr>
          <w:szCs w:val="18"/>
        </w:rPr>
        <w:t>S.</w:t>
      </w:r>
      <w:r>
        <w:rPr>
          <w:szCs w:val="18"/>
        </w:rPr>
        <w:tab/>
      </w:r>
      <w:r>
        <w:rPr>
          <w:szCs w:val="18"/>
        </w:rPr>
        <w:tab/>
      </w:r>
      <w:r>
        <w:rPr>
          <w:szCs w:val="18"/>
        </w:rPr>
        <w:tab/>
      </w:r>
      <w:r>
        <w:rPr>
          <w:szCs w:val="18"/>
        </w:rPr>
        <w:tab/>
        <w:t>strana</w:t>
      </w:r>
    </w:p>
    <w:p w:rsidR="00712E44" w:rsidRDefault="00712E44" w:rsidP="00DD55D3">
      <w:pPr>
        <w:autoSpaceDE w:val="0"/>
        <w:autoSpaceDN w:val="0"/>
        <w:adjustRightInd w:val="0"/>
        <w:spacing w:line="360" w:lineRule="auto"/>
        <w:jc w:val="both"/>
        <w:rPr>
          <w:szCs w:val="18"/>
        </w:rPr>
      </w:pPr>
      <w:r>
        <w:rPr>
          <w:szCs w:val="18"/>
        </w:rPr>
        <w:t>Sk</w:t>
      </w:r>
      <w:r>
        <w:rPr>
          <w:szCs w:val="18"/>
        </w:rPr>
        <w:tab/>
      </w:r>
      <w:r>
        <w:rPr>
          <w:szCs w:val="18"/>
        </w:rPr>
        <w:tab/>
      </w:r>
      <w:r>
        <w:rPr>
          <w:szCs w:val="18"/>
        </w:rPr>
        <w:tab/>
      </w:r>
      <w:r>
        <w:rPr>
          <w:szCs w:val="18"/>
        </w:rPr>
        <w:tab/>
        <w:t>Slovenská koruna</w:t>
      </w:r>
    </w:p>
    <w:p w:rsidR="00712E44" w:rsidRDefault="00712E44" w:rsidP="00DD55D3">
      <w:pPr>
        <w:autoSpaceDE w:val="0"/>
        <w:autoSpaceDN w:val="0"/>
        <w:adjustRightInd w:val="0"/>
        <w:spacing w:line="360" w:lineRule="auto"/>
        <w:jc w:val="both"/>
        <w:rPr>
          <w:szCs w:val="18"/>
        </w:rPr>
      </w:pPr>
      <w:r>
        <w:rPr>
          <w:szCs w:val="18"/>
        </w:rPr>
        <w:t>SR</w:t>
      </w:r>
      <w:r>
        <w:rPr>
          <w:szCs w:val="18"/>
        </w:rPr>
        <w:tab/>
      </w:r>
      <w:r>
        <w:rPr>
          <w:szCs w:val="18"/>
        </w:rPr>
        <w:tab/>
      </w:r>
      <w:r>
        <w:rPr>
          <w:szCs w:val="18"/>
        </w:rPr>
        <w:tab/>
      </w:r>
      <w:r>
        <w:rPr>
          <w:szCs w:val="18"/>
        </w:rPr>
        <w:tab/>
        <w:t>Slovenská republika</w:t>
      </w:r>
    </w:p>
    <w:p w:rsidR="00712E44" w:rsidRDefault="00712E44" w:rsidP="00DD55D3">
      <w:pPr>
        <w:autoSpaceDE w:val="0"/>
        <w:autoSpaceDN w:val="0"/>
        <w:adjustRightInd w:val="0"/>
        <w:spacing w:line="360" w:lineRule="auto"/>
        <w:jc w:val="both"/>
        <w:rPr>
          <w:szCs w:val="18"/>
        </w:rPr>
      </w:pPr>
      <w:r>
        <w:rPr>
          <w:szCs w:val="18"/>
        </w:rPr>
        <w:t>Tab.</w:t>
      </w:r>
      <w:r>
        <w:rPr>
          <w:szCs w:val="18"/>
        </w:rPr>
        <w:tab/>
      </w:r>
      <w:r>
        <w:rPr>
          <w:szCs w:val="18"/>
        </w:rPr>
        <w:tab/>
      </w:r>
      <w:r>
        <w:rPr>
          <w:szCs w:val="18"/>
        </w:rPr>
        <w:tab/>
      </w:r>
      <w:r>
        <w:rPr>
          <w:szCs w:val="18"/>
        </w:rPr>
        <w:tab/>
        <w:t>Tabulka</w:t>
      </w:r>
    </w:p>
    <w:p w:rsidR="00712E44" w:rsidRDefault="00712E44" w:rsidP="00DD55D3">
      <w:pPr>
        <w:autoSpaceDE w:val="0"/>
        <w:autoSpaceDN w:val="0"/>
        <w:adjustRightInd w:val="0"/>
        <w:spacing w:line="360" w:lineRule="auto"/>
        <w:jc w:val="both"/>
        <w:rPr>
          <w:szCs w:val="18"/>
        </w:rPr>
      </w:pPr>
      <w:r>
        <w:rPr>
          <w:szCs w:val="18"/>
        </w:rPr>
        <w:t>tzv.</w:t>
      </w:r>
      <w:r>
        <w:rPr>
          <w:szCs w:val="18"/>
        </w:rPr>
        <w:tab/>
      </w:r>
      <w:r>
        <w:rPr>
          <w:szCs w:val="18"/>
        </w:rPr>
        <w:tab/>
      </w:r>
      <w:r>
        <w:rPr>
          <w:szCs w:val="18"/>
        </w:rPr>
        <w:tab/>
      </w:r>
      <w:r>
        <w:rPr>
          <w:szCs w:val="18"/>
        </w:rPr>
        <w:tab/>
        <w:t xml:space="preserve">takzvaný </w:t>
      </w:r>
    </w:p>
    <w:p w:rsidR="00712E44" w:rsidRDefault="00712E44" w:rsidP="00DD55D3">
      <w:pPr>
        <w:autoSpaceDE w:val="0"/>
        <w:autoSpaceDN w:val="0"/>
        <w:adjustRightInd w:val="0"/>
        <w:spacing w:line="360" w:lineRule="auto"/>
        <w:jc w:val="both"/>
        <w:rPr>
          <w:szCs w:val="18"/>
        </w:rPr>
      </w:pPr>
      <w:r>
        <w:rPr>
          <w:szCs w:val="18"/>
        </w:rPr>
        <w:t>vyd.</w:t>
      </w:r>
      <w:r>
        <w:rPr>
          <w:szCs w:val="18"/>
        </w:rPr>
        <w:tab/>
      </w:r>
      <w:r>
        <w:rPr>
          <w:szCs w:val="18"/>
        </w:rPr>
        <w:tab/>
      </w:r>
      <w:r>
        <w:rPr>
          <w:szCs w:val="18"/>
        </w:rPr>
        <w:tab/>
      </w:r>
      <w:r>
        <w:rPr>
          <w:szCs w:val="18"/>
        </w:rPr>
        <w:tab/>
        <w:t>Vydání</w:t>
      </w:r>
    </w:p>
    <w:p w:rsidR="00712E44" w:rsidRDefault="00712E44" w:rsidP="00DD55D3">
      <w:pPr>
        <w:autoSpaceDE w:val="0"/>
        <w:autoSpaceDN w:val="0"/>
        <w:adjustRightInd w:val="0"/>
        <w:spacing w:line="360" w:lineRule="auto"/>
        <w:jc w:val="both"/>
        <w:rPr>
          <w:szCs w:val="18"/>
        </w:rPr>
      </w:pPr>
      <w:r>
        <w:rPr>
          <w:szCs w:val="18"/>
        </w:rPr>
        <w:t>VZPS</w:t>
      </w:r>
      <w:r>
        <w:rPr>
          <w:szCs w:val="18"/>
        </w:rPr>
        <w:tab/>
      </w:r>
      <w:r>
        <w:rPr>
          <w:szCs w:val="18"/>
        </w:rPr>
        <w:tab/>
      </w:r>
      <w:r>
        <w:rPr>
          <w:szCs w:val="18"/>
        </w:rPr>
        <w:tab/>
      </w:r>
      <w:r>
        <w:rPr>
          <w:szCs w:val="18"/>
        </w:rPr>
        <w:tab/>
        <w:t>Výběrové zjišťování pracovních sil</w:t>
      </w:r>
    </w:p>
    <w:p w:rsidR="00712E44" w:rsidRDefault="00712E44" w:rsidP="00DD55D3">
      <w:pPr>
        <w:autoSpaceDE w:val="0"/>
        <w:autoSpaceDN w:val="0"/>
        <w:adjustRightInd w:val="0"/>
        <w:spacing w:line="360" w:lineRule="auto"/>
        <w:jc w:val="both"/>
        <w:rPr>
          <w:szCs w:val="18"/>
        </w:rPr>
      </w:pPr>
      <w:r>
        <w:rPr>
          <w:szCs w:val="18"/>
        </w:rPr>
        <w:t>www</w:t>
      </w:r>
      <w:r>
        <w:rPr>
          <w:szCs w:val="18"/>
        </w:rPr>
        <w:tab/>
      </w:r>
      <w:r>
        <w:rPr>
          <w:szCs w:val="18"/>
        </w:rPr>
        <w:tab/>
      </w:r>
      <w:r>
        <w:rPr>
          <w:szCs w:val="18"/>
        </w:rPr>
        <w:tab/>
      </w:r>
      <w:r>
        <w:rPr>
          <w:szCs w:val="18"/>
        </w:rPr>
        <w:tab/>
        <w:t>WorldWideWeb – první webový prohlížeč</w:t>
      </w:r>
    </w:p>
    <w:p w:rsidR="00712E44" w:rsidRDefault="00712E44" w:rsidP="00DD55D3">
      <w:pPr>
        <w:autoSpaceDE w:val="0"/>
        <w:autoSpaceDN w:val="0"/>
        <w:adjustRightInd w:val="0"/>
        <w:spacing w:line="360" w:lineRule="auto"/>
        <w:jc w:val="both"/>
        <w:rPr>
          <w:szCs w:val="18"/>
        </w:rPr>
      </w:pPr>
      <w:r>
        <w:rPr>
          <w:szCs w:val="18"/>
        </w:rPr>
        <w:lastRenderedPageBreak/>
        <w:t>%</w:t>
      </w:r>
      <w:r>
        <w:rPr>
          <w:szCs w:val="18"/>
        </w:rPr>
        <w:tab/>
      </w:r>
      <w:r>
        <w:rPr>
          <w:szCs w:val="18"/>
        </w:rPr>
        <w:tab/>
      </w:r>
      <w:r>
        <w:rPr>
          <w:szCs w:val="18"/>
        </w:rPr>
        <w:tab/>
      </w:r>
      <w:r>
        <w:rPr>
          <w:szCs w:val="18"/>
        </w:rPr>
        <w:tab/>
        <w:t>procento</w:t>
      </w:r>
    </w:p>
    <w:p w:rsidR="00712E44" w:rsidRDefault="00712E44" w:rsidP="00DD55D3">
      <w:pPr>
        <w:autoSpaceDE w:val="0"/>
        <w:autoSpaceDN w:val="0"/>
        <w:adjustRightInd w:val="0"/>
        <w:spacing w:line="360" w:lineRule="auto"/>
        <w:jc w:val="both"/>
        <w:rPr>
          <w:szCs w:val="18"/>
        </w:rPr>
      </w:pPr>
      <w:r>
        <w:t>±</w:t>
      </w:r>
      <w:r>
        <w:tab/>
      </w:r>
      <w:r>
        <w:tab/>
      </w:r>
      <w:r>
        <w:tab/>
      </w:r>
      <w:r>
        <w:tab/>
        <w:t>plus,  mínus</w:t>
      </w:r>
    </w:p>
    <w:p w:rsidR="00712E44" w:rsidRDefault="00712E44" w:rsidP="00DD55D3">
      <w:pPr>
        <w:autoSpaceDE w:val="0"/>
        <w:autoSpaceDN w:val="0"/>
        <w:adjustRightInd w:val="0"/>
        <w:spacing w:line="360" w:lineRule="auto"/>
        <w:jc w:val="both"/>
        <w:rPr>
          <w:szCs w:val="18"/>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Default="00712E44" w:rsidP="00DD55D3">
      <w:pPr>
        <w:rPr>
          <w:b/>
        </w:rPr>
      </w:pPr>
    </w:p>
    <w:p w:rsidR="00712E44" w:rsidRPr="00113C5E" w:rsidRDefault="00712E44" w:rsidP="00DD55D3">
      <w:pPr>
        <w:rPr>
          <w:b/>
          <w:sz w:val="26"/>
          <w:szCs w:val="26"/>
        </w:rPr>
      </w:pPr>
      <w:r w:rsidRPr="00113C5E">
        <w:rPr>
          <w:b/>
          <w:sz w:val="26"/>
          <w:szCs w:val="26"/>
        </w:rPr>
        <w:lastRenderedPageBreak/>
        <w:t>Úvod</w:t>
      </w:r>
    </w:p>
    <w:p w:rsidR="00712E44" w:rsidRDefault="00712E44" w:rsidP="00DD55D3">
      <w:pPr>
        <w:spacing w:line="360" w:lineRule="auto"/>
      </w:pPr>
    </w:p>
    <w:p w:rsidR="00712E44" w:rsidRDefault="00712E44" w:rsidP="00DD55D3">
      <w:pPr>
        <w:tabs>
          <w:tab w:val="left" w:pos="705"/>
        </w:tabs>
        <w:spacing w:line="360" w:lineRule="auto"/>
        <w:jc w:val="both"/>
      </w:pPr>
      <w:r>
        <w:t xml:space="preserve">Euro je po americkém dolaru druhou nejvýznamnější světovou měnou. Představuje společnou měnu zemí Evropské unie, které jsou současně členy Hospodářské a měnové unie. </w:t>
      </w:r>
      <w:r>
        <w:br/>
        <w:t xml:space="preserve">1. ledna 1999 bylo euro přijato v jedenácti členských státech EU: Belgii, Německu, Španělsku, Francii, Irsku, Lucembursku, Holandsku, Rakousku, Portugalsku, Itálii </w:t>
      </w:r>
      <w:r>
        <w:br/>
        <w:t xml:space="preserve">a Finsku. Od 1. ledna 2001 používá euro také Řecko, od 1. ledna 2007 Slovinsko </w:t>
      </w:r>
      <w:r>
        <w:br/>
        <w:t xml:space="preserve">a od 1. ledna 2008 i Kypr a Malta. Předposlední, 16. zemí, která vstoupila mezi členy eurozóny, je Slovenská republika. Společnou měnu zavedla 1. ledna 2009. Prozatím posledním členem se dne 1. ledna 2011 stalo Estonsko.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Eurozóna představuje geografickou oblast zemí EU, jejichž společnou měnou je euro. Vznikla v lednu 1999, kdy Evropská centrální banka převzala zodpovědnost za měnovou politiku jedenácti národních centrálních bank členských států EU. Podmínkou vstupu do eurozóny </w:t>
      </w:r>
      <w:r>
        <w:br/>
        <w:t>je splnění konvergenčních kritérií. Tato kritéria určují ekonomické a právní předpoklady úspěšné účasti v měnové unii.</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Hlavním smyslem této diplomové práce je nastínit výhody, přínosy, náklady a rizika nového člena eurozóny a obeznámit čtenáře s problematikou zavedení nové měny. Zaměřuje </w:t>
      </w:r>
      <w:r>
        <w:br/>
        <w:t xml:space="preserve">se výhradně na Slovenskou republiku, která se členem eurozóny stala 1. ledna 2009. Diplomová práce popisuje celý proces integrace Slovenska až po zavedení eura jako zákonného oběživa na Slovensku.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V diplomové práci je mimo jiné rozebírán názor občanů Slovenska na některé aspekty, které jim společná evropská měna během roku 2009 přinesla. Tabulky jsou sestaveny na základě odpovědí anonymního dotazníku (Příloha A). Dotazníkového šetření se zúčastnilo </w:t>
      </w:r>
      <w:r>
        <w:br/>
        <w:t xml:space="preserve">100 respondentů a byl konstruován tak, aby nastínil odhady některých ekonomických dopadů ze strany spotřebitelů, které jim nová měna přinesla v prvním roce zavedení do oběhu.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Práce je zaměřena také na rozbor dosavadních účinků eura na výkonnost slovenské ekonomiky v průběhu roků 2009 a 2010. Hospodářství Slovenska bylo v době zavedení nové měny značně zasaženo globální hospodářskou krizí. Z tohoto důvodu jsou vlivy eura zohledňovány současně s dopady tohoto negativního ekonomického jevu.</w:t>
      </w:r>
    </w:p>
    <w:p w:rsidR="00712E44" w:rsidRDefault="00712E44" w:rsidP="00DD55D3">
      <w:pPr>
        <w:spacing w:line="360" w:lineRule="auto"/>
        <w:jc w:val="both"/>
        <w:rPr>
          <w:b/>
          <w:sz w:val="32"/>
          <w:szCs w:val="32"/>
        </w:rPr>
      </w:pPr>
    </w:p>
    <w:p w:rsidR="00712E44" w:rsidRDefault="00712E44" w:rsidP="00DD55D3">
      <w:pPr>
        <w:spacing w:line="360" w:lineRule="auto"/>
        <w:jc w:val="both"/>
        <w:rPr>
          <w:b/>
        </w:rPr>
      </w:pPr>
      <w:r>
        <w:rPr>
          <w:b/>
          <w:sz w:val="32"/>
          <w:szCs w:val="32"/>
        </w:rPr>
        <w:lastRenderedPageBreak/>
        <w:t>1 Stanovení hypotéz a vyty</w:t>
      </w:r>
      <w:r w:rsidRPr="00FF6B70">
        <w:rPr>
          <w:b/>
          <w:sz w:val="32"/>
          <w:szCs w:val="32"/>
        </w:rPr>
        <w:t>čení cílů práce</w:t>
      </w:r>
    </w:p>
    <w:p w:rsidR="00712E44" w:rsidRDefault="00712E44" w:rsidP="00DD55D3">
      <w:pPr>
        <w:spacing w:line="360" w:lineRule="auto"/>
        <w:jc w:val="both"/>
        <w:rPr>
          <w:b/>
        </w:rPr>
      </w:pPr>
    </w:p>
    <w:p w:rsidR="00712E44" w:rsidRDefault="00712E44" w:rsidP="00DD55D3">
      <w:pPr>
        <w:spacing w:line="360" w:lineRule="auto"/>
        <w:jc w:val="both"/>
        <w:rPr>
          <w:b/>
        </w:rPr>
      </w:pPr>
    </w:p>
    <w:p w:rsidR="00712E44" w:rsidRDefault="00712E44" w:rsidP="00DD55D3">
      <w:pPr>
        <w:spacing w:line="360" w:lineRule="auto"/>
        <w:jc w:val="both"/>
      </w:pPr>
      <w:r>
        <w:t>Hlavním úkolem první kapitoly je nastínit smysl hospodářské a především měnové integrace prostřednictvím cílů Eurosystému. Další subkapitoly jsou zaměřeny na stanovení hypotéz souvisejících s rozebíranou problematikou a vytyčení cílů práce. Vyvození závěrů na základě uvedených hypotéz a zhodnocení cílů je obsahem šesté kapitoly.</w:t>
      </w:r>
    </w:p>
    <w:p w:rsidR="00712E44" w:rsidRDefault="00712E44" w:rsidP="00DD55D3">
      <w:pPr>
        <w:spacing w:line="360" w:lineRule="auto"/>
        <w:jc w:val="both"/>
      </w:pPr>
    </w:p>
    <w:p w:rsidR="00712E44" w:rsidRDefault="00712E44" w:rsidP="009D525F">
      <w:pPr>
        <w:spacing w:line="360" w:lineRule="auto"/>
        <w:jc w:val="both"/>
      </w:pPr>
    </w:p>
    <w:p w:rsidR="00712E44" w:rsidRPr="009D525F" w:rsidRDefault="00712E44" w:rsidP="009D525F">
      <w:pPr>
        <w:spacing w:line="360" w:lineRule="auto"/>
        <w:jc w:val="both"/>
        <w:rPr>
          <w:b/>
          <w:sz w:val="28"/>
          <w:szCs w:val="28"/>
        </w:rPr>
      </w:pPr>
      <w:r>
        <w:rPr>
          <w:b/>
          <w:sz w:val="28"/>
          <w:szCs w:val="28"/>
        </w:rPr>
        <w:t xml:space="preserve">1.1 </w:t>
      </w:r>
      <w:r w:rsidRPr="009D525F">
        <w:rPr>
          <w:b/>
          <w:sz w:val="28"/>
          <w:szCs w:val="28"/>
        </w:rPr>
        <w:t>Cíle Eurosystému</w:t>
      </w:r>
    </w:p>
    <w:p w:rsidR="00712E44" w:rsidRDefault="00712E44" w:rsidP="009D525F">
      <w:pPr>
        <w:spacing w:line="360" w:lineRule="auto"/>
        <w:jc w:val="both"/>
      </w:pPr>
    </w:p>
    <w:p w:rsidR="00712E44" w:rsidRDefault="00712E44" w:rsidP="009D525F">
      <w:pPr>
        <w:spacing w:line="360" w:lineRule="auto"/>
        <w:jc w:val="both"/>
      </w:pPr>
      <w:r>
        <w:t>Podstatou Eurosystému je evropská integrace, která představuje postupné sbližování některých evropských států, jenž přesahuje běžnou mezinárodní spolupráci.</w:t>
      </w:r>
      <w:r w:rsidRPr="002F79B3">
        <w:t xml:space="preserve"> </w:t>
      </w:r>
      <w:r>
        <w:t xml:space="preserve">Integrace spočívá ve sloučení původně samostatných jednotek do nového celku. </w:t>
      </w:r>
    </w:p>
    <w:p w:rsidR="00712E44" w:rsidRDefault="00712E44" w:rsidP="009D525F">
      <w:pPr>
        <w:spacing w:line="360" w:lineRule="auto"/>
        <w:jc w:val="both"/>
      </w:pPr>
    </w:p>
    <w:p w:rsidR="00712E44" w:rsidRDefault="00712E44" w:rsidP="00A2755B">
      <w:pPr>
        <w:widowControl/>
        <w:suppressAutoHyphens w:val="0"/>
        <w:spacing w:line="360" w:lineRule="auto"/>
        <w:jc w:val="both"/>
        <w:rPr>
          <w:rFonts w:eastAsia="Times New Roman"/>
          <w:kern w:val="0"/>
          <w:lang w:eastAsia="cs-CZ"/>
        </w:rPr>
      </w:pPr>
      <w:r>
        <w:rPr>
          <w:rFonts w:eastAsia="Times New Roman"/>
          <w:kern w:val="0"/>
          <w:lang w:eastAsia="cs-CZ"/>
        </w:rPr>
        <w:t xml:space="preserve">Primárním cílem Eurosystému a jeho jednotné měnové politiky je udržování cenové stability. Se záměrem přispět k dosažení ostatních cílů hospodářské politiky Evropské hospodářské </w:t>
      </w:r>
      <w:r>
        <w:rPr>
          <w:rFonts w:eastAsia="Times New Roman"/>
          <w:kern w:val="0"/>
          <w:lang w:eastAsia="cs-CZ"/>
        </w:rPr>
        <w:br/>
        <w:t xml:space="preserve">a měnové unie, jimiž jsou vysoká úroveň zaměstnanosti a udržitelný neinflační růst, zároveň podporuje celkové hospodářské politiky jednotlivých členů Společenství. Zajištění cenové stability má přispět k vytvoření podmínek pro  rozvoj vhodného ekonomického prostředí </w:t>
      </w:r>
      <w:r>
        <w:rPr>
          <w:rFonts w:eastAsia="Times New Roman"/>
          <w:kern w:val="0"/>
          <w:lang w:eastAsia="cs-CZ"/>
        </w:rPr>
        <w:br/>
        <w:t xml:space="preserve">a vysoké úrovně zaměstnanosti. </w:t>
      </w:r>
    </w:p>
    <w:p w:rsidR="00712E44" w:rsidRDefault="00712E44" w:rsidP="00A2755B">
      <w:pPr>
        <w:widowControl/>
        <w:suppressAutoHyphens w:val="0"/>
        <w:spacing w:line="360" w:lineRule="auto"/>
        <w:jc w:val="both"/>
        <w:rPr>
          <w:rFonts w:eastAsia="Times New Roman"/>
          <w:kern w:val="0"/>
          <w:lang w:eastAsia="cs-CZ"/>
        </w:rPr>
      </w:pPr>
    </w:p>
    <w:p w:rsidR="00712E44" w:rsidRDefault="00712E44" w:rsidP="00A2755B">
      <w:pPr>
        <w:widowControl/>
        <w:suppressAutoHyphens w:val="0"/>
        <w:spacing w:line="360" w:lineRule="auto"/>
        <w:jc w:val="both"/>
      </w:pPr>
      <w:r>
        <w:t xml:space="preserve">Součástí Eurosystému je od 1. ledna 2009 i Národní banka Slovenska. Ve spolupráci s Evropskou centrální bankou a centrálními bankami zemí eurozóny je jejím hlavním úkolem podílet se na vytváření podmínek pro dosahování primárního cíle Eurosystému. </w:t>
      </w:r>
    </w:p>
    <w:p w:rsidR="00712E44" w:rsidRDefault="00712E44" w:rsidP="00A2755B">
      <w:pPr>
        <w:widowControl/>
        <w:suppressAutoHyphens w:val="0"/>
        <w:spacing w:line="360" w:lineRule="auto"/>
        <w:jc w:val="both"/>
      </w:pPr>
    </w:p>
    <w:p w:rsidR="00712E44" w:rsidRDefault="00712E44" w:rsidP="00630C4A">
      <w:pPr>
        <w:widowControl/>
        <w:suppressAutoHyphens w:val="0"/>
        <w:spacing w:line="360" w:lineRule="auto"/>
        <w:jc w:val="both"/>
      </w:pPr>
      <w:r>
        <w:t>K ostatním cílům Evropské hospodářské unie patří:</w:t>
      </w:r>
    </w:p>
    <w:p w:rsidR="00712E44" w:rsidRDefault="00712E44" w:rsidP="00630C4A">
      <w:pPr>
        <w:pStyle w:val="Odstavecseseznamem"/>
        <w:widowControl/>
        <w:numPr>
          <w:ilvl w:val="0"/>
          <w:numId w:val="12"/>
        </w:numPr>
        <w:suppressAutoHyphens w:val="0"/>
        <w:spacing w:line="360" w:lineRule="auto"/>
        <w:jc w:val="both"/>
      </w:pPr>
      <w:r>
        <w:t xml:space="preserve">podpora ekonomického rozvoje vytvořením hospodářské unie bez vnitřních hranic </w:t>
      </w:r>
      <w:r>
        <w:br/>
        <w:t>a měnové unie se zavedením jednotné měny euro,</w:t>
      </w:r>
    </w:p>
    <w:p w:rsidR="00712E44" w:rsidRDefault="00712E44" w:rsidP="00FD1F82">
      <w:pPr>
        <w:pStyle w:val="Odstavecseseznamem"/>
        <w:widowControl/>
        <w:numPr>
          <w:ilvl w:val="0"/>
          <w:numId w:val="12"/>
        </w:numPr>
        <w:suppressAutoHyphens w:val="0"/>
        <w:spacing w:line="360" w:lineRule="auto"/>
        <w:jc w:val="both"/>
      </w:pPr>
      <w:r>
        <w:t>stabilní a vyvážené obchodní vztahy a zaručení volné soutěže,</w:t>
      </w:r>
    </w:p>
    <w:p w:rsidR="00712E44" w:rsidRDefault="00712E44" w:rsidP="00630C4A">
      <w:pPr>
        <w:pStyle w:val="Odstavecseseznamem"/>
        <w:widowControl/>
        <w:numPr>
          <w:ilvl w:val="0"/>
          <w:numId w:val="12"/>
        </w:numPr>
        <w:suppressAutoHyphens w:val="0"/>
        <w:spacing w:line="360" w:lineRule="auto"/>
        <w:jc w:val="both"/>
      </w:pPr>
      <w:r>
        <w:t>postupné vyrovnávání ekonomické nerovnováhy mezi státy a regiony, posilování soudržnosti a spolupráce v sociální oblasti,</w:t>
      </w:r>
    </w:p>
    <w:p w:rsidR="00712E44" w:rsidRDefault="00712E44" w:rsidP="00630C4A">
      <w:pPr>
        <w:pStyle w:val="Odstavecseseznamem"/>
        <w:widowControl/>
        <w:numPr>
          <w:ilvl w:val="0"/>
          <w:numId w:val="12"/>
        </w:numPr>
        <w:suppressAutoHyphens w:val="0"/>
        <w:spacing w:line="360" w:lineRule="auto"/>
        <w:jc w:val="both"/>
      </w:pPr>
      <w:r>
        <w:t>zlepšení životních a pracovních podmínek obyvatel EU, podpora zaměstnanosti,</w:t>
      </w:r>
    </w:p>
    <w:p w:rsidR="00712E44" w:rsidRDefault="00712E44" w:rsidP="00FD1F82">
      <w:pPr>
        <w:pStyle w:val="Odstavecseseznamem"/>
        <w:widowControl/>
        <w:numPr>
          <w:ilvl w:val="0"/>
          <w:numId w:val="12"/>
        </w:numPr>
        <w:suppressAutoHyphens w:val="0"/>
        <w:spacing w:line="360" w:lineRule="auto"/>
        <w:jc w:val="both"/>
      </w:pPr>
      <w:r>
        <w:lastRenderedPageBreak/>
        <w:t xml:space="preserve">prosazování své identity na mezinárodní scéně prostřednictvím společné zahraniční </w:t>
      </w:r>
      <w:r>
        <w:br/>
        <w:t>a bezpečnostní politiky,</w:t>
      </w:r>
    </w:p>
    <w:p w:rsidR="00712E44" w:rsidRDefault="00712E44" w:rsidP="00630C4A">
      <w:pPr>
        <w:pStyle w:val="Odstavecseseznamem"/>
        <w:widowControl/>
        <w:numPr>
          <w:ilvl w:val="0"/>
          <w:numId w:val="12"/>
        </w:numPr>
        <w:suppressAutoHyphens w:val="0"/>
        <w:spacing w:line="360" w:lineRule="auto"/>
        <w:jc w:val="both"/>
      </w:pPr>
      <w:r>
        <w:t>ochrana práv a zájmů členských zemí a jejich občanů,</w:t>
      </w:r>
    </w:p>
    <w:p w:rsidR="00712E44" w:rsidRDefault="00712E44" w:rsidP="00FD1F82">
      <w:pPr>
        <w:pStyle w:val="Odstavecseseznamem"/>
        <w:widowControl/>
        <w:numPr>
          <w:ilvl w:val="0"/>
          <w:numId w:val="12"/>
        </w:numPr>
        <w:suppressAutoHyphens w:val="0"/>
        <w:spacing w:line="360" w:lineRule="auto"/>
        <w:jc w:val="both"/>
      </w:pPr>
      <w:r>
        <w:t>spolupráce v oblasti práva a vnitřní politiky,</w:t>
      </w:r>
    </w:p>
    <w:p w:rsidR="00712E44" w:rsidRDefault="00712E44" w:rsidP="00630C4A">
      <w:pPr>
        <w:pStyle w:val="Odstavecseseznamem"/>
        <w:widowControl/>
        <w:numPr>
          <w:ilvl w:val="0"/>
          <w:numId w:val="12"/>
        </w:numPr>
        <w:suppressAutoHyphens w:val="0"/>
        <w:spacing w:line="360" w:lineRule="auto"/>
        <w:jc w:val="both"/>
      </w:pPr>
      <w:r>
        <w:t>zachování míru a bezpečnosti jednotnou obrannou politikou,</w:t>
      </w:r>
    </w:p>
    <w:p w:rsidR="00712E44" w:rsidRDefault="00712E44" w:rsidP="00630C4A">
      <w:pPr>
        <w:pStyle w:val="Odstavecseseznamem"/>
        <w:widowControl/>
        <w:numPr>
          <w:ilvl w:val="0"/>
          <w:numId w:val="12"/>
        </w:numPr>
        <w:suppressAutoHyphens w:val="0"/>
        <w:spacing w:line="360" w:lineRule="auto"/>
        <w:jc w:val="both"/>
      </w:pPr>
      <w:r>
        <w:t xml:space="preserve">pomoc rozvojovým státům, </w:t>
      </w:r>
    </w:p>
    <w:p w:rsidR="00712E44" w:rsidRDefault="00712E44" w:rsidP="00630C4A">
      <w:pPr>
        <w:pStyle w:val="Odstavecseseznamem"/>
        <w:widowControl/>
        <w:numPr>
          <w:ilvl w:val="0"/>
          <w:numId w:val="12"/>
        </w:numPr>
        <w:suppressAutoHyphens w:val="0"/>
        <w:spacing w:line="360" w:lineRule="auto"/>
        <w:jc w:val="both"/>
      </w:pPr>
      <w:r>
        <w:t>rozšiřování EU o nové členy, především o státy střední a východní Evropy.</w:t>
      </w:r>
      <w:r>
        <w:rPr>
          <w:rStyle w:val="Znakapoznpodarou"/>
        </w:rPr>
        <w:footnoteReference w:id="1"/>
      </w:r>
    </w:p>
    <w:p w:rsidR="00712E44" w:rsidRDefault="00712E44" w:rsidP="000D656B">
      <w:pPr>
        <w:widowControl/>
        <w:suppressAutoHyphens w:val="0"/>
        <w:spacing w:line="360" w:lineRule="auto"/>
        <w:jc w:val="both"/>
      </w:pPr>
    </w:p>
    <w:p w:rsidR="00712E44" w:rsidRDefault="00712E44" w:rsidP="000D656B">
      <w:pPr>
        <w:widowControl/>
        <w:suppressAutoHyphens w:val="0"/>
        <w:spacing w:line="360" w:lineRule="auto"/>
        <w:jc w:val="both"/>
      </w:pPr>
      <w:r>
        <w:t>Výše uvedené cíle patří k podkladům této diplomové práce, jelikož jsou podstatou a důvodem rozebíraného slovenského integračního procesu.</w:t>
      </w:r>
    </w:p>
    <w:p w:rsidR="00712E44" w:rsidRDefault="00712E44" w:rsidP="00A2755B">
      <w:pPr>
        <w:widowControl/>
        <w:suppressAutoHyphens w:val="0"/>
        <w:spacing w:line="360" w:lineRule="auto"/>
        <w:jc w:val="both"/>
        <w:rPr>
          <w:rFonts w:eastAsia="Times New Roman"/>
          <w:kern w:val="0"/>
          <w:lang w:eastAsia="cs-CZ"/>
        </w:rPr>
      </w:pPr>
    </w:p>
    <w:p w:rsidR="00712E44" w:rsidRPr="00A2755B" w:rsidRDefault="00712E44" w:rsidP="00A2755B">
      <w:pPr>
        <w:widowControl/>
        <w:suppressAutoHyphens w:val="0"/>
        <w:spacing w:line="360" w:lineRule="auto"/>
        <w:jc w:val="both"/>
        <w:rPr>
          <w:rFonts w:eastAsia="Times New Roman"/>
          <w:kern w:val="0"/>
          <w:lang w:eastAsia="cs-CZ"/>
        </w:rPr>
      </w:pPr>
    </w:p>
    <w:p w:rsidR="00712E44" w:rsidRDefault="00712E44" w:rsidP="00A2755B">
      <w:pPr>
        <w:spacing w:line="360" w:lineRule="auto"/>
        <w:jc w:val="both"/>
        <w:rPr>
          <w:b/>
          <w:sz w:val="28"/>
          <w:szCs w:val="28"/>
        </w:rPr>
      </w:pPr>
      <w:r>
        <w:rPr>
          <w:b/>
          <w:sz w:val="28"/>
          <w:szCs w:val="28"/>
        </w:rPr>
        <w:t>1.2 Základní hypotézy z hlediska koherence SR s eurozónou</w:t>
      </w:r>
    </w:p>
    <w:p w:rsidR="00712E44" w:rsidRDefault="00712E44" w:rsidP="00A2755B">
      <w:pPr>
        <w:spacing w:line="360" w:lineRule="auto"/>
        <w:jc w:val="both"/>
        <w:rPr>
          <w:b/>
          <w:sz w:val="28"/>
          <w:szCs w:val="28"/>
        </w:rPr>
      </w:pPr>
    </w:p>
    <w:p w:rsidR="00712E44" w:rsidRDefault="00712E44" w:rsidP="00A2755B">
      <w:pPr>
        <w:spacing w:line="360" w:lineRule="auto"/>
        <w:jc w:val="both"/>
      </w:pPr>
      <w:r>
        <w:t xml:space="preserve">Základní hypotéza vychází z předpokladu, že členství v měnové unii je pro integrující </w:t>
      </w:r>
      <w:r>
        <w:br/>
        <w:t>se zemi výhodné, když veškeré přínosy převyšují náklady. Jelikož jsou výhody i náklady společné měny těžko kvantifikovatelné, lze pouze předpokládat snahu o minimalizaci nákladů. Důsledkem této snahy by měl být maximální převis přínosů nad náklady.</w:t>
      </w:r>
    </w:p>
    <w:p w:rsidR="00712E44" w:rsidRDefault="00712E44" w:rsidP="00DD55D3">
      <w:pPr>
        <w:spacing w:line="360" w:lineRule="auto"/>
        <w:jc w:val="both"/>
      </w:pPr>
    </w:p>
    <w:p w:rsidR="00712E44" w:rsidRDefault="00712E44" w:rsidP="00DD55D3">
      <w:pPr>
        <w:spacing w:line="360" w:lineRule="auto"/>
        <w:jc w:val="both"/>
      </w:pPr>
      <w:r>
        <w:t xml:space="preserve">Výše popsanou hypotézu lze rozčlenit na konkrétní sféry, kde by mělo dojít ke změnám </w:t>
      </w:r>
      <w:r>
        <w:br/>
        <w:t xml:space="preserve">a převisu výhod a přínosů nad nevýhodami a náklady integrace. </w:t>
      </w:r>
    </w:p>
    <w:p w:rsidR="00712E44" w:rsidRDefault="00712E44" w:rsidP="00DD55D3">
      <w:pPr>
        <w:spacing w:line="360" w:lineRule="auto"/>
        <w:jc w:val="both"/>
      </w:pPr>
    </w:p>
    <w:p w:rsidR="00712E44" w:rsidRDefault="00712E44" w:rsidP="00DD55D3">
      <w:pPr>
        <w:spacing w:line="360" w:lineRule="auto"/>
        <w:jc w:val="both"/>
      </w:pPr>
      <w:r>
        <w:t>Jednotná měna Slovenské republice přinese již z krátkodobého hlediska více výhod a přínosů, nežli nákladů a rizik.</w:t>
      </w:r>
    </w:p>
    <w:p w:rsidR="00712E44" w:rsidRDefault="00712E44" w:rsidP="00DD55D3">
      <w:pPr>
        <w:spacing w:line="360" w:lineRule="auto"/>
        <w:jc w:val="both"/>
      </w:pPr>
    </w:p>
    <w:p w:rsidR="00712E44" w:rsidRDefault="00712E44" w:rsidP="00477B97">
      <w:pPr>
        <w:spacing w:line="360" w:lineRule="auto"/>
        <w:jc w:val="both"/>
      </w:pPr>
      <w:r>
        <w:t>Ze střednědobého a dlouhodobého hlediska je členství Slovenské republiky v eurozóně pozitivní skutečností, protože povede k:</w:t>
      </w:r>
    </w:p>
    <w:p w:rsidR="00712E44" w:rsidRDefault="00712E44" w:rsidP="00477B97">
      <w:pPr>
        <w:pStyle w:val="Odstavecseseznamem"/>
        <w:numPr>
          <w:ilvl w:val="0"/>
          <w:numId w:val="6"/>
        </w:numPr>
        <w:spacing w:line="360" w:lineRule="auto"/>
        <w:jc w:val="both"/>
      </w:pPr>
      <w:r>
        <w:t>postupnému zvyšování zaměstnanosti,</w:t>
      </w:r>
    </w:p>
    <w:p w:rsidR="00712E44" w:rsidRDefault="00712E44" w:rsidP="00477B97">
      <w:pPr>
        <w:pStyle w:val="Odstavecseseznamem"/>
        <w:numPr>
          <w:ilvl w:val="0"/>
          <w:numId w:val="6"/>
        </w:numPr>
        <w:spacing w:line="360" w:lineRule="auto"/>
        <w:jc w:val="both"/>
      </w:pPr>
      <w:r>
        <w:t>poklesu inflace,</w:t>
      </w:r>
    </w:p>
    <w:p w:rsidR="00712E44" w:rsidRDefault="00712E44" w:rsidP="00477B97">
      <w:pPr>
        <w:pStyle w:val="Odstavecseseznamem"/>
        <w:numPr>
          <w:ilvl w:val="0"/>
          <w:numId w:val="6"/>
        </w:numPr>
        <w:spacing w:line="360" w:lineRule="auto"/>
        <w:jc w:val="both"/>
      </w:pPr>
      <w:r>
        <w:t>růstu mezd a reálných příjmů domácností,</w:t>
      </w:r>
    </w:p>
    <w:p w:rsidR="00712E44" w:rsidRDefault="00712E44" w:rsidP="00477B97">
      <w:pPr>
        <w:pStyle w:val="Odstavecseseznamem"/>
        <w:numPr>
          <w:ilvl w:val="0"/>
          <w:numId w:val="6"/>
        </w:numPr>
        <w:spacing w:line="360" w:lineRule="auto"/>
        <w:jc w:val="both"/>
      </w:pPr>
      <w:r>
        <w:t>lépe fungujícímu národnímu hospodářství,</w:t>
      </w:r>
    </w:p>
    <w:p w:rsidR="00712E44" w:rsidRDefault="00712E44" w:rsidP="00477B97">
      <w:pPr>
        <w:pStyle w:val="Odstavecseseznamem"/>
        <w:numPr>
          <w:ilvl w:val="0"/>
          <w:numId w:val="6"/>
        </w:numPr>
        <w:spacing w:line="360" w:lineRule="auto"/>
        <w:jc w:val="both"/>
      </w:pPr>
      <w:r>
        <w:lastRenderedPageBreak/>
        <w:t>postupnému uzdravování veřejných financí.</w:t>
      </w:r>
    </w:p>
    <w:p w:rsidR="00712E44" w:rsidRDefault="00712E44" w:rsidP="00477B97">
      <w:pPr>
        <w:spacing w:line="360" w:lineRule="auto"/>
        <w:jc w:val="both"/>
      </w:pPr>
    </w:p>
    <w:p w:rsidR="00712E44" w:rsidRDefault="00712E44" w:rsidP="00477B97">
      <w:pPr>
        <w:spacing w:line="360" w:lineRule="auto"/>
        <w:jc w:val="both"/>
      </w:pPr>
      <w:r>
        <w:t xml:space="preserve">V roce 2007 svět zasáhla velká hospodářská a finanční krize. Důsledky tohoto negativního jevu pocítila i ekonomika Slovenska. Další hypotéza zní, že zavedení eura bylo pro výkonnost slovenské ekonomiky v době prohlubování hospodářské krize výhodou. </w:t>
      </w:r>
    </w:p>
    <w:p w:rsidR="00712E44" w:rsidRDefault="00712E44" w:rsidP="00DD55D3">
      <w:pPr>
        <w:spacing w:line="360" w:lineRule="auto"/>
        <w:jc w:val="both"/>
      </w:pPr>
    </w:p>
    <w:p w:rsidR="00712E44" w:rsidRDefault="00712E44" w:rsidP="00DD55D3">
      <w:pPr>
        <w:spacing w:line="360" w:lineRule="auto"/>
        <w:jc w:val="both"/>
      </w:pPr>
      <w:r>
        <w:t xml:space="preserve">Šestá kapitola práce je mimo jiné věnovaná potvrzení, či vyvrácení stanovených hypotéz. Vyvozené závěry ohledně druhé hypotézy budou ovlivněny krátkým obdobím účinnosti nového zákonného platidla na Slovensku. V diplomové práci jsou vyhodnoceny některé makroekonomické ukazatele výkonnosti slovenské ekonomiky za rok 2009 a 2010. </w:t>
      </w:r>
    </w:p>
    <w:p w:rsidR="00712E44" w:rsidRPr="00577DB7" w:rsidRDefault="00712E44" w:rsidP="00DD55D3">
      <w:pPr>
        <w:spacing w:line="360" w:lineRule="auto"/>
        <w:jc w:val="both"/>
        <w:rPr>
          <w:b/>
        </w:rPr>
      </w:pPr>
    </w:p>
    <w:p w:rsidR="00712E44" w:rsidRPr="009C0010" w:rsidRDefault="00712E44" w:rsidP="00DD55D3">
      <w:pPr>
        <w:spacing w:line="360" w:lineRule="auto"/>
        <w:jc w:val="both"/>
      </w:pPr>
    </w:p>
    <w:p w:rsidR="00712E44" w:rsidRDefault="00712E44" w:rsidP="00DD55D3">
      <w:pPr>
        <w:spacing w:line="360" w:lineRule="auto"/>
        <w:jc w:val="both"/>
      </w:pPr>
      <w:r>
        <w:rPr>
          <w:b/>
          <w:sz w:val="28"/>
          <w:szCs w:val="28"/>
        </w:rPr>
        <w:t xml:space="preserve">1.3 </w:t>
      </w:r>
      <w:r w:rsidRPr="00170559">
        <w:rPr>
          <w:b/>
          <w:sz w:val="28"/>
          <w:szCs w:val="28"/>
        </w:rPr>
        <w:t>Cíle práce</w:t>
      </w:r>
    </w:p>
    <w:p w:rsidR="00712E44" w:rsidRDefault="00712E44" w:rsidP="00DD55D3">
      <w:pPr>
        <w:spacing w:line="360" w:lineRule="auto"/>
        <w:jc w:val="both"/>
      </w:pPr>
    </w:p>
    <w:p w:rsidR="00712E44" w:rsidRDefault="00712E44" w:rsidP="00DD55D3">
      <w:pPr>
        <w:spacing w:line="360" w:lineRule="auto"/>
        <w:jc w:val="both"/>
      </w:pPr>
      <w:r>
        <w:t xml:space="preserve">Prvním cílem práce je zdůvodnit smysl evropské hospodářské a především měnové unie. </w:t>
      </w:r>
      <w:r>
        <w:br/>
        <w:t xml:space="preserve">Pro dosažení tohoto cíle je nutno vycházet z historického vývoje, a to od první myšlenky  </w:t>
      </w:r>
      <w:r>
        <w:br/>
        <w:t>o evropské integraci až ke vzniku eurozóny.</w:t>
      </w:r>
    </w:p>
    <w:p w:rsidR="00712E44" w:rsidRDefault="00712E44" w:rsidP="00DD55D3">
      <w:pPr>
        <w:spacing w:line="360" w:lineRule="auto"/>
        <w:jc w:val="both"/>
      </w:pPr>
    </w:p>
    <w:p w:rsidR="00712E44" w:rsidRDefault="00712E44" w:rsidP="00DD55D3">
      <w:pPr>
        <w:spacing w:line="360" w:lineRule="auto"/>
        <w:jc w:val="both"/>
        <w:rPr>
          <w:bCs/>
        </w:rPr>
      </w:pPr>
      <w:r>
        <w:rPr>
          <w:bCs/>
        </w:rPr>
        <w:t>Hlavním cílem této diplomové práce je obeznámit čtenáře:</w:t>
      </w:r>
    </w:p>
    <w:p w:rsidR="00712E44" w:rsidRDefault="00712E44" w:rsidP="00DD55D3">
      <w:pPr>
        <w:pStyle w:val="Odstavecseseznamem"/>
        <w:numPr>
          <w:ilvl w:val="0"/>
          <w:numId w:val="6"/>
        </w:numPr>
        <w:spacing w:line="360" w:lineRule="auto"/>
        <w:jc w:val="both"/>
        <w:rPr>
          <w:bCs/>
        </w:rPr>
      </w:pPr>
      <w:r w:rsidRPr="009D5438">
        <w:rPr>
          <w:bCs/>
        </w:rPr>
        <w:t xml:space="preserve">s problematikou zavedení evropské měny na Slovensku, </w:t>
      </w:r>
    </w:p>
    <w:p w:rsidR="00712E44" w:rsidRDefault="00712E44" w:rsidP="00DD55D3">
      <w:pPr>
        <w:pStyle w:val="Odstavecseseznamem"/>
        <w:numPr>
          <w:ilvl w:val="0"/>
          <w:numId w:val="6"/>
        </w:numPr>
        <w:spacing w:line="360" w:lineRule="auto"/>
        <w:jc w:val="both"/>
        <w:rPr>
          <w:bCs/>
        </w:rPr>
      </w:pPr>
      <w:r w:rsidRPr="009D5438">
        <w:rPr>
          <w:bCs/>
        </w:rPr>
        <w:t>s přínosy</w:t>
      </w:r>
      <w:r>
        <w:rPr>
          <w:bCs/>
        </w:rPr>
        <w:t xml:space="preserve"> a</w:t>
      </w:r>
      <w:r w:rsidRPr="009D5438">
        <w:rPr>
          <w:bCs/>
        </w:rPr>
        <w:t xml:space="preserve"> náklady</w:t>
      </w:r>
      <w:r>
        <w:rPr>
          <w:bCs/>
        </w:rPr>
        <w:t xml:space="preserve"> evropské měny,</w:t>
      </w:r>
    </w:p>
    <w:p w:rsidR="00712E44" w:rsidRDefault="00712E44" w:rsidP="00DD55D3">
      <w:pPr>
        <w:pStyle w:val="Odstavecseseznamem"/>
        <w:numPr>
          <w:ilvl w:val="0"/>
          <w:numId w:val="6"/>
        </w:numPr>
        <w:spacing w:line="360" w:lineRule="auto"/>
        <w:jc w:val="both"/>
        <w:rPr>
          <w:bCs/>
        </w:rPr>
      </w:pPr>
      <w:r>
        <w:rPr>
          <w:bCs/>
        </w:rPr>
        <w:t>s vlivem</w:t>
      </w:r>
      <w:r w:rsidRPr="009D5438">
        <w:rPr>
          <w:bCs/>
        </w:rPr>
        <w:t xml:space="preserve"> působení</w:t>
      </w:r>
      <w:r>
        <w:rPr>
          <w:bCs/>
        </w:rPr>
        <w:t xml:space="preserve"> eura</w:t>
      </w:r>
      <w:r w:rsidRPr="009D5438">
        <w:rPr>
          <w:bCs/>
        </w:rPr>
        <w:t xml:space="preserve"> na účinky hospodářské krize ve slovenské ekonomice během roku 2009 a 2010</w:t>
      </w:r>
      <w:r>
        <w:rPr>
          <w:bCs/>
        </w:rPr>
        <w:t>,</w:t>
      </w:r>
    </w:p>
    <w:p w:rsidR="00712E44" w:rsidRDefault="00712E44" w:rsidP="00DD55D3">
      <w:pPr>
        <w:pStyle w:val="Odstavecseseznamem"/>
        <w:numPr>
          <w:ilvl w:val="0"/>
          <w:numId w:val="6"/>
        </w:numPr>
        <w:spacing w:line="360" w:lineRule="auto"/>
        <w:jc w:val="both"/>
        <w:rPr>
          <w:bCs/>
        </w:rPr>
      </w:pPr>
      <w:r>
        <w:rPr>
          <w:bCs/>
        </w:rPr>
        <w:t>s názory slovenských obyvatel na novou měnu.</w:t>
      </w:r>
    </w:p>
    <w:p w:rsidR="00712E44" w:rsidRDefault="00712E44" w:rsidP="00DD55D3">
      <w:pPr>
        <w:spacing w:line="360" w:lineRule="auto"/>
        <w:jc w:val="both"/>
      </w:pPr>
    </w:p>
    <w:p w:rsidR="00712E44" w:rsidRDefault="00712E44" w:rsidP="00DD55D3">
      <w:pPr>
        <w:spacing w:line="360" w:lineRule="auto"/>
        <w:jc w:val="both"/>
      </w:pPr>
      <w:r>
        <w:t xml:space="preserve">Dalším cílem je: </w:t>
      </w:r>
    </w:p>
    <w:p w:rsidR="00712E44" w:rsidRDefault="00712E44" w:rsidP="00D166F2">
      <w:pPr>
        <w:pStyle w:val="Odstavecseseznamem"/>
        <w:numPr>
          <w:ilvl w:val="0"/>
          <w:numId w:val="6"/>
        </w:numPr>
        <w:spacing w:line="360" w:lineRule="auto"/>
        <w:jc w:val="both"/>
      </w:pPr>
      <w:r>
        <w:t>nastínit výhody a nevýhody členství v měnové unii,</w:t>
      </w:r>
    </w:p>
    <w:p w:rsidR="00712E44" w:rsidRDefault="00712E44" w:rsidP="00D166F2">
      <w:pPr>
        <w:pStyle w:val="Odstavecseseznamem"/>
        <w:numPr>
          <w:ilvl w:val="0"/>
          <w:numId w:val="6"/>
        </w:numPr>
        <w:spacing w:line="360" w:lineRule="auto"/>
        <w:jc w:val="both"/>
      </w:pPr>
      <w:r>
        <w:t>vyvodit závěry z analýzy rozebíraných přínosů a nákladů nové měny pro Slovensko,</w:t>
      </w:r>
    </w:p>
    <w:p w:rsidR="00712E44" w:rsidRDefault="00712E44" w:rsidP="00D166F2">
      <w:pPr>
        <w:pStyle w:val="Odstavecseseznamem"/>
        <w:numPr>
          <w:ilvl w:val="0"/>
          <w:numId w:val="6"/>
        </w:numPr>
        <w:spacing w:line="360" w:lineRule="auto"/>
        <w:jc w:val="both"/>
      </w:pPr>
      <w:r>
        <w:t>potvrdit, či vyvrátit výše uvedené hypotézy.</w:t>
      </w:r>
    </w:p>
    <w:p w:rsidR="00712E44" w:rsidRDefault="00712E44" w:rsidP="00DD55D3">
      <w:pPr>
        <w:spacing w:line="360" w:lineRule="auto"/>
        <w:jc w:val="both"/>
      </w:pPr>
    </w:p>
    <w:p w:rsidR="00712E44" w:rsidRPr="00170559" w:rsidRDefault="00712E44" w:rsidP="00DD55D3">
      <w:pPr>
        <w:spacing w:line="360" w:lineRule="auto"/>
        <w:jc w:val="both"/>
      </w:pPr>
      <w:r>
        <w:t xml:space="preserve">Cílem dotazníkového šetření bylo zjistit názory obyvatel na očekávané dopady související </w:t>
      </w:r>
      <w:r>
        <w:br/>
        <w:t xml:space="preserve">se zavedením nové měny. Vyhodnocení odpovědí má čtenáři přiblížit převažující přesvědčení a zkušenosti obyvatelstva nasbírané během prvního roku jejího používání. </w:t>
      </w:r>
    </w:p>
    <w:p w:rsidR="00712E44" w:rsidRDefault="00712E44" w:rsidP="00DD55D3">
      <w:pPr>
        <w:spacing w:line="360" w:lineRule="auto"/>
        <w:jc w:val="both"/>
        <w:rPr>
          <w:bCs/>
        </w:rPr>
      </w:pPr>
      <w:r w:rsidRPr="0098203D">
        <w:rPr>
          <w:b/>
          <w:bCs/>
          <w:sz w:val="32"/>
          <w:szCs w:val="32"/>
        </w:rPr>
        <w:lastRenderedPageBreak/>
        <w:t>2 Eurozóna, její vývoj a význam</w:t>
      </w:r>
    </w:p>
    <w:p w:rsidR="00712E44" w:rsidRDefault="00712E44" w:rsidP="00DD55D3">
      <w:pPr>
        <w:spacing w:line="360" w:lineRule="auto"/>
        <w:jc w:val="both"/>
        <w:rPr>
          <w:bCs/>
        </w:rPr>
      </w:pPr>
    </w:p>
    <w:p w:rsidR="00712E44" w:rsidRDefault="00712E44" w:rsidP="00DD55D3">
      <w:pPr>
        <w:spacing w:line="360" w:lineRule="auto"/>
        <w:jc w:val="both"/>
        <w:rPr>
          <w:bCs/>
        </w:rPr>
      </w:pPr>
    </w:p>
    <w:p w:rsidR="00712E44" w:rsidRDefault="00712E44" w:rsidP="00DD55D3">
      <w:pPr>
        <w:spacing w:line="360" w:lineRule="auto"/>
        <w:jc w:val="both"/>
        <w:rPr>
          <w:bCs/>
        </w:rPr>
      </w:pPr>
      <w:r>
        <w:rPr>
          <w:bCs/>
        </w:rPr>
        <w:t xml:space="preserve">Následující část diplomové práce je výhradně teoretická. Zaměřuje se na vznik, vývoj </w:t>
      </w:r>
      <w:r>
        <w:rPr>
          <w:bCs/>
        </w:rPr>
        <w:br/>
        <w:t>a význam eurozóny od první myšlenky o vzniku Hospodářské a měnové unie až po vydání prvních eurobankovek a euromincí do oběhu. Hlavním úkolem této kapitoly je představit smysl geografického seskupení zemí, které přijaly euro za svoji domácí měnu.</w:t>
      </w:r>
    </w:p>
    <w:p w:rsidR="00712E44" w:rsidRDefault="00712E44" w:rsidP="00DD55D3">
      <w:pPr>
        <w:tabs>
          <w:tab w:val="left" w:pos="705"/>
        </w:tabs>
        <w:spacing w:line="360" w:lineRule="auto"/>
        <w:jc w:val="both"/>
        <w:rPr>
          <w:bCs/>
        </w:rPr>
      </w:pPr>
    </w:p>
    <w:p w:rsidR="00712E44" w:rsidRPr="009B3633" w:rsidRDefault="00712E44" w:rsidP="00DD55D3">
      <w:pPr>
        <w:tabs>
          <w:tab w:val="left" w:pos="705"/>
        </w:tabs>
        <w:spacing w:line="360" w:lineRule="auto"/>
        <w:jc w:val="both"/>
        <w:rPr>
          <w:bCs/>
        </w:rPr>
      </w:pPr>
    </w:p>
    <w:p w:rsidR="00712E44" w:rsidRDefault="00712E44" w:rsidP="00DD55D3">
      <w:pPr>
        <w:tabs>
          <w:tab w:val="left" w:pos="705"/>
        </w:tabs>
        <w:spacing w:line="360" w:lineRule="auto"/>
        <w:jc w:val="both"/>
        <w:rPr>
          <w:bCs/>
        </w:rPr>
      </w:pPr>
      <w:r>
        <w:rPr>
          <w:b/>
          <w:bCs/>
          <w:sz w:val="28"/>
          <w:szCs w:val="28"/>
        </w:rPr>
        <w:t>2.1 Události předcházející vzniku a vytvoření Hospodářské a měnové unie</w:t>
      </w:r>
    </w:p>
    <w:p w:rsidR="00712E44" w:rsidRDefault="00712E44" w:rsidP="00DD55D3">
      <w:pPr>
        <w:tabs>
          <w:tab w:val="left" w:pos="705"/>
        </w:tabs>
        <w:spacing w:line="360" w:lineRule="auto"/>
        <w:jc w:val="both"/>
        <w:rPr>
          <w:bCs/>
        </w:rPr>
      </w:pPr>
    </w:p>
    <w:p w:rsidR="00712E44" w:rsidRDefault="00712E44" w:rsidP="00DD55D3">
      <w:pPr>
        <w:tabs>
          <w:tab w:val="left" w:pos="705"/>
        </w:tabs>
        <w:spacing w:line="360" w:lineRule="auto"/>
        <w:jc w:val="both"/>
        <w:rPr>
          <w:bCs/>
        </w:rPr>
      </w:pPr>
      <w:r>
        <w:rPr>
          <w:bCs/>
        </w:rPr>
        <w:t xml:space="preserve">Dne 25. března 1957 podepsalo šest evropských států – Belgie, Francie, Holandsko, Lucembursko, Itálie a Německo - Římskou smlouvu o vytvoření Evropského hospodářského společenství (dále jen EHS). Platnosti nabyla dne 1. ledna 1958. V roce 1969 v Haagu schválili hlavní představitelé členských států potřebu vytvoření hospodářského a měnového ekvivalentu národního státu. Smyslem Evropské hospodářské a měnové unie bylo zavedení volného pohybu zboží, kapitálu, služeb a pracovních sil v rámci unie. S tím souviselo </w:t>
      </w:r>
      <w:r>
        <w:rPr>
          <w:bCs/>
        </w:rPr>
        <w:br/>
        <w:t>i zavedení fixních devizových kurzů včetně plné zaměnitelnosti, nebo nejvyšší stupeň sjednocení – vznik jednotné měny. Tato skutečnost by však znamenala společnou hospodářskou, fiskální i měnovou politiku s minimálním stupněm fiskální integrace a také společnou měnovou politiku vůči třetím zemím. Hlavními předpoklady uvedeného způsobu integrace znamenalo vytvoření společného rozhodovacího orgánu, jako je centrální banka.</w:t>
      </w:r>
      <w:r>
        <w:rPr>
          <w:rStyle w:val="Znakapoznpodarou"/>
          <w:bCs/>
        </w:rPr>
        <w:footnoteReference w:id="2"/>
      </w:r>
      <w:r>
        <w:rPr>
          <w:bCs/>
        </w:rPr>
        <w:t xml:space="preserve"> </w:t>
      </w:r>
    </w:p>
    <w:p w:rsidR="00712E44" w:rsidRDefault="00712E44" w:rsidP="00DD55D3">
      <w:pPr>
        <w:tabs>
          <w:tab w:val="left" w:pos="705"/>
        </w:tabs>
        <w:spacing w:line="360" w:lineRule="auto"/>
        <w:jc w:val="both"/>
        <w:rPr>
          <w:bCs/>
        </w:rPr>
      </w:pPr>
    </w:p>
    <w:p w:rsidR="00712E44" w:rsidRDefault="00712E44" w:rsidP="00DD55D3">
      <w:pPr>
        <w:tabs>
          <w:tab w:val="left" w:pos="705"/>
        </w:tabs>
        <w:spacing w:line="360" w:lineRule="auto"/>
        <w:jc w:val="both"/>
        <w:rPr>
          <w:bCs/>
        </w:rPr>
      </w:pPr>
      <w:r>
        <w:rPr>
          <w:bCs/>
        </w:rPr>
        <w:t>V souvislosti s vytvořením měnové unie v rámci EHS vznikly dvě školy, které prezentovaly dva odlišné myšlenkové proudy. Na jedné straně to byla škola ekonomů (hospodářská škola), v čele které byl Schiller, a na straně druhé škola monetaristů (měnová škola), jejímiž hlavními představiteli byli Giscard d´Estaing a Barre.</w:t>
      </w:r>
      <w:r>
        <w:rPr>
          <w:rStyle w:val="Znakapoznpodarou"/>
          <w:bCs/>
        </w:rPr>
        <w:footnoteReference w:id="3"/>
      </w:r>
    </w:p>
    <w:p w:rsidR="00712E44" w:rsidRDefault="00712E44" w:rsidP="00DD55D3">
      <w:pPr>
        <w:tabs>
          <w:tab w:val="left" w:pos="705"/>
        </w:tabs>
        <w:spacing w:line="360" w:lineRule="auto"/>
        <w:jc w:val="both"/>
        <w:rPr>
          <w:bCs/>
        </w:rPr>
      </w:pPr>
    </w:p>
    <w:p w:rsidR="00712E44" w:rsidRDefault="00712E44" w:rsidP="00DD55D3">
      <w:pPr>
        <w:tabs>
          <w:tab w:val="left" w:pos="705"/>
        </w:tabs>
        <w:spacing w:line="360" w:lineRule="auto"/>
        <w:jc w:val="both"/>
        <w:rPr>
          <w:bCs/>
        </w:rPr>
      </w:pPr>
      <w:r>
        <w:rPr>
          <w:bCs/>
        </w:rPr>
        <w:t>Každý stát má své národní hospodářské priority a Schillerův plán předpokládal jejich přísnou koordinaci. Tento plán lze rozdělit do čtyř etap:</w:t>
      </w:r>
    </w:p>
    <w:p w:rsidR="00712E44" w:rsidRPr="00677B4E" w:rsidRDefault="00712E44" w:rsidP="00DD55D3">
      <w:pPr>
        <w:numPr>
          <w:ilvl w:val="0"/>
          <w:numId w:val="2"/>
        </w:numPr>
        <w:tabs>
          <w:tab w:val="left" w:pos="705"/>
        </w:tabs>
        <w:spacing w:line="360" w:lineRule="auto"/>
        <w:jc w:val="both"/>
      </w:pPr>
      <w:r>
        <w:rPr>
          <w:bCs/>
        </w:rPr>
        <w:t xml:space="preserve">Hlavním smyslem první etapy bylo vytvoření předpokladů pro koordinaci </w:t>
      </w:r>
      <w:r>
        <w:rPr>
          <w:bCs/>
        </w:rPr>
        <w:lastRenderedPageBreak/>
        <w:t>hospodářských politik. Tato etapa měla za úkol ukončit liberalizaci kapitálových pohybů v rámci EHS.</w:t>
      </w:r>
    </w:p>
    <w:p w:rsidR="00712E44" w:rsidRPr="002C5ECE" w:rsidRDefault="00712E44" w:rsidP="00DD55D3">
      <w:pPr>
        <w:numPr>
          <w:ilvl w:val="0"/>
          <w:numId w:val="2"/>
        </w:numPr>
        <w:tabs>
          <w:tab w:val="left" w:pos="705"/>
        </w:tabs>
        <w:spacing w:line="360" w:lineRule="auto"/>
        <w:jc w:val="both"/>
      </w:pPr>
      <w:r>
        <w:rPr>
          <w:bCs/>
        </w:rPr>
        <w:t xml:space="preserve">Druhá etapa měla hospodářský rozvoj uvést do rovnováhy a za tohoto předpokladu </w:t>
      </w:r>
      <w:r>
        <w:rPr>
          <w:bCs/>
        </w:rPr>
        <w:br/>
        <w:t xml:space="preserve">by mohly vzniknout organizované a koordinované hospodářské politiky. </w:t>
      </w:r>
    </w:p>
    <w:p w:rsidR="00712E44" w:rsidRDefault="00712E44" w:rsidP="00DD55D3">
      <w:pPr>
        <w:numPr>
          <w:ilvl w:val="0"/>
          <w:numId w:val="2"/>
        </w:numPr>
        <w:tabs>
          <w:tab w:val="left" w:pos="705"/>
        </w:tabs>
        <w:spacing w:line="360" w:lineRule="auto"/>
        <w:jc w:val="both"/>
      </w:pPr>
      <w:r w:rsidRPr="002C5ECE">
        <w:rPr>
          <w:bCs/>
        </w:rPr>
        <w:t xml:space="preserve">Třetí etapa řešila pravidla týkající se oblasti hospodářství, financí a měny, </w:t>
      </w:r>
      <w:r>
        <w:rPr>
          <w:bCs/>
        </w:rPr>
        <w:br/>
      </w:r>
      <w:r w:rsidRPr="002C5ECE">
        <w:rPr>
          <w:bCs/>
        </w:rPr>
        <w:t xml:space="preserve">což vyžadovalo dohled nad národními rozpočtovými politikami. Tohoto účelu měly dosáhnout následující postupy:  </w:t>
      </w:r>
    </w:p>
    <w:p w:rsidR="00712E44" w:rsidRPr="00BE3A2E" w:rsidRDefault="00712E44" w:rsidP="00DD55D3">
      <w:pPr>
        <w:numPr>
          <w:ilvl w:val="0"/>
          <w:numId w:val="1"/>
        </w:numPr>
        <w:tabs>
          <w:tab w:val="left" w:pos="705"/>
        </w:tabs>
        <w:spacing w:line="360" w:lineRule="auto"/>
        <w:jc w:val="both"/>
        <w:rPr>
          <w:bCs/>
        </w:rPr>
      </w:pPr>
      <w:r>
        <w:t>vytvořit federální rezervní systém podobný modelu Federálního rezervního systému USA (Federal Reserve Systém – FED),</w:t>
      </w:r>
    </w:p>
    <w:p w:rsidR="00712E44" w:rsidRPr="00AA31CC" w:rsidRDefault="00712E44" w:rsidP="00DD55D3">
      <w:pPr>
        <w:numPr>
          <w:ilvl w:val="0"/>
          <w:numId w:val="1"/>
        </w:numPr>
        <w:tabs>
          <w:tab w:val="left" w:pos="705"/>
        </w:tabs>
        <w:spacing w:line="360" w:lineRule="auto"/>
        <w:jc w:val="both"/>
        <w:rPr>
          <w:bCs/>
        </w:rPr>
      </w:pPr>
      <w:r>
        <w:t>snížit rozsah fluktuace devizových kurzů národních měn,</w:t>
      </w:r>
    </w:p>
    <w:p w:rsidR="00712E44" w:rsidRPr="005C6E1C" w:rsidRDefault="00712E44" w:rsidP="00DD55D3">
      <w:pPr>
        <w:numPr>
          <w:ilvl w:val="0"/>
          <w:numId w:val="1"/>
        </w:numPr>
        <w:tabs>
          <w:tab w:val="left" w:pos="705"/>
        </w:tabs>
        <w:spacing w:line="360" w:lineRule="auto"/>
        <w:jc w:val="both"/>
        <w:rPr>
          <w:bCs/>
        </w:rPr>
      </w:pPr>
      <w:r>
        <w:t>nemodifikovat devizové kurzy členských států, pouze v případě dohody partnerů při použití systému kvalifikované většiny hlasů.</w:t>
      </w:r>
    </w:p>
    <w:p w:rsidR="00712E44" w:rsidRPr="005C6E1C" w:rsidRDefault="00712E44" w:rsidP="00DD55D3">
      <w:pPr>
        <w:numPr>
          <w:ilvl w:val="0"/>
          <w:numId w:val="2"/>
        </w:numPr>
        <w:tabs>
          <w:tab w:val="left" w:pos="705"/>
        </w:tabs>
        <w:spacing w:line="360" w:lineRule="auto"/>
        <w:jc w:val="both"/>
        <w:rPr>
          <w:bCs/>
        </w:rPr>
      </w:pPr>
      <w:r>
        <w:t xml:space="preserve">Čtvrtou etapu měla charakterizovat nadstátnost, která spočívala v transformaci veškeré hospodářské, finanční a měnové oblasti na orgány EHS. Konečným krokem, hned </w:t>
      </w:r>
      <w:r>
        <w:br/>
        <w:t>po zavedení fixních a garantovaných devizových kurzů členských zemí, by byla vytvořená jednotná měna.</w:t>
      </w:r>
      <w:r>
        <w:rPr>
          <w:rStyle w:val="Znakapoznpodarou"/>
        </w:rPr>
        <w:footnoteReference w:id="4"/>
      </w:r>
      <w:r>
        <w:t xml:space="preserve">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Schillerův plán striktně odmítal princip volně pohyblivých kurzů. Považoval to za překážku při vzájemném sbližování rozdílných národních ekonomik i při vytváření společného kapitálového trhu.</w:t>
      </w:r>
      <w:r>
        <w:rPr>
          <w:rStyle w:val="Znakapoznpodarou"/>
        </w:rPr>
        <w:footnoteReference w:id="5"/>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Barreho plán se člení na tři etapy: </w:t>
      </w:r>
    </w:p>
    <w:p w:rsidR="00712E44" w:rsidRDefault="00712E44" w:rsidP="00DD55D3">
      <w:pPr>
        <w:numPr>
          <w:ilvl w:val="0"/>
          <w:numId w:val="3"/>
        </w:numPr>
        <w:tabs>
          <w:tab w:val="left" w:pos="705"/>
        </w:tabs>
        <w:spacing w:line="360" w:lineRule="auto"/>
        <w:jc w:val="both"/>
      </w:pPr>
      <w:r>
        <w:t>V první etapě se jednalo o přijetí střednědobých hospodářských plánů, které se týkaly efektivní koordinace hospodářských politik včetně střednědobých rozpočtových politik. Zahrnoval i opatření z oblasti kapitálových pohybů v rámci EHS.</w:t>
      </w:r>
    </w:p>
    <w:p w:rsidR="00712E44" w:rsidRDefault="00712E44" w:rsidP="00DD55D3">
      <w:pPr>
        <w:numPr>
          <w:ilvl w:val="0"/>
          <w:numId w:val="3"/>
        </w:numPr>
        <w:tabs>
          <w:tab w:val="left" w:pos="705"/>
        </w:tabs>
        <w:spacing w:line="360" w:lineRule="auto"/>
        <w:jc w:val="both"/>
      </w:pPr>
      <w:r>
        <w:t>Druhá etapa měla přinést určení hlavních direktiv hospodářské politiky v rámci EHS.</w:t>
      </w:r>
    </w:p>
    <w:p w:rsidR="00712E44" w:rsidRDefault="00712E44" w:rsidP="00DD55D3">
      <w:pPr>
        <w:numPr>
          <w:ilvl w:val="0"/>
          <w:numId w:val="3"/>
        </w:numPr>
        <w:tabs>
          <w:tab w:val="left" w:pos="705"/>
        </w:tabs>
        <w:spacing w:line="360" w:lineRule="auto"/>
        <w:jc w:val="both"/>
      </w:pPr>
      <w:r>
        <w:t>Ve třetí etapě se předpokládalo, že budou zajištěny veškeré pravomoci pro vytvoření hospodářské a měnové unie. Tato etapa by přinesla:</w:t>
      </w:r>
    </w:p>
    <w:p w:rsidR="00712E44" w:rsidRDefault="00712E44" w:rsidP="00DD55D3">
      <w:pPr>
        <w:pStyle w:val="Odstavecseseznamem"/>
        <w:numPr>
          <w:ilvl w:val="0"/>
          <w:numId w:val="4"/>
        </w:numPr>
        <w:tabs>
          <w:tab w:val="left" w:pos="705"/>
        </w:tabs>
        <w:spacing w:line="360" w:lineRule="auto"/>
        <w:jc w:val="both"/>
      </w:pPr>
      <w:r>
        <w:t xml:space="preserve">založení Evropského rezervního fondu, </w:t>
      </w:r>
    </w:p>
    <w:p w:rsidR="00712E44" w:rsidRDefault="00712E44" w:rsidP="00DD55D3">
      <w:pPr>
        <w:pStyle w:val="Odstavecseseznamem"/>
        <w:numPr>
          <w:ilvl w:val="0"/>
          <w:numId w:val="4"/>
        </w:numPr>
        <w:tabs>
          <w:tab w:val="left" w:pos="705"/>
        </w:tabs>
        <w:spacing w:line="360" w:lineRule="auto"/>
        <w:jc w:val="both"/>
      </w:pPr>
      <w:r>
        <w:t xml:space="preserve">eliminaci všech odchylek devizových kurzů členských zemí EHS, </w:t>
      </w:r>
    </w:p>
    <w:p w:rsidR="00712E44" w:rsidRDefault="00712E44" w:rsidP="00DD55D3">
      <w:pPr>
        <w:pStyle w:val="Odstavecseseznamem"/>
        <w:numPr>
          <w:ilvl w:val="0"/>
          <w:numId w:val="4"/>
        </w:numPr>
        <w:tabs>
          <w:tab w:val="left" w:pos="705"/>
        </w:tabs>
        <w:spacing w:line="360" w:lineRule="auto"/>
        <w:jc w:val="both"/>
      </w:pPr>
      <w:r>
        <w:t xml:space="preserve">liberalizaci pohybu kapitálu v rámci EHS, </w:t>
      </w:r>
    </w:p>
    <w:p w:rsidR="00712E44" w:rsidRDefault="00712E44" w:rsidP="00DD55D3">
      <w:pPr>
        <w:pStyle w:val="Odstavecseseznamem"/>
        <w:numPr>
          <w:ilvl w:val="0"/>
          <w:numId w:val="4"/>
        </w:numPr>
        <w:tabs>
          <w:tab w:val="left" w:pos="705"/>
        </w:tabs>
        <w:spacing w:line="360" w:lineRule="auto"/>
        <w:jc w:val="both"/>
      </w:pPr>
      <w:r>
        <w:t xml:space="preserve">sladění daňových systémů, </w:t>
      </w:r>
    </w:p>
    <w:p w:rsidR="00712E44" w:rsidRDefault="00712E44" w:rsidP="00DD55D3">
      <w:pPr>
        <w:pStyle w:val="Odstavecseseznamem"/>
        <w:numPr>
          <w:ilvl w:val="0"/>
          <w:numId w:val="4"/>
        </w:numPr>
        <w:tabs>
          <w:tab w:val="left" w:pos="705"/>
        </w:tabs>
        <w:spacing w:line="360" w:lineRule="auto"/>
        <w:jc w:val="both"/>
      </w:pPr>
      <w:r>
        <w:lastRenderedPageBreak/>
        <w:t>a nakonec vytvoření jednotné evropské měny.</w:t>
      </w:r>
      <w:r>
        <w:rPr>
          <w:rStyle w:val="Znakapoznpodarou"/>
        </w:rPr>
        <w:footnoteReference w:id="6"/>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Během rokování v roce 1970 v Benátkách i v Lucembursku měli představitelé obou škol snahu své plány sjednotit. Barre požádal Komisi EHS, aby zajistila hlasování o konkrétních bodech, ve kterých se školy shodly. Závěrečnou zprávu měl na starosti vytvořit Wernerův výbor.  Druhý a konečný Wernerův plán představoval kompromis mezi Schillerovým </w:t>
      </w:r>
      <w:r>
        <w:br/>
        <w:t>a Barreho plánem. Byl přijat na zasedání ministrů financí a hospodářství členských států EHS Radou ECOFIN v r. 1971. Nakonec ani tento plán nebyl uveden do praxe, ale přesto vznikla spolupráce mezi některými průmyslově vyspělými zeměmi, které se říkalo měnový had.</w:t>
      </w:r>
      <w:r>
        <w:rPr>
          <w:rStyle w:val="Znakapoznpodarou"/>
        </w:rPr>
        <w:footnoteReference w:id="7"/>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p>
    <w:p w:rsidR="00712E44" w:rsidRPr="009348DE" w:rsidRDefault="00712E44" w:rsidP="00DD55D3">
      <w:pPr>
        <w:tabs>
          <w:tab w:val="left" w:pos="705"/>
        </w:tabs>
        <w:spacing w:line="360" w:lineRule="auto"/>
        <w:jc w:val="both"/>
        <w:rPr>
          <w:b/>
          <w:sz w:val="28"/>
          <w:szCs w:val="28"/>
        </w:rPr>
      </w:pPr>
      <w:r>
        <w:rPr>
          <w:b/>
          <w:sz w:val="28"/>
          <w:szCs w:val="28"/>
        </w:rPr>
        <w:t>2.1.1 Systém měnového hada</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Systém měnového hada byl zaveden 24. dubna 1972. Jeho smysl spočíval v tom, že určil </w:t>
      </w:r>
      <w:r>
        <w:br/>
        <w:t xml:space="preserve">pro národní měny zúčastněných zemí přípustnou odchylku od centrální parity v intervale </w:t>
      </w:r>
      <w:r>
        <w:br/>
        <w:t>± 2,25 % a současně stanovoval zavedení volně pohyblivých kurzů ve vztahu k měnám třetích zemí. Do měnového hada vstoupilo na počátku šest států – Belgie, Holandsko, Lucembursko, NSR, Francie a Itálie. O něco později se přidala Anglie, Dánsko, Irsko, Norsko a Švédsko. Některé měny po jisté době tento systém opustily a až do vzniku Evropského měnového systému v něm setrvalo jen pět národních měn EHS – dánská koruna, holandský gulden, belgický frank, německá marka a lucemburský frank.</w:t>
      </w:r>
      <w:r>
        <w:rPr>
          <w:rStyle w:val="Znakapoznpodarou"/>
        </w:rPr>
        <w:footnoteReference w:id="8"/>
      </w:r>
      <w:r>
        <w:t xml:space="preserve">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Zavedení systému měnového hada byl pokusem o stabilizaci devizových kurzů v rámci EHS, ale mechanizmus jeho fungování se projevoval jako jednostranný a nepružný. Nepovedlo </w:t>
      </w:r>
      <w:r>
        <w:br/>
        <w:t xml:space="preserve">se mu vytvořit ani zónu měnové stability. Pohyblivé devizové kurzy způsobovaly tzv. inflační prvek a jako nevhodný postup se projevila i přílišná vázanost evropských národních měn </w:t>
      </w:r>
      <w:r>
        <w:br/>
        <w:t>na nestabilní kurz amerického dolaru.</w:t>
      </w:r>
      <w:r>
        <w:rPr>
          <w:rStyle w:val="Znakapoznpodarou"/>
        </w:rPr>
        <w:footnoteReference w:id="9"/>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Již 27. října 1977 ve Florencii v projevu Jenkinsona padl návrh na vytvoření Evropského měnového systému, jako nejlepšího prostředku na oživení hospodářského růstu a posílení boje s inflací a nezaměstnaností. Na zasedání Rady EHS v Brémách v červenci 1978 byl návrh </w:t>
      </w:r>
      <w:r>
        <w:br/>
      </w:r>
      <w:r>
        <w:lastRenderedPageBreak/>
        <w:t>na vytvoření Evropského měnového systému přijat.</w:t>
      </w:r>
      <w:r>
        <w:rPr>
          <w:rStyle w:val="Znakapoznpodarou"/>
        </w:rPr>
        <w:footnoteReference w:id="10"/>
      </w:r>
      <w:r>
        <w:t xml:space="preserve">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p>
    <w:p w:rsidR="00712E44" w:rsidRPr="0021690C" w:rsidRDefault="00712E44" w:rsidP="00DD55D3">
      <w:pPr>
        <w:tabs>
          <w:tab w:val="left" w:pos="705"/>
        </w:tabs>
        <w:spacing w:line="360" w:lineRule="auto"/>
        <w:jc w:val="both"/>
        <w:rPr>
          <w:b/>
        </w:rPr>
      </w:pPr>
      <w:r>
        <w:rPr>
          <w:b/>
          <w:sz w:val="28"/>
          <w:szCs w:val="28"/>
        </w:rPr>
        <w:t xml:space="preserve">2.1.2 </w:t>
      </w:r>
      <w:r w:rsidRPr="0021690C">
        <w:rPr>
          <w:b/>
          <w:sz w:val="28"/>
          <w:szCs w:val="28"/>
        </w:rPr>
        <w:t>Evropský měnový systém</w:t>
      </w:r>
    </w:p>
    <w:p w:rsidR="00712E44" w:rsidRDefault="00712E44" w:rsidP="00DD55D3">
      <w:pPr>
        <w:tabs>
          <w:tab w:val="left" w:pos="705"/>
        </w:tabs>
        <w:spacing w:line="360" w:lineRule="auto"/>
        <w:jc w:val="both"/>
        <w:rPr>
          <w:b/>
          <w:color w:val="FF0000"/>
        </w:rPr>
      </w:pPr>
    </w:p>
    <w:p w:rsidR="00712E44" w:rsidRDefault="00712E44" w:rsidP="00DD55D3">
      <w:pPr>
        <w:tabs>
          <w:tab w:val="left" w:pos="705"/>
        </w:tabs>
        <w:spacing w:line="360" w:lineRule="auto"/>
        <w:jc w:val="both"/>
      </w:pPr>
      <w:r>
        <w:t>Období sedmdesátých let se vyznačovalo značnou kurzovou nestabilitou, která vytvářela silná napětí ve vzájemném obchodu. Snahy o obnovení užší měnové spolupráce selhávaly. Až rok 1979 přinesl vyvrcholení, kdy iniciativa politiků Francie a Německa pomohla k ustavení Evropského měnového systému.</w:t>
      </w:r>
      <w:r>
        <w:rPr>
          <w:rStyle w:val="Znakapoznpodarou"/>
        </w:rPr>
        <w:footnoteReference w:id="11"/>
      </w:r>
    </w:p>
    <w:p w:rsidR="00712E44" w:rsidRDefault="00712E44" w:rsidP="00DD55D3">
      <w:pPr>
        <w:tabs>
          <w:tab w:val="left" w:pos="705"/>
        </w:tabs>
        <w:spacing w:line="360" w:lineRule="auto"/>
        <w:jc w:val="both"/>
      </w:pPr>
      <w:r>
        <w:t xml:space="preserve">  </w:t>
      </w:r>
    </w:p>
    <w:p w:rsidR="00712E44" w:rsidRDefault="00712E44" w:rsidP="00DD55D3">
      <w:pPr>
        <w:tabs>
          <w:tab w:val="left" w:pos="705"/>
        </w:tabs>
        <w:spacing w:line="360" w:lineRule="auto"/>
        <w:jc w:val="both"/>
      </w:pPr>
      <w:r>
        <w:t>Evropský měnový systém (European Monetary System - EMS) začal fungovat v březnu 1979 a stanovil si tyto základní hospodářské a měnové cíle:</w:t>
      </w:r>
    </w:p>
    <w:p w:rsidR="00712E44" w:rsidRDefault="00712E44" w:rsidP="00DD55D3">
      <w:pPr>
        <w:pStyle w:val="Odstavecseseznamem"/>
        <w:numPr>
          <w:ilvl w:val="0"/>
          <w:numId w:val="4"/>
        </w:numPr>
        <w:tabs>
          <w:tab w:val="left" w:pos="705"/>
        </w:tabs>
        <w:spacing w:line="360" w:lineRule="auto"/>
        <w:jc w:val="both"/>
      </w:pPr>
      <w:r>
        <w:t>vysoký stupeň konvergence členských zemí,</w:t>
      </w:r>
    </w:p>
    <w:p w:rsidR="00712E44" w:rsidRDefault="00712E44" w:rsidP="00DD55D3">
      <w:pPr>
        <w:pStyle w:val="Odstavecseseznamem"/>
        <w:numPr>
          <w:ilvl w:val="0"/>
          <w:numId w:val="4"/>
        </w:numPr>
        <w:tabs>
          <w:tab w:val="left" w:pos="705"/>
        </w:tabs>
        <w:spacing w:line="360" w:lineRule="auto"/>
        <w:jc w:val="both"/>
      </w:pPr>
      <w:r>
        <w:t>stabilita devizových kurzů,</w:t>
      </w:r>
    </w:p>
    <w:p w:rsidR="00712E44" w:rsidRDefault="00712E44" w:rsidP="00DD55D3">
      <w:pPr>
        <w:pStyle w:val="Odstavecseseznamem"/>
        <w:numPr>
          <w:ilvl w:val="0"/>
          <w:numId w:val="4"/>
        </w:numPr>
        <w:tabs>
          <w:tab w:val="left" w:pos="705"/>
        </w:tabs>
        <w:spacing w:line="360" w:lineRule="auto"/>
        <w:jc w:val="both"/>
      </w:pPr>
      <w:r>
        <w:t>podpora základního významu ECU,</w:t>
      </w:r>
    </w:p>
    <w:p w:rsidR="00712E44" w:rsidRDefault="00712E44" w:rsidP="00DD55D3">
      <w:pPr>
        <w:pStyle w:val="Odstavecseseznamem"/>
        <w:numPr>
          <w:ilvl w:val="0"/>
          <w:numId w:val="4"/>
        </w:numPr>
        <w:tabs>
          <w:tab w:val="left" w:pos="705"/>
        </w:tabs>
        <w:spacing w:line="360" w:lineRule="auto"/>
        <w:jc w:val="both"/>
      </w:pPr>
      <w:r>
        <w:t>přijetí společné politiky pro členské země, která se zaměřovala na kontrolu inflace,</w:t>
      </w:r>
    </w:p>
    <w:p w:rsidR="00712E44" w:rsidRDefault="00712E44" w:rsidP="00DD55D3">
      <w:pPr>
        <w:pStyle w:val="Odstavecseseznamem"/>
        <w:numPr>
          <w:ilvl w:val="0"/>
          <w:numId w:val="4"/>
        </w:numPr>
        <w:tabs>
          <w:tab w:val="left" w:pos="705"/>
        </w:tabs>
        <w:spacing w:line="360" w:lineRule="auto"/>
        <w:jc w:val="both"/>
      </w:pPr>
      <w:r>
        <w:t>postupný přechod k vyššímu stupni integrace členských států EHS.</w:t>
      </w:r>
      <w:r>
        <w:rPr>
          <w:rStyle w:val="Znakapoznpodarou"/>
        </w:rPr>
        <w:footnoteReference w:id="12"/>
      </w:r>
      <w:r>
        <w:t xml:space="preserve">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Základními prvky EMS byly:</w:t>
      </w:r>
    </w:p>
    <w:p w:rsidR="00712E44" w:rsidRDefault="00712E44" w:rsidP="00DD55D3">
      <w:pPr>
        <w:pStyle w:val="Odstavecseseznamem"/>
        <w:numPr>
          <w:ilvl w:val="0"/>
          <w:numId w:val="4"/>
        </w:numPr>
        <w:tabs>
          <w:tab w:val="left" w:pos="705"/>
        </w:tabs>
        <w:spacing w:line="360" w:lineRule="auto"/>
        <w:jc w:val="both"/>
      </w:pPr>
      <w:r>
        <w:t>evropská měnová jednotka ECU (European Currency Unit),</w:t>
      </w:r>
    </w:p>
    <w:p w:rsidR="00712E44" w:rsidRDefault="00712E44" w:rsidP="00DD55D3">
      <w:pPr>
        <w:pStyle w:val="Odstavecseseznamem"/>
        <w:numPr>
          <w:ilvl w:val="0"/>
          <w:numId w:val="4"/>
        </w:numPr>
        <w:tabs>
          <w:tab w:val="left" w:pos="705"/>
        </w:tabs>
        <w:spacing w:line="360" w:lineRule="auto"/>
        <w:jc w:val="both"/>
      </w:pPr>
      <w:r>
        <w:t>mechanizmus měnových kurzů ERM (Exchange Rate Mechanism),</w:t>
      </w:r>
    </w:p>
    <w:p w:rsidR="00712E44" w:rsidRDefault="00712E44" w:rsidP="00DD55D3">
      <w:pPr>
        <w:pStyle w:val="Odstavecseseznamem"/>
        <w:numPr>
          <w:ilvl w:val="0"/>
          <w:numId w:val="4"/>
        </w:numPr>
        <w:tabs>
          <w:tab w:val="left" w:pos="705"/>
        </w:tabs>
        <w:spacing w:line="360" w:lineRule="auto"/>
        <w:jc w:val="both"/>
      </w:pPr>
      <w:r>
        <w:t>úvěrové nástroje Evropského fondu pro měnovou spolupráci.</w:t>
      </w:r>
      <w:r>
        <w:rPr>
          <w:rStyle w:val="Znakapoznpodarou"/>
        </w:rPr>
        <w:footnoteReference w:id="13"/>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rPr>
          <w:b/>
          <w:sz w:val="28"/>
          <w:szCs w:val="28"/>
        </w:rPr>
        <w:t>2.1.3 ECU</w:t>
      </w:r>
    </w:p>
    <w:p w:rsidR="00712E44" w:rsidRPr="00CD7F21"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Evropská měnová jednotka vznikla 13. března 1979 (Tab. 1) jako základ mechanizmu devizových kurzů v rámci Evropského měnového systému. Vzájemné devizové kurzy členských států Evropského hospodářského společenství měli povolenou odchylku ± 2,25 % </w:t>
      </w:r>
      <w:r>
        <w:lastRenderedPageBreak/>
        <w:t>(s výjimkou italské liry, která měla povolenou odchylku ± 6 % od centrální parity). Evropská měnová jednotka se vypočítávala na základě měnového koše. Podíl jednotlivých národních měn v měnovém koši byl stanovený podle podílu jednotlivých států na celkové produkci, podílu na vzájemném obchodě a účasti jednotlivých států na mechanizmu úvěrové pomoci. Podíly jednotlivých národních měn v měnovém koši se přehodnocovaly po pěti letech.</w:t>
      </w:r>
      <w:r>
        <w:rPr>
          <w:rStyle w:val="Znakapoznpodarou"/>
        </w:rPr>
        <w:footnoteReference w:id="14"/>
      </w:r>
    </w:p>
    <w:p w:rsidR="00712E44" w:rsidRDefault="00712E44" w:rsidP="00DD55D3">
      <w:pPr>
        <w:tabs>
          <w:tab w:val="left" w:pos="705"/>
        </w:tabs>
        <w:spacing w:line="360" w:lineRule="auto"/>
        <w:jc w:val="both"/>
      </w:pPr>
    </w:p>
    <w:p w:rsidR="00712E44" w:rsidRPr="00B77733" w:rsidRDefault="00712E44" w:rsidP="00DD55D3">
      <w:pPr>
        <w:widowControl/>
        <w:suppressAutoHyphens w:val="0"/>
        <w:spacing w:before="100" w:beforeAutospacing="1" w:after="100" w:afterAutospacing="1"/>
        <w:jc w:val="center"/>
        <w:rPr>
          <w:rFonts w:eastAsia="Times New Roman"/>
          <w:kern w:val="0"/>
          <w:lang w:eastAsia="cs-CZ"/>
        </w:rPr>
      </w:pPr>
      <w:r w:rsidRPr="00B77733">
        <w:rPr>
          <w:rFonts w:eastAsia="Times New Roman"/>
          <w:b/>
          <w:bCs/>
          <w:kern w:val="0"/>
          <w:lang w:eastAsia="cs-CZ"/>
        </w:rPr>
        <w:t>Tab</w:t>
      </w:r>
      <w:r>
        <w:rPr>
          <w:rFonts w:eastAsia="Times New Roman"/>
          <w:b/>
          <w:bCs/>
          <w:kern w:val="0"/>
          <w:lang w:eastAsia="cs-CZ"/>
        </w:rPr>
        <w:t>.</w:t>
      </w:r>
      <w:r w:rsidRPr="00B77733">
        <w:rPr>
          <w:rFonts w:eastAsia="Times New Roman"/>
          <w:b/>
          <w:bCs/>
          <w:kern w:val="0"/>
          <w:lang w:eastAsia="cs-CZ"/>
        </w:rPr>
        <w:t xml:space="preserve"> 1</w:t>
      </w:r>
      <w:r>
        <w:rPr>
          <w:rFonts w:eastAsia="Times New Roman"/>
          <w:b/>
          <w:bCs/>
          <w:kern w:val="0"/>
          <w:lang w:eastAsia="cs-CZ"/>
        </w:rPr>
        <w:t xml:space="preserve"> </w:t>
      </w:r>
      <w:r w:rsidRPr="00B77733">
        <w:rPr>
          <w:rFonts w:eastAsia="Times New Roman"/>
          <w:b/>
          <w:bCs/>
          <w:kern w:val="0"/>
          <w:lang w:eastAsia="cs-CZ"/>
        </w:rPr>
        <w:t>Složení ECU v době vzniku (13. března 1979)</w:t>
      </w:r>
    </w:p>
    <w:tbl>
      <w:tblPr>
        <w:tblW w:w="5000" w:type="pct"/>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tblPr>
      <w:tblGrid>
        <w:gridCol w:w="3041"/>
        <w:gridCol w:w="2781"/>
        <w:gridCol w:w="3336"/>
      </w:tblGrid>
      <w:tr w:rsidR="00712E44" w:rsidRPr="00B77733" w:rsidTr="00F40FD1">
        <w:trPr>
          <w:trHeight w:val="843"/>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b/>
                <w:bCs/>
                <w:kern w:val="0"/>
                <w:lang w:eastAsia="cs-CZ"/>
              </w:rPr>
            </w:pPr>
            <w:r w:rsidRPr="00B77733">
              <w:rPr>
                <w:rFonts w:eastAsia="Times New Roman"/>
                <w:b/>
                <w:bCs/>
                <w:kern w:val="0"/>
                <w:lang w:eastAsia="cs-CZ"/>
              </w:rPr>
              <w:t> Měna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b/>
                <w:bCs/>
                <w:kern w:val="0"/>
                <w:lang w:eastAsia="cs-CZ"/>
              </w:rPr>
            </w:pPr>
            <w:r w:rsidRPr="00B77733">
              <w:rPr>
                <w:rFonts w:eastAsia="Times New Roman"/>
                <w:b/>
                <w:bCs/>
                <w:kern w:val="0"/>
                <w:lang w:eastAsia="cs-CZ"/>
              </w:rPr>
              <w:t> Podíl národní měny v 1 ECU (%)</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b/>
                <w:bCs/>
                <w:kern w:val="0"/>
                <w:lang w:eastAsia="cs-CZ"/>
              </w:rPr>
            </w:pPr>
            <w:r w:rsidRPr="00B77733">
              <w:rPr>
                <w:rFonts w:eastAsia="Times New Roman"/>
                <w:b/>
                <w:bCs/>
                <w:kern w:val="0"/>
                <w:lang w:eastAsia="cs-CZ"/>
              </w:rPr>
              <w:t>Počet jednotek národní měny v 1  ECU</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Belgický a lucemburský frank</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9,5</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0,828</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Britská libra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13,6</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1,15</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Dánská koruna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3,0</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0,286</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Francouzský frank</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19,8</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3,80</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Irská libra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1,1</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109,0 </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Italská lira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9,5</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0,217</w:t>
            </w:r>
          </w:p>
        </w:tc>
      </w:tr>
      <w:tr w:rsidR="00712E44" w:rsidRPr="00B77733" w:rsidTr="00F40FD1">
        <w:trPr>
          <w:trHeight w:val="286"/>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Německá marka</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33</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0,00759</w:t>
            </w:r>
          </w:p>
        </w:tc>
      </w:tr>
      <w:tr w:rsidR="00712E44" w:rsidRPr="00B77733" w:rsidTr="00F40FD1">
        <w:trPr>
          <w:trHeight w:val="301"/>
          <w:tblCellSpacing w:w="7" w:type="dxa"/>
        </w:trPr>
        <w:tc>
          <w:tcPr>
            <w:tcW w:w="0" w:type="auto"/>
            <w:tcBorders>
              <w:top w:val="outset" w:sz="6" w:space="0" w:color="auto"/>
              <w:bottom w:val="outset" w:sz="6" w:space="0" w:color="auto"/>
              <w:right w:val="outset" w:sz="6" w:space="0" w:color="auto"/>
            </w:tcBorders>
            <w:vAlign w:val="center"/>
          </w:tcPr>
          <w:p w:rsidR="00712E44" w:rsidRPr="00B77733" w:rsidRDefault="00712E44" w:rsidP="00F40FD1">
            <w:pPr>
              <w:widowControl/>
              <w:suppressAutoHyphens w:val="0"/>
              <w:rPr>
                <w:rFonts w:eastAsia="Times New Roman"/>
                <w:kern w:val="0"/>
                <w:lang w:eastAsia="cs-CZ"/>
              </w:rPr>
            </w:pPr>
            <w:r w:rsidRPr="00B77733">
              <w:rPr>
                <w:rFonts w:eastAsia="Times New Roman"/>
                <w:kern w:val="0"/>
                <w:lang w:eastAsia="cs-CZ"/>
              </w:rPr>
              <w:t> Nizozemský gulden</w:t>
            </w:r>
          </w:p>
        </w:tc>
        <w:tc>
          <w:tcPr>
            <w:tcW w:w="0" w:type="auto"/>
            <w:tcBorders>
              <w:top w:val="outset" w:sz="6" w:space="0" w:color="auto"/>
              <w:left w:val="outset" w:sz="6" w:space="0" w:color="auto"/>
              <w:bottom w:val="outset" w:sz="6" w:space="0" w:color="auto"/>
              <w:right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10,5</w:t>
            </w:r>
          </w:p>
        </w:tc>
        <w:tc>
          <w:tcPr>
            <w:tcW w:w="0" w:type="auto"/>
            <w:tcBorders>
              <w:top w:val="outset" w:sz="6" w:space="0" w:color="auto"/>
              <w:left w:val="outset" w:sz="6" w:space="0" w:color="auto"/>
              <w:bottom w:val="outset" w:sz="6" w:space="0" w:color="auto"/>
            </w:tcBorders>
            <w:vAlign w:val="center"/>
          </w:tcPr>
          <w:p w:rsidR="00712E44" w:rsidRPr="00B77733" w:rsidRDefault="00712E44" w:rsidP="00F40FD1">
            <w:pPr>
              <w:widowControl/>
              <w:suppressAutoHyphens w:val="0"/>
              <w:spacing w:before="100" w:beforeAutospacing="1" w:after="100" w:afterAutospacing="1"/>
              <w:jc w:val="center"/>
              <w:rPr>
                <w:rFonts w:eastAsia="Times New Roman"/>
                <w:kern w:val="0"/>
                <w:lang w:eastAsia="cs-CZ"/>
              </w:rPr>
            </w:pPr>
            <w:r w:rsidRPr="00B77733">
              <w:rPr>
                <w:rFonts w:eastAsia="Times New Roman"/>
                <w:kern w:val="0"/>
                <w:lang w:eastAsia="cs-CZ"/>
              </w:rPr>
              <w:t> 0,0885</w:t>
            </w:r>
          </w:p>
        </w:tc>
      </w:tr>
    </w:tbl>
    <w:p w:rsidR="00712E44" w:rsidRPr="00E67258" w:rsidRDefault="00712E44" w:rsidP="00DD55D3">
      <w:pPr>
        <w:spacing w:line="360" w:lineRule="auto"/>
        <w:rPr>
          <w:i/>
          <w:sz w:val="20"/>
          <w:szCs w:val="20"/>
          <w:lang w:val="de-DE"/>
        </w:rPr>
      </w:pPr>
      <w:r w:rsidRPr="00476B84">
        <w:rPr>
          <w:bCs/>
          <w:i/>
          <w:sz w:val="20"/>
          <w:szCs w:val="20"/>
        </w:rPr>
        <w:t>Zdroj:</w:t>
      </w:r>
      <w:r>
        <w:rPr>
          <w:bCs/>
        </w:rPr>
        <w:t xml:space="preserve"> </w:t>
      </w:r>
      <w:r w:rsidRPr="00476B84">
        <w:rPr>
          <w:i/>
          <w:sz w:val="20"/>
          <w:szCs w:val="20"/>
        </w:rPr>
        <w:t>Evropský měnový systém. [online]. [cit. 2010-03-10] Dostupné z WWW:</w:t>
      </w:r>
      <w:r w:rsidRPr="00E67258">
        <w:rPr>
          <w:i/>
          <w:sz w:val="20"/>
          <w:szCs w:val="20"/>
          <w:lang w:val="de-DE"/>
        </w:rPr>
        <w:t xml:space="preserve"> </w:t>
      </w:r>
    </w:p>
    <w:p w:rsidR="00712E44" w:rsidRPr="00476B84" w:rsidRDefault="00712E44" w:rsidP="00DD55D3">
      <w:pPr>
        <w:spacing w:line="360" w:lineRule="auto"/>
        <w:rPr>
          <w:i/>
          <w:sz w:val="20"/>
          <w:szCs w:val="20"/>
        </w:rPr>
      </w:pPr>
      <w:r w:rsidRPr="00E67258">
        <w:rPr>
          <w:i/>
          <w:sz w:val="20"/>
          <w:szCs w:val="20"/>
          <w:lang w:val="de-DE"/>
        </w:rPr>
        <w:t>&lt;http://www.zavedenieura.cz/cps/rde/xchg/euro/xsl/euro_evrop_men_sys.html</w:t>
      </w:r>
      <w:r w:rsidRPr="00476B84">
        <w:rPr>
          <w:i/>
          <w:sz w:val="20"/>
          <w:szCs w:val="20"/>
        </w:rPr>
        <w:t xml:space="preserve"> &gt;</w:t>
      </w:r>
    </w:p>
    <w:p w:rsidR="00712E44" w:rsidRDefault="00712E44" w:rsidP="00D84B48">
      <w:pPr>
        <w:spacing w:line="360" w:lineRule="auto"/>
      </w:pPr>
    </w:p>
    <w:p w:rsidR="00712E44" w:rsidRDefault="00712E44" w:rsidP="00D84B48">
      <w:pPr>
        <w:spacing w:line="360" w:lineRule="auto"/>
      </w:pPr>
    </w:p>
    <w:p w:rsidR="00712E44" w:rsidRDefault="00712E44" w:rsidP="00D84B48">
      <w:pPr>
        <w:tabs>
          <w:tab w:val="left" w:pos="705"/>
        </w:tabs>
        <w:spacing w:line="360" w:lineRule="auto"/>
        <w:jc w:val="both"/>
      </w:pPr>
      <w:r>
        <w:rPr>
          <w:b/>
          <w:sz w:val="28"/>
          <w:szCs w:val="28"/>
        </w:rPr>
        <w:t>2.1.4 ERM</w:t>
      </w:r>
    </w:p>
    <w:p w:rsidR="00712E44" w:rsidRPr="00CD7F21" w:rsidRDefault="00712E44" w:rsidP="00D84B48">
      <w:pPr>
        <w:tabs>
          <w:tab w:val="left" w:pos="705"/>
        </w:tabs>
        <w:spacing w:line="360" w:lineRule="auto"/>
        <w:jc w:val="both"/>
      </w:pPr>
    </w:p>
    <w:p w:rsidR="00712E44" w:rsidRDefault="00712E44" w:rsidP="00DD55D3">
      <w:pPr>
        <w:tabs>
          <w:tab w:val="left" w:pos="705"/>
        </w:tabs>
        <w:spacing w:line="360" w:lineRule="auto"/>
        <w:jc w:val="both"/>
      </w:pPr>
      <w:r>
        <w:t xml:space="preserve">Měnový systém měl nahradit původní systém měnového hada. Měl se stát dokonalejším, efektivnějším, zodpovědnějším a především pružnějším.   </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Fungování EMS zajišťoval nově vytvořený mechanizmus devizových kurzů. Tvořily </w:t>
      </w:r>
      <w:r>
        <w:br/>
        <w:t xml:space="preserve">ho národní měny Belgie, Francie, Lucemburska, Irska, Holandska, Dánska, Itálie a SRN. Později se připojilo Španělsko (1989), Velká Británie (1990), Portugalsko (1992), Rakousko (1995), Finsko (1996), Itálie (1996) a Řecko (1998). Podstatou tohoto systému bylo zajistit stabilitu devizových kurzů mezi členskými zeměmi. V rámci ERM měly národní měny povolenou přípustnou odchylku od centrální parity ± 2,25 % (až na výjimky jako Itálie </w:t>
      </w:r>
      <w:r>
        <w:br/>
      </w:r>
      <w:r>
        <w:lastRenderedPageBreak/>
        <w:t>a Španělsko, které měly povoleno ± 6 %).</w:t>
      </w:r>
      <w:r>
        <w:rPr>
          <w:rStyle w:val="Znakapoznpodarou"/>
        </w:rPr>
        <w:footnoteReference w:id="15"/>
      </w:r>
    </w:p>
    <w:p w:rsidR="00712E44" w:rsidRDefault="00712E44" w:rsidP="00DD55D3">
      <w:pPr>
        <w:tabs>
          <w:tab w:val="left" w:pos="705"/>
        </w:tabs>
        <w:spacing w:line="360" w:lineRule="auto"/>
        <w:jc w:val="both"/>
      </w:pPr>
    </w:p>
    <w:p w:rsidR="00712E44" w:rsidRPr="00D84B48" w:rsidRDefault="00712E44" w:rsidP="00DD55D3">
      <w:pPr>
        <w:tabs>
          <w:tab w:val="left" w:pos="705"/>
        </w:tabs>
        <w:spacing w:line="360" w:lineRule="auto"/>
        <w:jc w:val="both"/>
      </w:pPr>
    </w:p>
    <w:p w:rsidR="00712E44" w:rsidRDefault="00712E44" w:rsidP="00DD55D3">
      <w:pPr>
        <w:tabs>
          <w:tab w:val="left" w:pos="705"/>
        </w:tabs>
        <w:spacing w:line="360" w:lineRule="auto"/>
        <w:jc w:val="both"/>
        <w:rPr>
          <w:b/>
          <w:sz w:val="28"/>
          <w:szCs w:val="28"/>
        </w:rPr>
      </w:pPr>
      <w:r>
        <w:rPr>
          <w:b/>
          <w:sz w:val="28"/>
          <w:szCs w:val="28"/>
        </w:rPr>
        <w:t>2.2 Krize EMS v letech 1992 – 1993</w:t>
      </w:r>
    </w:p>
    <w:p w:rsidR="00712E44" w:rsidRPr="00801F9D"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V roce 1993 se fluktuační pásmo rozšířilo na ± 15 %, a to z důvodu krize Evropského měnového systému a jeho mechanizmu devizových kurzů v období od podzimu 1992 – </w:t>
      </w:r>
      <w:r>
        <w:br/>
        <w:t xml:space="preserve">srpna 1993. Tento důležitý krok měl za úkol zabránit rozpadu EMS. Hlavními příčinami hluboké krize byly s největší pravděpodobností vysoké německé sazby po sjednocení Německa a odmítnutí Maastrichtské smlouvy v dánském referendu. Občané Dánska se v létě 1992 vyslovili v referendu proti jejímu přijetí a 20. září 1992 mělo proběhnout referendum </w:t>
      </w:r>
      <w:r>
        <w:br/>
        <w:t>ve Francii, jehož výsledkem bylo přijetí jen těsnou většinou. Tato situace vedla k vyprovokování útoků finančních spekulantů na fixní kursy měn v rámci EMS. Útoku podlehla finská marka, ale švédská koruna se udržela. Útok na italskou liru začal 13. září 1992 a hned poté, 15. září 1992 na britskou libru, která na druhý den dočasně opouští EMS. Přidala se k ní i španělská peseta a italská lira. I když dne 20. září 1992 byla ve Francii schválena Maastrichtská dohoda, na finančních trzích to klid nepřineslo. Ataky pokračovaly na měny Švédska, Norska, Irska, Španělska, Portugalska a Francie. V květnu 1993 došlo v opakovaném referendu v Dánsku k přijetí Maastrichtské smlouvy, ale až výše uvedené rozšíření fluktuačního pásma ERM v létě 1993 překvapivě finanční trhy uklidnilo.</w:t>
      </w:r>
      <w:r>
        <w:rPr>
          <w:rStyle w:val="Znakapoznpodarou"/>
        </w:rPr>
        <w:footnoteReference w:id="16"/>
      </w:r>
    </w:p>
    <w:p w:rsidR="00712E44" w:rsidRDefault="00712E44" w:rsidP="00DD55D3">
      <w:pPr>
        <w:tabs>
          <w:tab w:val="left" w:pos="705"/>
        </w:tabs>
        <w:spacing w:line="360" w:lineRule="auto"/>
        <w:jc w:val="both"/>
      </w:pPr>
    </w:p>
    <w:p w:rsidR="00712E44" w:rsidRPr="00113C5E" w:rsidRDefault="00712E44" w:rsidP="00DD55D3">
      <w:pPr>
        <w:tabs>
          <w:tab w:val="left" w:pos="705"/>
        </w:tabs>
        <w:spacing w:line="360" w:lineRule="auto"/>
        <w:jc w:val="both"/>
      </w:pPr>
    </w:p>
    <w:p w:rsidR="00712E44" w:rsidRDefault="00712E44" w:rsidP="00DD55D3">
      <w:pPr>
        <w:tabs>
          <w:tab w:val="left" w:pos="705"/>
        </w:tabs>
        <w:spacing w:line="360" w:lineRule="auto"/>
        <w:jc w:val="both"/>
      </w:pPr>
      <w:r>
        <w:rPr>
          <w:b/>
          <w:sz w:val="28"/>
          <w:szCs w:val="28"/>
        </w:rPr>
        <w:t xml:space="preserve">2.3 </w:t>
      </w:r>
      <w:r w:rsidRPr="007E2323">
        <w:rPr>
          <w:b/>
          <w:sz w:val="28"/>
          <w:szCs w:val="28"/>
        </w:rPr>
        <w:t>Hospodářská a měnová unie</w:t>
      </w:r>
      <w:r>
        <w:rPr>
          <w:b/>
          <w:sz w:val="28"/>
          <w:szCs w:val="28"/>
        </w:rPr>
        <w:t xml:space="preserve"> </w:t>
      </w:r>
    </w:p>
    <w:p w:rsidR="00712E44" w:rsidRPr="0065153A"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V červnu 1988 byl Evropskou radou potvrzen záměr postupného zavádění Hospodářské </w:t>
      </w:r>
      <w:r>
        <w:br/>
        <w:t>a měnové unie (dále jen HMU). Došlo k ustavení Delorsovy expertní skupiny, která byla pověřená studiem plánu na etapovité dosažení EMU.</w:t>
      </w:r>
      <w:r>
        <w:rPr>
          <w:rStyle w:val="Znakapoznpodarou"/>
        </w:rPr>
        <w:footnoteReference w:id="17"/>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Konečná „Delorsova zpráva“ navrhla, aby se Hospodářské a měnové unie dosáhlo ve třech samostatných, ale na sebe navazujících etapách:</w:t>
      </w:r>
    </w:p>
    <w:p w:rsidR="00712E44" w:rsidRDefault="00712E44" w:rsidP="00DD55D3">
      <w:pPr>
        <w:tabs>
          <w:tab w:val="left" w:pos="705"/>
        </w:tabs>
        <w:spacing w:line="360" w:lineRule="auto"/>
        <w:jc w:val="both"/>
      </w:pPr>
      <w:r>
        <w:lastRenderedPageBreak/>
        <w:t>První etapa měla být zahájena 1. července 1990. Jejími hlavními cíli bylo:</w:t>
      </w:r>
    </w:p>
    <w:p w:rsidR="00712E44" w:rsidRDefault="00712E44" w:rsidP="00DD55D3">
      <w:pPr>
        <w:pStyle w:val="Odstavecseseznamem"/>
        <w:numPr>
          <w:ilvl w:val="0"/>
          <w:numId w:val="4"/>
        </w:numPr>
        <w:tabs>
          <w:tab w:val="left" w:pos="705"/>
        </w:tabs>
        <w:spacing w:line="360" w:lineRule="auto"/>
        <w:jc w:val="both"/>
      </w:pPr>
      <w:r>
        <w:t>úplná liberalizace kapitálových obchodů,</w:t>
      </w:r>
    </w:p>
    <w:p w:rsidR="00712E44" w:rsidRDefault="00712E44" w:rsidP="00DD55D3">
      <w:pPr>
        <w:pStyle w:val="Odstavecseseznamem"/>
        <w:numPr>
          <w:ilvl w:val="0"/>
          <w:numId w:val="4"/>
        </w:numPr>
        <w:tabs>
          <w:tab w:val="left" w:pos="705"/>
        </w:tabs>
        <w:spacing w:line="360" w:lineRule="auto"/>
        <w:jc w:val="both"/>
      </w:pPr>
      <w:r>
        <w:t>užší spolupráce mezi centrálními bankami,</w:t>
      </w:r>
    </w:p>
    <w:p w:rsidR="00712E44" w:rsidRDefault="00712E44" w:rsidP="00DD55D3">
      <w:pPr>
        <w:pStyle w:val="Odstavecseseznamem"/>
        <w:numPr>
          <w:ilvl w:val="0"/>
          <w:numId w:val="4"/>
        </w:numPr>
        <w:tabs>
          <w:tab w:val="left" w:pos="705"/>
        </w:tabs>
        <w:spacing w:line="360" w:lineRule="auto"/>
        <w:jc w:val="both"/>
      </w:pPr>
      <w:r>
        <w:t xml:space="preserve">volné používání ECU, </w:t>
      </w:r>
    </w:p>
    <w:p w:rsidR="00712E44" w:rsidRDefault="00712E44" w:rsidP="00DD55D3">
      <w:pPr>
        <w:pStyle w:val="Odstavecseseznamem"/>
        <w:numPr>
          <w:ilvl w:val="0"/>
          <w:numId w:val="4"/>
        </w:numPr>
        <w:tabs>
          <w:tab w:val="left" w:pos="705"/>
        </w:tabs>
        <w:spacing w:line="360" w:lineRule="auto"/>
        <w:jc w:val="both"/>
      </w:pPr>
      <w:r>
        <w:t>zlepšení hospodářské konvergence.</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V rámci první etapy došlo ke zrušení veškerých omezení pohybu kapitálu mezi členskými státy. Výbor guvernérů centrálních bank členských států EHS poskytoval konzultace v oblasti měnových politik členských zemí a prosazoval jejich koordinace, aby bylo dosaženo cenové stability.</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Výbor guvernérů dále zahájil i přípravné práce na třetí etapě HMU. Realizace dalších dvou navazujících etap vyžadovala změnu a doplnění Smlouvy o založení Evropského hospodářského společenství – Římskou smlouvu, aby bylo možné zavést potřebnou institucionální strukturu. Jednání mezivládní konference o HMU v roce 1991 vyústila </w:t>
      </w:r>
      <w:r>
        <w:br/>
        <w:t>ve Smlouvu o Evropské unii, která byla podepsána 7. února 1992 v Maastrichtu. Maastrichtská smlouva nabyla účinnosti až 1. listopadu 1993.</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Druhá etapa budování Hospodářské a měnové unie začala 1. ledna 1994, a to ustavením Evropského měnového institutu (dále jen EMI) a ukončením činnosti Výboru guvernérů. Dalšími jejími charakteristickými znaky jsou:</w:t>
      </w:r>
    </w:p>
    <w:p w:rsidR="00712E44" w:rsidRDefault="00712E44" w:rsidP="00DD55D3">
      <w:pPr>
        <w:pStyle w:val="Odstavecseseznamem"/>
        <w:numPr>
          <w:ilvl w:val="0"/>
          <w:numId w:val="4"/>
        </w:numPr>
        <w:tabs>
          <w:tab w:val="left" w:pos="705"/>
        </w:tabs>
        <w:spacing w:line="360" w:lineRule="auto"/>
        <w:jc w:val="both"/>
      </w:pPr>
      <w:r>
        <w:t>zákaz úvěrování veřejného sektoru centrálními bankami,</w:t>
      </w:r>
    </w:p>
    <w:p w:rsidR="00712E44" w:rsidRDefault="00712E44" w:rsidP="00DD55D3">
      <w:pPr>
        <w:pStyle w:val="Odstavecseseznamem"/>
        <w:numPr>
          <w:ilvl w:val="0"/>
          <w:numId w:val="4"/>
        </w:numPr>
        <w:tabs>
          <w:tab w:val="left" w:pos="705"/>
        </w:tabs>
        <w:spacing w:line="360" w:lineRule="auto"/>
        <w:jc w:val="both"/>
      </w:pPr>
      <w:r>
        <w:t>užší koordinace měnových politik,</w:t>
      </w:r>
    </w:p>
    <w:p w:rsidR="00712E44" w:rsidRDefault="00712E44" w:rsidP="00DD55D3">
      <w:pPr>
        <w:pStyle w:val="Odstavecseseznamem"/>
        <w:numPr>
          <w:ilvl w:val="0"/>
          <w:numId w:val="4"/>
        </w:numPr>
        <w:tabs>
          <w:tab w:val="left" w:pos="705"/>
        </w:tabs>
        <w:spacing w:line="360" w:lineRule="auto"/>
        <w:jc w:val="both"/>
      </w:pPr>
      <w:r>
        <w:t>vytvoření nezávislosti národních centrálních bank,</w:t>
      </w:r>
    </w:p>
    <w:p w:rsidR="00712E44" w:rsidRDefault="00712E44" w:rsidP="00DD55D3">
      <w:pPr>
        <w:pStyle w:val="Odstavecseseznamem"/>
        <w:numPr>
          <w:ilvl w:val="0"/>
          <w:numId w:val="4"/>
        </w:numPr>
        <w:tabs>
          <w:tab w:val="left" w:pos="705"/>
        </w:tabs>
        <w:spacing w:line="360" w:lineRule="auto"/>
        <w:jc w:val="both"/>
      </w:pPr>
      <w:r>
        <w:t>posílení hospodářské konvergence,</w:t>
      </w:r>
    </w:p>
    <w:p w:rsidR="00712E44" w:rsidRDefault="00712E44" w:rsidP="00DD55D3">
      <w:pPr>
        <w:pStyle w:val="Odstavecseseznamem"/>
        <w:numPr>
          <w:ilvl w:val="0"/>
          <w:numId w:val="4"/>
        </w:numPr>
        <w:tabs>
          <w:tab w:val="left" w:pos="705"/>
        </w:tabs>
        <w:spacing w:line="360" w:lineRule="auto"/>
        <w:jc w:val="both"/>
      </w:pPr>
      <w:r>
        <w:t>přípravné práce na třetí etapě.</w:t>
      </w:r>
      <w:r>
        <w:rPr>
          <w:rStyle w:val="Znakapoznpodarou"/>
        </w:rPr>
        <w:footnoteReference w:id="18"/>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Hlavní podstatou Evropského měnového institutu bylo:</w:t>
      </w:r>
    </w:p>
    <w:p w:rsidR="00712E44" w:rsidRDefault="00712E44" w:rsidP="00DD55D3">
      <w:pPr>
        <w:pStyle w:val="Odstavecseseznamem"/>
        <w:numPr>
          <w:ilvl w:val="0"/>
          <w:numId w:val="4"/>
        </w:numPr>
        <w:tabs>
          <w:tab w:val="left" w:pos="705"/>
        </w:tabs>
        <w:spacing w:line="360" w:lineRule="auto"/>
        <w:jc w:val="both"/>
      </w:pPr>
      <w:r>
        <w:t>sledovat fungování Evropského měnového systému,</w:t>
      </w:r>
    </w:p>
    <w:p w:rsidR="00712E44" w:rsidRDefault="00712E44" w:rsidP="00DD55D3">
      <w:pPr>
        <w:pStyle w:val="Odstavecseseznamem"/>
        <w:numPr>
          <w:ilvl w:val="0"/>
          <w:numId w:val="4"/>
        </w:numPr>
        <w:tabs>
          <w:tab w:val="left" w:pos="705"/>
        </w:tabs>
        <w:spacing w:line="360" w:lineRule="auto"/>
        <w:jc w:val="both"/>
      </w:pPr>
      <w:r>
        <w:t>posilovat spolupráci mezi národními ústředními bankami,</w:t>
      </w:r>
    </w:p>
    <w:p w:rsidR="00712E44" w:rsidRDefault="00712E44" w:rsidP="00DD55D3">
      <w:pPr>
        <w:pStyle w:val="Odstavecseseznamem"/>
        <w:numPr>
          <w:ilvl w:val="0"/>
          <w:numId w:val="4"/>
        </w:numPr>
        <w:tabs>
          <w:tab w:val="left" w:pos="705"/>
        </w:tabs>
        <w:spacing w:line="360" w:lineRule="auto"/>
        <w:jc w:val="both"/>
      </w:pPr>
      <w:r>
        <w:t>koordinovat měnové politiky členských států,</w:t>
      </w:r>
    </w:p>
    <w:p w:rsidR="00712E44" w:rsidRDefault="00712E44" w:rsidP="00DD55D3">
      <w:pPr>
        <w:pStyle w:val="Odstavecseseznamem"/>
        <w:numPr>
          <w:ilvl w:val="0"/>
          <w:numId w:val="4"/>
        </w:numPr>
        <w:tabs>
          <w:tab w:val="left" w:pos="705"/>
        </w:tabs>
        <w:spacing w:line="360" w:lineRule="auto"/>
        <w:jc w:val="both"/>
      </w:pPr>
      <w:r>
        <w:lastRenderedPageBreak/>
        <w:t>usnadňovat používání ECU,</w:t>
      </w:r>
    </w:p>
    <w:p w:rsidR="00712E44" w:rsidRDefault="00712E44" w:rsidP="00DD55D3">
      <w:pPr>
        <w:pStyle w:val="Odstavecseseznamem"/>
        <w:numPr>
          <w:ilvl w:val="0"/>
          <w:numId w:val="4"/>
        </w:numPr>
        <w:tabs>
          <w:tab w:val="left" w:pos="705"/>
        </w:tabs>
        <w:spacing w:line="360" w:lineRule="auto"/>
        <w:jc w:val="both"/>
      </w:pPr>
      <w:r>
        <w:t>dohlížet na vývoj EMS.</w:t>
      </w:r>
      <w:r>
        <w:rPr>
          <w:rStyle w:val="Znakapoznpodarou"/>
        </w:rPr>
        <w:footnoteReference w:id="19"/>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Evropská rada v prosinci 1995 schválila pojem „euro“ pro pojmenování evropské měnové jednotky. Tato společná měnová jednotka měla být zavedena ve třetí etapě. Rovněž byla stanovena předběžná časová posloupnost kroků pro přechod na euro.</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V prosinci 1996 předložil EMI Evropské radě zprávu o zásadách a hlavních prvcích nového mechanismu směnných kurzů (ERM II). V červnu 1997 bylo usnesení přijato. EMI současně předložil Evropské radě a následně i veřejnosti vybraný návrh série nových eurobankovek. </w:t>
      </w:r>
      <w:r>
        <w:br/>
        <w:t>Do oběhu byly uvedeny 1. ledna 2002.</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Evropská rada v červnu 1997 přijala i další dokument – Pakt stability a růstu. Tvoří ho dvě nařízení, jejichž cílem je zajistit rozpočtovou disciplínu</w:t>
      </w:r>
      <w:r w:rsidRPr="008D5809">
        <w:t xml:space="preserve"> </w:t>
      </w:r>
      <w:r>
        <w:t>ve vztahu k HMU.</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 xml:space="preserve">Podmínkou pro vstup do třetí etapy bylo splnění konvergenčních kritérií. Rozhodnutím Rady Evropské unie ze dne 2. května 1998 jedenáct členských zemí splnilo podmínky nezbytné </w:t>
      </w:r>
      <w:r>
        <w:br/>
        <w:t>pro účast ve třetí etapě HMU a pro přijetí jednotné měny 1. ledna 1999. Prvními účastníky Měnové unie byly Německo, Belgie, Nizozemsko, Lucembursko, Francie, Španělsko, Itálie, Irsko, Rakousko, Finsko a Portugalsko. Při stanovení neodvolatelných směnných kurzů eura byly použity stávající bilaterální centrální kurzy měn v rámci ERM zúčastněných členských států.</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Jmenování prezidenta, viceprezidenta a čtyř dalších členů Výkonné rady Evropské centrální banky (dále jen ECB) nabylo účinnosti 1. června 1998 a znamenalo také ustavení ECB. V tento den EMI završil své poslání a dle článku 123 Smlouvy o založení Evropského společenství vstoupil do likvidace.</w:t>
      </w:r>
      <w:r>
        <w:rPr>
          <w:rStyle w:val="Znakapoznpodarou"/>
        </w:rPr>
        <w:footnoteReference w:id="20"/>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Třetí etapa byla zahájena 1. ledna 1999 a je charakteristická těmito kroky:</w:t>
      </w:r>
    </w:p>
    <w:p w:rsidR="00712E44" w:rsidRDefault="00712E44" w:rsidP="00DD55D3">
      <w:pPr>
        <w:pStyle w:val="Odstavecseseznamem"/>
        <w:numPr>
          <w:ilvl w:val="0"/>
          <w:numId w:val="4"/>
        </w:numPr>
        <w:tabs>
          <w:tab w:val="left" w:pos="705"/>
        </w:tabs>
        <w:spacing w:line="360" w:lineRule="auto"/>
        <w:jc w:val="both"/>
      </w:pPr>
      <w:r>
        <w:t>neodvolatelným stanovením směnných kurzů,</w:t>
      </w:r>
    </w:p>
    <w:p w:rsidR="00712E44" w:rsidRDefault="00712E44" w:rsidP="00DD55D3">
      <w:pPr>
        <w:pStyle w:val="Odstavecseseznamem"/>
        <w:numPr>
          <w:ilvl w:val="0"/>
          <w:numId w:val="4"/>
        </w:numPr>
        <w:tabs>
          <w:tab w:val="left" w:pos="705"/>
        </w:tabs>
        <w:spacing w:line="360" w:lineRule="auto"/>
        <w:jc w:val="both"/>
      </w:pPr>
      <w:r>
        <w:lastRenderedPageBreak/>
        <w:t>zavedením eura,</w:t>
      </w:r>
    </w:p>
    <w:p w:rsidR="00712E44" w:rsidRDefault="00712E44" w:rsidP="00DD55D3">
      <w:pPr>
        <w:pStyle w:val="Odstavecseseznamem"/>
        <w:numPr>
          <w:ilvl w:val="0"/>
          <w:numId w:val="4"/>
        </w:numPr>
        <w:tabs>
          <w:tab w:val="left" w:pos="705"/>
        </w:tabs>
        <w:spacing w:line="360" w:lineRule="auto"/>
        <w:jc w:val="both"/>
      </w:pPr>
      <w:r>
        <w:t>prováděním jednotné měnové politiky Evropským systémem centrálních bank,</w:t>
      </w:r>
    </w:p>
    <w:p w:rsidR="00712E44" w:rsidRDefault="00712E44" w:rsidP="00DD55D3">
      <w:pPr>
        <w:pStyle w:val="Odstavecseseznamem"/>
        <w:numPr>
          <w:ilvl w:val="0"/>
          <w:numId w:val="4"/>
        </w:numPr>
        <w:tabs>
          <w:tab w:val="left" w:pos="705"/>
        </w:tabs>
        <w:spacing w:line="360" w:lineRule="auto"/>
        <w:jc w:val="both"/>
      </w:pPr>
      <w:r>
        <w:t>nabytím účinnosti mechanismu směnných kurzů v rámci EU (ERM II),</w:t>
      </w:r>
    </w:p>
    <w:p w:rsidR="00712E44" w:rsidRDefault="00712E44" w:rsidP="00DD55D3">
      <w:pPr>
        <w:pStyle w:val="Odstavecseseznamem"/>
        <w:numPr>
          <w:ilvl w:val="0"/>
          <w:numId w:val="4"/>
        </w:numPr>
        <w:tabs>
          <w:tab w:val="left" w:pos="705"/>
        </w:tabs>
        <w:spacing w:line="360" w:lineRule="auto"/>
        <w:jc w:val="both"/>
      </w:pPr>
      <w:r>
        <w:t>nabytím účinnosti Paktu stability a růstu.</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Řecko vstoupilo do třetí etapy HMU až 1. ledna 2001, čímž vzrostl počet zúčastněných členských zemí Měnové unie na dvanáct.</w:t>
      </w:r>
      <w:r>
        <w:rPr>
          <w:rStyle w:val="Znakapoznpodarou"/>
        </w:rPr>
        <w:footnoteReference w:id="21"/>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První tři roky od vzniku eurozóny pro běžného občana nepřinesly žádnou zásadní změnu. Národní bankovky a mince byly nadále základním oběživem a plnily stejně jako dříve standardní peněžní funkce. Nová společná evropská měna euro existovala pouze v bezhotovostní formě. Až dne 1. ledna 2002 všechny země eurozóny vyměnily národní oběživo za euro. Původní bankovky a mince mizely postupně z oběhu, a to v průběhu dvou měsíců vyhrazených pro tzv. duální cirkulaci. Odborné prameny uvádějí, že bylo vyrobeno celkem 14,25 miliard eurobankovek a 56 miliard euromincí. Tato gigantická peněžní masa byla nejen zhotovena, ale také uskladněna a distribuována. Na druhé straně muselo být ohromné množství národních mincí a bankovek staženo, uskladněno, přemístěno a nakonec zlikvidováno. Jen díky důsledné a pečlivé přípravě mohla tato náročná logistická operace proběhnout bez sebemenších komplikací, což potvrdily i průzkumy veřejného mínění obyvatelstva prvních příslušníků eurozóny.</w:t>
      </w:r>
      <w:r>
        <w:rPr>
          <w:rStyle w:val="Znakapoznpodarou"/>
        </w:rPr>
        <w:footnoteReference w:id="22"/>
      </w:r>
    </w:p>
    <w:p w:rsidR="00712E44" w:rsidRDefault="00712E44" w:rsidP="00DD55D3">
      <w:pPr>
        <w:tabs>
          <w:tab w:val="left" w:pos="705"/>
        </w:tabs>
        <w:spacing w:line="360" w:lineRule="auto"/>
        <w:jc w:val="both"/>
      </w:pPr>
      <w:r>
        <w:br/>
        <w:t>Měnová unie postupně přibírala nové zájemce o její členství. Dalším členem se 1. ledna 2007 stalo Slovinsko a o rok později ho následovaly i Kypr a Malta. Šestnáctým členským státem eurozóny se 1. ledna 2009 stala také Slovenská republika, jejíž popis procesu zavádění společné evropské měny je hlavní náplní této práce.</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r>
        <w:t>Současná struktura Hospodářské a měnové unie (Obr. 1) se člení na čtyři základní možnosti členství:</w:t>
      </w:r>
    </w:p>
    <w:p w:rsidR="00712E44" w:rsidRDefault="00712E44" w:rsidP="00DD55D3">
      <w:pPr>
        <w:pStyle w:val="Odstavecseseznamem"/>
        <w:numPr>
          <w:ilvl w:val="0"/>
          <w:numId w:val="5"/>
        </w:numPr>
        <w:tabs>
          <w:tab w:val="left" w:pos="705"/>
        </w:tabs>
        <w:spacing w:line="360" w:lineRule="auto"/>
        <w:jc w:val="both"/>
      </w:pPr>
      <w:r>
        <w:t>členské státy EU, které přijaly euro,</w:t>
      </w:r>
    </w:p>
    <w:p w:rsidR="00712E44" w:rsidRDefault="00712E44" w:rsidP="00DD55D3">
      <w:pPr>
        <w:pStyle w:val="Odstavecseseznamem"/>
        <w:numPr>
          <w:ilvl w:val="0"/>
          <w:numId w:val="5"/>
        </w:numPr>
        <w:tabs>
          <w:tab w:val="left" w:pos="705"/>
        </w:tabs>
        <w:spacing w:line="360" w:lineRule="auto"/>
        <w:jc w:val="both"/>
      </w:pPr>
      <w:r>
        <w:t>členské státy EU, s osobitým postavením,</w:t>
      </w:r>
    </w:p>
    <w:p w:rsidR="00712E44" w:rsidRDefault="00712E44" w:rsidP="00DD55D3">
      <w:pPr>
        <w:pStyle w:val="Odstavecseseznamem"/>
        <w:numPr>
          <w:ilvl w:val="0"/>
          <w:numId w:val="5"/>
        </w:numPr>
        <w:tabs>
          <w:tab w:val="left" w:pos="705"/>
        </w:tabs>
        <w:spacing w:line="360" w:lineRule="auto"/>
        <w:jc w:val="both"/>
      </w:pPr>
      <w:r>
        <w:t>členské státy EU, pro které platí výjimka,</w:t>
      </w:r>
    </w:p>
    <w:p w:rsidR="00712E44" w:rsidRDefault="00712E44" w:rsidP="00DD55D3">
      <w:pPr>
        <w:pStyle w:val="Odstavecseseznamem"/>
        <w:numPr>
          <w:ilvl w:val="0"/>
          <w:numId w:val="5"/>
        </w:numPr>
        <w:tabs>
          <w:tab w:val="left" w:pos="705"/>
        </w:tabs>
        <w:spacing w:line="360" w:lineRule="auto"/>
        <w:jc w:val="both"/>
      </w:pPr>
      <w:r>
        <w:lastRenderedPageBreak/>
        <w:t>nečlenské krajiny EU.</w:t>
      </w:r>
    </w:p>
    <w:p w:rsidR="00712E44" w:rsidRDefault="00712E44" w:rsidP="00DD55D3">
      <w:pPr>
        <w:tabs>
          <w:tab w:val="left" w:pos="705"/>
        </w:tabs>
        <w:spacing w:line="360" w:lineRule="auto"/>
        <w:ind w:left="360"/>
        <w:jc w:val="both"/>
      </w:pPr>
    </w:p>
    <w:p w:rsidR="00712E44" w:rsidRDefault="00712E44" w:rsidP="00DD55D3">
      <w:pPr>
        <w:tabs>
          <w:tab w:val="left" w:pos="705"/>
        </w:tabs>
        <w:spacing w:line="360" w:lineRule="auto"/>
        <w:jc w:val="both"/>
      </w:pPr>
      <w:r>
        <w:t xml:space="preserve">                                    </w:t>
      </w:r>
      <w:r>
        <w:rPr>
          <w:b/>
        </w:rPr>
        <w:t xml:space="preserve"> </w:t>
      </w:r>
    </w:p>
    <w:p w:rsidR="00712E44" w:rsidRDefault="00DC4908" w:rsidP="00DD55D3">
      <w:pPr>
        <w:jc w:val="center"/>
      </w:pPr>
      <w:bookmarkStart w:id="0" w:name="stage3"/>
      <w:bookmarkEnd w:id="0"/>
      <w:r>
        <w:rPr>
          <w:noProof/>
          <w:lang w:eastAsia="cs-CZ"/>
        </w:rPr>
        <w:drawing>
          <wp:inline distT="0" distB="0" distL="0" distR="0">
            <wp:extent cx="3143250" cy="3143250"/>
            <wp:effectExtent l="1905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3143250" cy="3143250"/>
                    </a:xfrm>
                    <a:prstGeom prst="rect">
                      <a:avLst/>
                    </a:prstGeom>
                    <a:noFill/>
                    <a:ln w="9525">
                      <a:noFill/>
                      <a:miter lim="800000"/>
                      <a:headEnd/>
                      <a:tailEnd/>
                    </a:ln>
                  </pic:spPr>
                </pic:pic>
              </a:graphicData>
            </a:graphic>
          </wp:inline>
        </w:drawing>
      </w:r>
    </w:p>
    <w:p w:rsidR="00712E44" w:rsidRDefault="00712E44" w:rsidP="00DD55D3">
      <w:pPr>
        <w:tabs>
          <w:tab w:val="left" w:pos="705"/>
        </w:tabs>
        <w:spacing w:line="360" w:lineRule="auto"/>
        <w:jc w:val="both"/>
      </w:pPr>
    </w:p>
    <w:p w:rsidR="00712E44" w:rsidRPr="004B142B" w:rsidRDefault="00712E44" w:rsidP="00DD55D3">
      <w:pPr>
        <w:spacing w:line="360" w:lineRule="auto"/>
        <w:rPr>
          <w:b/>
          <w:sz w:val="20"/>
          <w:szCs w:val="20"/>
        </w:rPr>
      </w:pPr>
      <w:r>
        <w:rPr>
          <w:b/>
          <w:sz w:val="20"/>
          <w:szCs w:val="20"/>
        </w:rPr>
        <w:t xml:space="preserve">                                        Obr. 1 Eurozóna k 1. lednu 2011</w:t>
      </w:r>
    </w:p>
    <w:p w:rsidR="00712E44" w:rsidRDefault="00712E44" w:rsidP="00DD55D3">
      <w:pPr>
        <w:spacing w:line="360" w:lineRule="auto"/>
      </w:pPr>
      <w:r>
        <w:rPr>
          <w:i/>
          <w:sz w:val="20"/>
          <w:szCs w:val="20"/>
        </w:rPr>
        <w:t xml:space="preserve">                                        </w:t>
      </w:r>
      <w:r w:rsidRPr="00811E67">
        <w:rPr>
          <w:i/>
          <w:sz w:val="20"/>
          <w:szCs w:val="20"/>
        </w:rPr>
        <w:t>Zdroj:</w:t>
      </w:r>
      <w:r>
        <w:rPr>
          <w:i/>
          <w:sz w:val="20"/>
          <w:szCs w:val="20"/>
        </w:rPr>
        <w:t xml:space="preserve"> Eurozóna.</w:t>
      </w:r>
      <w:r w:rsidRPr="00811E67">
        <w:rPr>
          <w:i/>
          <w:sz w:val="20"/>
          <w:szCs w:val="20"/>
        </w:rPr>
        <w:t xml:space="preserve"> [online]. [cit. 201</w:t>
      </w:r>
      <w:r>
        <w:rPr>
          <w:i/>
          <w:sz w:val="20"/>
          <w:szCs w:val="20"/>
        </w:rPr>
        <w:t>1</w:t>
      </w:r>
      <w:r w:rsidRPr="00811E67">
        <w:rPr>
          <w:i/>
          <w:sz w:val="20"/>
          <w:szCs w:val="20"/>
        </w:rPr>
        <w:t>-0</w:t>
      </w:r>
      <w:r>
        <w:rPr>
          <w:i/>
          <w:sz w:val="20"/>
          <w:szCs w:val="20"/>
        </w:rPr>
        <w:t>4</w:t>
      </w:r>
      <w:r w:rsidRPr="00811E67">
        <w:rPr>
          <w:i/>
          <w:sz w:val="20"/>
          <w:szCs w:val="20"/>
        </w:rPr>
        <w:t>-</w:t>
      </w:r>
      <w:r>
        <w:rPr>
          <w:i/>
          <w:sz w:val="20"/>
          <w:szCs w:val="20"/>
        </w:rPr>
        <w:t>01</w:t>
      </w:r>
      <w:r w:rsidRPr="00811E67">
        <w:rPr>
          <w:i/>
          <w:sz w:val="20"/>
          <w:szCs w:val="20"/>
        </w:rPr>
        <w:t>] Dostupné z WWW:</w:t>
      </w:r>
      <w:r w:rsidRPr="00E67258">
        <w:rPr>
          <w:i/>
          <w:sz w:val="20"/>
          <w:szCs w:val="20"/>
        </w:rPr>
        <w:t xml:space="preserve">                                                                                                      </w:t>
      </w:r>
      <w:r>
        <w:rPr>
          <w:i/>
          <w:sz w:val="20"/>
          <w:szCs w:val="20"/>
        </w:rPr>
        <w:t xml:space="preserve"> </w:t>
      </w:r>
    </w:p>
    <w:p w:rsidR="00712E44" w:rsidRPr="00E67258" w:rsidRDefault="00712E44" w:rsidP="00DD55D3">
      <w:pPr>
        <w:tabs>
          <w:tab w:val="left" w:pos="705"/>
        </w:tabs>
        <w:spacing w:line="360" w:lineRule="auto"/>
        <w:jc w:val="both"/>
      </w:pPr>
      <w:r>
        <w:t xml:space="preserve">                                 &lt;</w:t>
      </w:r>
      <w:r w:rsidRPr="0060205F">
        <w:rPr>
          <w:i/>
          <w:sz w:val="20"/>
          <w:szCs w:val="20"/>
        </w:rPr>
        <w:t>http://www.zavedenieura.cz/cps/rde/xchg/euro/xsl/euro_eurozona.html</w:t>
      </w:r>
      <w:r>
        <w:t>&gt;</w:t>
      </w:r>
    </w:p>
    <w:p w:rsidR="00712E44" w:rsidRDefault="00712E44" w:rsidP="00DD55D3">
      <w:pPr>
        <w:tabs>
          <w:tab w:val="left" w:pos="705"/>
        </w:tabs>
        <w:spacing w:line="360" w:lineRule="auto"/>
        <w:jc w:val="both"/>
      </w:pPr>
    </w:p>
    <w:p w:rsidR="00712E44" w:rsidRDefault="00712E44" w:rsidP="00DD55D3">
      <w:pPr>
        <w:tabs>
          <w:tab w:val="left" w:pos="705"/>
        </w:tabs>
        <w:spacing w:line="360" w:lineRule="auto"/>
        <w:jc w:val="both"/>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
          <w:bCs/>
          <w:sz w:val="32"/>
          <w:szCs w:val="32"/>
        </w:rPr>
      </w:pPr>
    </w:p>
    <w:p w:rsidR="00712E44" w:rsidRDefault="00712E44" w:rsidP="00DD55D3">
      <w:pPr>
        <w:spacing w:line="360" w:lineRule="auto"/>
        <w:jc w:val="both"/>
        <w:rPr>
          <w:bCs/>
        </w:rPr>
      </w:pPr>
      <w:r w:rsidRPr="0098203D">
        <w:rPr>
          <w:b/>
          <w:bCs/>
          <w:sz w:val="32"/>
          <w:szCs w:val="32"/>
        </w:rPr>
        <w:lastRenderedPageBreak/>
        <w:t>3 Proces příprav vstupu Slovenské republiky do eurozóny</w:t>
      </w:r>
    </w:p>
    <w:p w:rsidR="00712E44" w:rsidRDefault="00712E44" w:rsidP="00DD55D3">
      <w:pPr>
        <w:spacing w:line="360" w:lineRule="auto"/>
        <w:jc w:val="both"/>
        <w:rPr>
          <w:bCs/>
        </w:rPr>
      </w:pPr>
    </w:p>
    <w:p w:rsidR="00712E44" w:rsidRDefault="00712E44" w:rsidP="00DD55D3">
      <w:pPr>
        <w:spacing w:line="360" w:lineRule="auto"/>
        <w:jc w:val="both"/>
        <w:rPr>
          <w:bCs/>
        </w:rPr>
      </w:pPr>
    </w:p>
    <w:p w:rsidR="00712E44" w:rsidRDefault="00712E44" w:rsidP="00DD55D3">
      <w:pPr>
        <w:spacing w:line="360" w:lineRule="auto"/>
        <w:jc w:val="both"/>
        <w:rPr>
          <w:bCs/>
        </w:rPr>
      </w:pPr>
      <w:r>
        <w:rPr>
          <w:bCs/>
        </w:rPr>
        <w:t xml:space="preserve">Vstup do eurozóny je podmínkou pro všechny členské státy EU. Slovenská republika </w:t>
      </w:r>
      <w:r>
        <w:rPr>
          <w:bCs/>
        </w:rPr>
        <w:br/>
        <w:t xml:space="preserve">a několik dalších členů dostalo dočasnou výjimku až do doby, kdy splní maastrichtská kritéria. Kapitola popisuje postup příprav, které Slovenská republika podstoupila, aby se stala oprávněným členem eurozóny a mohla zavést novou domácí měnu – euro. </w:t>
      </w:r>
    </w:p>
    <w:p w:rsidR="00712E44" w:rsidRDefault="00712E44" w:rsidP="00DD55D3">
      <w:pPr>
        <w:spacing w:line="360" w:lineRule="auto"/>
        <w:jc w:val="both"/>
        <w:rPr>
          <w:bCs/>
        </w:rPr>
      </w:pPr>
    </w:p>
    <w:p w:rsidR="00712E44" w:rsidRDefault="00712E44" w:rsidP="00DD55D3">
      <w:pPr>
        <w:spacing w:line="360" w:lineRule="auto"/>
        <w:jc w:val="both"/>
        <w:rPr>
          <w:bCs/>
        </w:rPr>
      </w:pPr>
    </w:p>
    <w:p w:rsidR="00712E44" w:rsidRPr="00402811" w:rsidRDefault="00712E44" w:rsidP="00DD55D3">
      <w:pPr>
        <w:spacing w:line="360" w:lineRule="auto"/>
        <w:jc w:val="both"/>
        <w:rPr>
          <w:b/>
          <w:sz w:val="28"/>
          <w:szCs w:val="28"/>
        </w:rPr>
      </w:pPr>
      <w:r>
        <w:rPr>
          <w:b/>
          <w:sz w:val="28"/>
          <w:szCs w:val="28"/>
        </w:rPr>
        <w:t xml:space="preserve">3.1 </w:t>
      </w:r>
      <w:r w:rsidRPr="00402811">
        <w:rPr>
          <w:b/>
          <w:sz w:val="28"/>
          <w:szCs w:val="28"/>
        </w:rPr>
        <w:t>P</w:t>
      </w:r>
      <w:r>
        <w:rPr>
          <w:b/>
          <w:sz w:val="28"/>
          <w:szCs w:val="28"/>
        </w:rPr>
        <w:t>ostup</w:t>
      </w:r>
      <w:r w:rsidRPr="00402811">
        <w:rPr>
          <w:b/>
          <w:sz w:val="28"/>
          <w:szCs w:val="28"/>
        </w:rPr>
        <w:t xml:space="preserve"> zavedení eura na Slovensku</w:t>
      </w:r>
    </w:p>
    <w:p w:rsidR="00712E44" w:rsidRPr="008F5CCD" w:rsidRDefault="00712E44" w:rsidP="00DD55D3">
      <w:pPr>
        <w:spacing w:line="360" w:lineRule="auto"/>
        <w:jc w:val="both"/>
      </w:pPr>
    </w:p>
    <w:p w:rsidR="00712E44" w:rsidRDefault="00712E44" w:rsidP="00DD55D3">
      <w:pPr>
        <w:spacing w:line="360" w:lineRule="auto"/>
        <w:jc w:val="both"/>
      </w:pPr>
      <w:r>
        <w:t xml:space="preserve">Evropské země, které se rozhodly vstoupit do Evropské unie, byly povinny podepsat Přístupovou smlouvu k Evropské unii. Podpisem této smlouvy dne 16. dubna 2003 </w:t>
      </w:r>
      <w:r>
        <w:br/>
        <w:t xml:space="preserve">se Slovenská republika zavázala také ke vstupu do Hospodářské a měnové unie a současně k zavedení společné měny – eura. Přípravy zavedení jednotné měny byly zahájeny ještě </w:t>
      </w:r>
      <w:r>
        <w:br/>
        <w:t xml:space="preserve">před vstupem Slovenské republiky do Evropské unie následujícími kroky: </w:t>
      </w:r>
    </w:p>
    <w:p w:rsidR="00712E44" w:rsidRDefault="00712E44" w:rsidP="00DD55D3">
      <w:pPr>
        <w:spacing w:line="360" w:lineRule="auto"/>
        <w:jc w:val="both"/>
      </w:pPr>
      <w:r>
        <w:tab/>
        <w:t>1) 16. července 2003 schválila vláda SR Strategii přijetí eura v SR a dojednala společný postup vlády SR a NBS při vstupu SR do eurozóny.</w:t>
      </w:r>
    </w:p>
    <w:p w:rsidR="00712E44" w:rsidRDefault="00712E44" w:rsidP="00DD55D3">
      <w:pPr>
        <w:spacing w:line="360" w:lineRule="auto"/>
        <w:jc w:val="both"/>
      </w:pPr>
      <w:r>
        <w:tab/>
        <w:t>2) 8. září 2004 byla vládou SR schválena Konkretizace strategie přijetí eura v SR.</w:t>
      </w:r>
    </w:p>
    <w:p w:rsidR="00712E44" w:rsidRDefault="00712E44" w:rsidP="00DD55D3">
      <w:pPr>
        <w:spacing w:line="360" w:lineRule="auto"/>
        <w:jc w:val="both"/>
      </w:pPr>
      <w:r>
        <w:tab/>
        <w:t>3) 23. června 2005 byl Bankovní radou NBS a 6. července 2005 vládou SR schválen Národní plán zavedení eura ve Slovenské republice.</w:t>
      </w:r>
    </w:p>
    <w:p w:rsidR="00712E44" w:rsidRDefault="00712E44" w:rsidP="00DD55D3">
      <w:pPr>
        <w:spacing w:line="360" w:lineRule="auto"/>
        <w:jc w:val="both"/>
      </w:pPr>
    </w:p>
    <w:p w:rsidR="00712E44" w:rsidRDefault="00712E44" w:rsidP="00DD55D3">
      <w:pPr>
        <w:spacing w:line="360" w:lineRule="auto"/>
        <w:jc w:val="both"/>
      </w:pPr>
      <w:r>
        <w:t xml:space="preserve">Strategie přijetí eura v SR obsahovala úvodní společný a koordinovaný přístup Ministerstva financí SR a Národní banky Slovenska k základním otázkám, které souvisely se vstupem </w:t>
      </w:r>
      <w:r>
        <w:br/>
        <w:t xml:space="preserve">SR do eurozóny. Rozebírala stav reálné a nominální konvergence SR do EU, popisovala závazky, které vznikly Slovensku po podpisu přístupové smlouvy do EU a stejně tak i kritéria vstupu do eurozóny. Vyjmenovala výhody a nevýhody přijetí eura a prezentovala hospodářsky politické závěry s tím související. </w:t>
      </w:r>
    </w:p>
    <w:p w:rsidR="00712E44" w:rsidRDefault="00712E44" w:rsidP="00DD55D3">
      <w:pPr>
        <w:spacing w:line="360" w:lineRule="auto"/>
        <w:jc w:val="both"/>
      </w:pPr>
      <w:r>
        <w:t xml:space="preserve"> </w:t>
      </w:r>
    </w:p>
    <w:p w:rsidR="00712E44" w:rsidRDefault="00712E44" w:rsidP="00DD55D3">
      <w:pPr>
        <w:spacing w:line="360" w:lineRule="auto"/>
        <w:jc w:val="both"/>
      </w:pPr>
      <w:r>
        <w:t xml:space="preserve">Konkretizace strategie přijetí eura v SR blíže specifikovala a popisovala etapy přístupového procesu. Také konkretizovala požadavky na jednotlivé politiky a jejich mix a určovala organizačně – technické zabezpečení zavedení eura na Slovensku. </w:t>
      </w:r>
    </w:p>
    <w:p w:rsidR="00712E44" w:rsidRDefault="00712E44" w:rsidP="00DD55D3">
      <w:pPr>
        <w:spacing w:line="360" w:lineRule="auto"/>
        <w:jc w:val="both"/>
      </w:pPr>
    </w:p>
    <w:p w:rsidR="00712E44" w:rsidRDefault="00712E44" w:rsidP="00DD55D3">
      <w:pPr>
        <w:spacing w:line="360" w:lineRule="auto"/>
        <w:jc w:val="both"/>
      </w:pPr>
      <w:r>
        <w:lastRenderedPageBreak/>
        <w:t>Národní plán zavedení eura stanovil základní zásady a kroky zavedení eura na Slovensku, které bylo nutné uskutečnit pro nekomplikované a především úspěšné zavedení eura v celém hospodářském systému SR.</w:t>
      </w:r>
    </w:p>
    <w:p w:rsidR="00712E44" w:rsidRDefault="00712E44" w:rsidP="00DD55D3">
      <w:pPr>
        <w:spacing w:line="360" w:lineRule="auto"/>
        <w:ind w:left="360"/>
        <w:jc w:val="both"/>
      </w:pPr>
    </w:p>
    <w:p w:rsidR="00712E44" w:rsidRDefault="00712E44" w:rsidP="00DD55D3">
      <w:pPr>
        <w:spacing w:line="360" w:lineRule="auto"/>
        <w:jc w:val="both"/>
      </w:pPr>
      <w:r>
        <w:t xml:space="preserve">V souvislosti se sestavením Národního plánu zavedení eura na Slovensku byl zřízen </w:t>
      </w:r>
      <w:r>
        <w:br/>
        <w:t xml:space="preserve">i Národní koordinační výbor, který představoval nejvyšší řídící a koordinační orgán v přípravě zavedení nové měny. </w:t>
      </w:r>
    </w:p>
    <w:p w:rsidR="00712E44" w:rsidRDefault="00712E44" w:rsidP="00DD55D3">
      <w:pPr>
        <w:spacing w:line="360" w:lineRule="auto"/>
        <w:jc w:val="both"/>
      </w:pPr>
      <w:r>
        <w:t xml:space="preserve"> </w:t>
      </w:r>
    </w:p>
    <w:p w:rsidR="00712E44" w:rsidRDefault="00712E44" w:rsidP="00DD55D3">
      <w:pPr>
        <w:spacing w:line="360" w:lineRule="auto"/>
        <w:jc w:val="both"/>
      </w:pPr>
      <w:r>
        <w:t xml:space="preserve">1. května 2004 Slovenská republika vstoupila do Evropské unie a současně se stala členem Hospodářské a měnové unie. </w:t>
      </w:r>
    </w:p>
    <w:p w:rsidR="00712E44" w:rsidRDefault="00712E44" w:rsidP="00DD55D3">
      <w:pPr>
        <w:spacing w:line="360" w:lineRule="auto"/>
        <w:jc w:val="both"/>
      </w:pPr>
    </w:p>
    <w:p w:rsidR="00712E44" w:rsidRDefault="00712E44" w:rsidP="00DD55D3">
      <w:pPr>
        <w:spacing w:line="360" w:lineRule="auto"/>
        <w:jc w:val="both"/>
      </w:pPr>
      <w:r>
        <w:t xml:space="preserve">Dalším podstatným krokem Slovenska byl jeho vstup do ERM II dne 28. listopadu 2005, </w:t>
      </w:r>
      <w:r>
        <w:br/>
        <w:t>čímž se zavázala:</w:t>
      </w:r>
    </w:p>
    <w:p w:rsidR="00712E44" w:rsidRDefault="00712E44" w:rsidP="00DD55D3">
      <w:pPr>
        <w:pStyle w:val="Odstavecseseznamem"/>
        <w:numPr>
          <w:ilvl w:val="0"/>
          <w:numId w:val="4"/>
        </w:numPr>
        <w:spacing w:line="360" w:lineRule="auto"/>
        <w:jc w:val="both"/>
      </w:pPr>
      <w:r>
        <w:t>pokračovat ve vedení zdravé fiskální politiky, která podpoří hospodářskou stabilitu, nízkou inflaci a konvergenční proces,</w:t>
      </w:r>
    </w:p>
    <w:p w:rsidR="00712E44" w:rsidRDefault="00712E44" w:rsidP="00DD55D3">
      <w:pPr>
        <w:pStyle w:val="Odstavecseseznamem"/>
        <w:numPr>
          <w:ilvl w:val="0"/>
          <w:numId w:val="4"/>
        </w:numPr>
        <w:spacing w:line="360" w:lineRule="auto"/>
        <w:jc w:val="both"/>
      </w:pPr>
      <w:r>
        <w:t>podporovat vývoj mezd v souladu s růstem produktivity práce,</w:t>
      </w:r>
    </w:p>
    <w:p w:rsidR="00712E44" w:rsidRDefault="00712E44" w:rsidP="00DD55D3">
      <w:pPr>
        <w:pStyle w:val="Odstavecseseznamem"/>
        <w:numPr>
          <w:ilvl w:val="0"/>
          <w:numId w:val="4"/>
        </w:numPr>
        <w:spacing w:line="360" w:lineRule="auto"/>
        <w:jc w:val="both"/>
      </w:pPr>
      <w:r>
        <w:t>v případě nutnosti ke zpřísnění fiskálních pozic,</w:t>
      </w:r>
    </w:p>
    <w:p w:rsidR="00712E44" w:rsidRDefault="00712E44" w:rsidP="00DD55D3">
      <w:pPr>
        <w:pStyle w:val="Odstavecseseznamem"/>
        <w:numPr>
          <w:ilvl w:val="0"/>
          <w:numId w:val="4"/>
        </w:numPr>
        <w:spacing w:line="360" w:lineRule="auto"/>
        <w:jc w:val="both"/>
      </w:pPr>
      <w:r>
        <w:t>k rozpočtové disciplíně založené na opatřeních trvalého charakteru,</w:t>
      </w:r>
    </w:p>
    <w:p w:rsidR="00712E44" w:rsidRDefault="00712E44" w:rsidP="00DD55D3">
      <w:pPr>
        <w:pStyle w:val="Odstavecseseznamem"/>
        <w:numPr>
          <w:ilvl w:val="0"/>
          <w:numId w:val="4"/>
        </w:numPr>
        <w:spacing w:line="360" w:lineRule="auto"/>
        <w:jc w:val="both"/>
      </w:pPr>
      <w:r>
        <w:t xml:space="preserve">ke strukturálním reformám pro další posilování flexibility národní ekonomiky </w:t>
      </w:r>
      <w:r>
        <w:br/>
        <w:t>a snižování nezaměstnanosti,</w:t>
      </w:r>
    </w:p>
    <w:p w:rsidR="00712E44" w:rsidRDefault="00712E44" w:rsidP="00DD55D3">
      <w:pPr>
        <w:pStyle w:val="Odstavecseseznamem"/>
        <w:numPr>
          <w:ilvl w:val="0"/>
          <w:numId w:val="4"/>
        </w:numPr>
        <w:spacing w:line="360" w:lineRule="auto"/>
        <w:jc w:val="both"/>
      </w:pPr>
      <w:r>
        <w:t>ke snižování rizik z příliš rychlého růstu úvěrů v ekonomice.</w:t>
      </w:r>
    </w:p>
    <w:p w:rsidR="00712E44" w:rsidRDefault="00712E44" w:rsidP="00DD55D3">
      <w:pPr>
        <w:spacing w:line="360" w:lineRule="auto"/>
        <w:jc w:val="both"/>
      </w:pPr>
    </w:p>
    <w:p w:rsidR="00712E44" w:rsidRDefault="00712E44" w:rsidP="00DD55D3">
      <w:pPr>
        <w:spacing w:line="360" w:lineRule="auto"/>
        <w:jc w:val="both"/>
      </w:pPr>
      <w:r>
        <w:t>Tyto kroky byly plně v souladu s Konvergenčním programem SR a Měnovým programem NBS.</w:t>
      </w:r>
      <w:r>
        <w:rPr>
          <w:rStyle w:val="Znakapoznpodarou"/>
        </w:rPr>
        <w:footnoteReference w:id="23"/>
      </w:r>
    </w:p>
    <w:p w:rsidR="00712E44" w:rsidRDefault="00712E44" w:rsidP="00DD55D3">
      <w:pPr>
        <w:spacing w:line="360" w:lineRule="auto"/>
        <w:jc w:val="both"/>
      </w:pPr>
    </w:p>
    <w:p w:rsidR="00712E44" w:rsidRDefault="00712E44" w:rsidP="00DD55D3">
      <w:pPr>
        <w:spacing w:line="360" w:lineRule="auto"/>
        <w:jc w:val="both"/>
      </w:pPr>
      <w:r>
        <w:t>Centrální parita koruny vůči euru byla stanovena v poměru 38,4550 SKK/EUR. Na žádost Slovenské republiky byla dne 19. března 2007 centrální parita pro přijetí eura změněna</w:t>
      </w:r>
      <w:r>
        <w:br/>
        <w:t xml:space="preserve">a stanovila se na úroveň 35,4424 SKK/EUR. 29. května 2008 slovenská koruna revalvovala </w:t>
      </w:r>
      <w:r>
        <w:br/>
        <w:t>o 17,6472 %, což vedlo ke druhé změně centrální parity, která byla stanovena na úroveň 30,1260 SKK/EUR.</w:t>
      </w:r>
      <w:r w:rsidRPr="00C160A3">
        <w:t xml:space="preserve"> </w:t>
      </w:r>
      <w:r>
        <w:t xml:space="preserve">Koruna využívala standardního fluktuačního pásma </w:t>
      </w:r>
      <w:r w:rsidRPr="00C160A3">
        <w:rPr>
          <w:rFonts w:eastAsia="Times New Roman"/>
          <w:kern w:val="0"/>
          <w:lang w:eastAsia="cs-CZ"/>
        </w:rPr>
        <w:t>±</w:t>
      </w:r>
      <w:r>
        <w:rPr>
          <w:rFonts w:eastAsia="Times New Roman"/>
          <w:kern w:val="0"/>
          <w:lang w:eastAsia="cs-CZ"/>
        </w:rPr>
        <w:t xml:space="preserve"> </w:t>
      </w:r>
      <w:r w:rsidRPr="00C160A3">
        <w:rPr>
          <w:rFonts w:eastAsia="Times New Roman"/>
          <w:kern w:val="0"/>
          <w:lang w:eastAsia="cs-CZ"/>
        </w:rPr>
        <w:t>15</w:t>
      </w:r>
      <w:r>
        <w:rPr>
          <w:rFonts w:eastAsia="Times New Roman"/>
          <w:kern w:val="0"/>
          <w:lang w:eastAsia="cs-CZ"/>
        </w:rPr>
        <w:t xml:space="preserve"> </w:t>
      </w:r>
      <w:r w:rsidRPr="00C160A3">
        <w:rPr>
          <w:rFonts w:eastAsia="Times New Roman"/>
          <w:kern w:val="0"/>
          <w:lang w:eastAsia="cs-CZ"/>
        </w:rPr>
        <w:t>%</w:t>
      </w:r>
      <w:r>
        <w:rPr>
          <w:rFonts w:eastAsia="Times New Roman"/>
          <w:kern w:val="0"/>
          <w:lang w:eastAsia="cs-CZ"/>
        </w:rPr>
        <w:t xml:space="preserve"> v okolí centrální parity. Spodní hranicí povinných intervencí bylo 25,6071 SKK/EUR a horní hranicí </w:t>
      </w:r>
      <w:r>
        <w:rPr>
          <w:rFonts w:eastAsia="Times New Roman"/>
          <w:kern w:val="0"/>
          <w:lang w:eastAsia="cs-CZ"/>
        </w:rPr>
        <w:br/>
      </w:r>
      <w:r>
        <w:rPr>
          <w:rFonts w:eastAsia="Times New Roman"/>
          <w:kern w:val="0"/>
          <w:lang w:eastAsia="cs-CZ"/>
        </w:rPr>
        <w:lastRenderedPageBreak/>
        <w:t>34,6449 SKK/EUR.</w:t>
      </w:r>
      <w:r>
        <w:rPr>
          <w:rStyle w:val="Znakapoznpodarou"/>
          <w:rFonts w:eastAsia="Times New Roman"/>
          <w:kern w:val="0"/>
          <w:lang w:eastAsia="cs-CZ"/>
        </w:rPr>
        <w:footnoteReference w:id="24"/>
      </w:r>
    </w:p>
    <w:p w:rsidR="00712E44" w:rsidRDefault="00712E44" w:rsidP="00DD55D3">
      <w:pPr>
        <w:spacing w:line="360" w:lineRule="auto"/>
        <w:jc w:val="both"/>
      </w:pPr>
    </w:p>
    <w:p w:rsidR="00712E44" w:rsidRPr="00841550" w:rsidRDefault="00712E44" w:rsidP="00DD55D3">
      <w:pPr>
        <w:spacing w:line="360" w:lineRule="auto"/>
        <w:jc w:val="both"/>
      </w:pPr>
    </w:p>
    <w:p w:rsidR="00712E44" w:rsidRDefault="00712E44" w:rsidP="00DD55D3">
      <w:pPr>
        <w:spacing w:line="360" w:lineRule="auto"/>
        <w:jc w:val="both"/>
      </w:pPr>
      <w:r>
        <w:rPr>
          <w:b/>
          <w:sz w:val="28"/>
          <w:szCs w:val="28"/>
        </w:rPr>
        <w:t xml:space="preserve">3.2 </w:t>
      </w:r>
      <w:r w:rsidRPr="008B0E1C">
        <w:rPr>
          <w:b/>
          <w:sz w:val="28"/>
          <w:szCs w:val="28"/>
        </w:rPr>
        <w:t>Konvergenční kritéria</w:t>
      </w:r>
    </w:p>
    <w:p w:rsidR="00712E44" w:rsidRDefault="00712E44" w:rsidP="00DD55D3">
      <w:pPr>
        <w:spacing w:line="360" w:lineRule="auto"/>
        <w:jc w:val="both"/>
      </w:pPr>
    </w:p>
    <w:p w:rsidR="00712E44" w:rsidRDefault="00712E44" w:rsidP="00DD55D3">
      <w:pPr>
        <w:spacing w:line="360" w:lineRule="auto"/>
        <w:jc w:val="both"/>
      </w:pPr>
      <w:r>
        <w:t xml:space="preserve">Každý členský stát EU, než přejde na společnou měnu – euro, má povinnost splnit pět konvergenčních kritérií – maastrichtských kritérií. Jejich plnění je kontrolováno prostřednictvím zpráv vydávaných Komisí EU a ECB. Plnění těchto kritérií má zaručit udržitelné sbližování, které je důležité pro činnost Hospodářské a měnové unie. V případě, </w:t>
      </w:r>
      <w:r>
        <w:br/>
        <w:t xml:space="preserve">že členská země EU, která ještě není členem eurozóny a neplní stanovené hranice kritérií, nemůže se zúčastnit třetí etapy Evropské měnové unie a zavést nové zákonné platidlo – euro. </w:t>
      </w:r>
    </w:p>
    <w:p w:rsidR="00712E44" w:rsidRDefault="00712E44" w:rsidP="00DD55D3">
      <w:pPr>
        <w:spacing w:line="360" w:lineRule="auto"/>
        <w:jc w:val="both"/>
      </w:pPr>
    </w:p>
    <w:p w:rsidR="00712E44" w:rsidRDefault="00712E44" w:rsidP="00DD55D3">
      <w:pPr>
        <w:spacing w:line="360" w:lineRule="auto"/>
        <w:jc w:val="both"/>
      </w:pPr>
      <w:r>
        <w:t>Konvergenční kritéria pro fiskální politiku zahrnují:</w:t>
      </w:r>
    </w:p>
    <w:p w:rsidR="00712E44" w:rsidRPr="00B75767" w:rsidRDefault="00712E44" w:rsidP="00DD55D3">
      <w:pPr>
        <w:pStyle w:val="Odstavecseseznamem"/>
        <w:numPr>
          <w:ilvl w:val="0"/>
          <w:numId w:val="4"/>
        </w:numPr>
        <w:spacing w:line="360" w:lineRule="auto"/>
        <w:jc w:val="both"/>
      </w:pPr>
      <w:r w:rsidRPr="00B75767">
        <w:t>kritérium pro deficit veřejných financí,</w:t>
      </w:r>
    </w:p>
    <w:p w:rsidR="00712E44" w:rsidRDefault="00712E44" w:rsidP="00DD55D3">
      <w:pPr>
        <w:pStyle w:val="Odstavecseseznamem"/>
        <w:numPr>
          <w:ilvl w:val="0"/>
          <w:numId w:val="4"/>
        </w:numPr>
        <w:spacing w:line="360" w:lineRule="auto"/>
        <w:jc w:val="both"/>
      </w:pPr>
      <w:r>
        <w:t>kritérium pro veřejný dluh.</w:t>
      </w:r>
    </w:p>
    <w:p w:rsidR="00712E44" w:rsidRDefault="00712E44" w:rsidP="00DD55D3">
      <w:pPr>
        <w:spacing w:line="360" w:lineRule="auto"/>
        <w:jc w:val="both"/>
      </w:pPr>
    </w:p>
    <w:p w:rsidR="00712E44" w:rsidRDefault="00712E44" w:rsidP="00DD55D3">
      <w:pPr>
        <w:spacing w:line="360" w:lineRule="auto"/>
        <w:jc w:val="both"/>
      </w:pPr>
      <w:r>
        <w:t>Konvergenčními kritérii pro měnovou politiku jsou:</w:t>
      </w:r>
    </w:p>
    <w:p w:rsidR="00712E44" w:rsidRDefault="00712E44" w:rsidP="00DD55D3">
      <w:pPr>
        <w:pStyle w:val="Odstavecseseznamem"/>
        <w:numPr>
          <w:ilvl w:val="0"/>
          <w:numId w:val="4"/>
        </w:numPr>
        <w:spacing w:line="360" w:lineRule="auto"/>
        <w:jc w:val="both"/>
      </w:pPr>
      <w:r>
        <w:t>inflační kritérium,</w:t>
      </w:r>
    </w:p>
    <w:p w:rsidR="00712E44" w:rsidRDefault="00712E44" w:rsidP="00DD55D3">
      <w:pPr>
        <w:pStyle w:val="Odstavecseseznamem"/>
        <w:numPr>
          <w:ilvl w:val="0"/>
          <w:numId w:val="4"/>
        </w:numPr>
        <w:spacing w:line="360" w:lineRule="auto"/>
        <w:jc w:val="both"/>
      </w:pPr>
      <w:r>
        <w:t>kritérium dlouhodobých úrokových sazeb,</w:t>
      </w:r>
    </w:p>
    <w:p w:rsidR="00712E44" w:rsidRDefault="00712E44" w:rsidP="00DD55D3">
      <w:pPr>
        <w:pStyle w:val="Odstavecseseznamem"/>
        <w:numPr>
          <w:ilvl w:val="0"/>
          <w:numId w:val="4"/>
        </w:numPr>
        <w:spacing w:line="360" w:lineRule="auto"/>
        <w:jc w:val="both"/>
      </w:pPr>
      <w:r>
        <w:t>kritérium stability výměnného kurzu.</w:t>
      </w:r>
    </w:p>
    <w:p w:rsidR="00712E44" w:rsidRPr="00B75767" w:rsidRDefault="00712E44" w:rsidP="00DD55D3">
      <w:pPr>
        <w:spacing w:line="360" w:lineRule="auto"/>
        <w:jc w:val="both"/>
        <w:rPr>
          <w:b/>
        </w:rPr>
      </w:pPr>
    </w:p>
    <w:p w:rsidR="00712E44" w:rsidRPr="00B75767" w:rsidRDefault="00712E44" w:rsidP="00DD55D3">
      <w:pPr>
        <w:spacing w:line="360" w:lineRule="auto"/>
        <w:jc w:val="both"/>
      </w:pPr>
    </w:p>
    <w:p w:rsidR="00712E44" w:rsidRDefault="00712E44" w:rsidP="00DD55D3">
      <w:pPr>
        <w:spacing w:line="360" w:lineRule="auto"/>
        <w:jc w:val="both"/>
      </w:pPr>
      <w:r>
        <w:rPr>
          <w:b/>
          <w:sz w:val="28"/>
          <w:szCs w:val="28"/>
        </w:rPr>
        <w:t xml:space="preserve">3.3 </w:t>
      </w:r>
      <w:r w:rsidRPr="005333E1">
        <w:rPr>
          <w:b/>
          <w:sz w:val="28"/>
          <w:szCs w:val="28"/>
        </w:rPr>
        <w:t>Splnění konvergenčních kritérií na Slovensku</w:t>
      </w:r>
    </w:p>
    <w:p w:rsidR="00712E44" w:rsidRDefault="00712E44" w:rsidP="00DD55D3">
      <w:pPr>
        <w:spacing w:line="360" w:lineRule="auto"/>
        <w:jc w:val="both"/>
      </w:pPr>
    </w:p>
    <w:p w:rsidR="00712E44" w:rsidRDefault="00712E44" w:rsidP="00DD55D3">
      <w:pPr>
        <w:spacing w:line="360" w:lineRule="auto"/>
        <w:jc w:val="both"/>
      </w:pPr>
      <w:r>
        <w:t xml:space="preserve">Slovenská republika v roce 2008 splnila všechna kritéria maastrichtu, jejichž dodržení </w:t>
      </w:r>
      <w:r>
        <w:br/>
        <w:t xml:space="preserve">je podmínkou pro vstup do eurozóny. Tímto se stala oprávněným kandidátem pro vstup </w:t>
      </w:r>
      <w:r>
        <w:br/>
        <w:t>do Evropské měnové unie ke dni 1. ledna 2009. Byly tak naplněny všechny cíle, které si vláda stanovila v programovém vyhlášení souvisejícím se zavedením evropské měny.</w:t>
      </w:r>
    </w:p>
    <w:p w:rsidR="00712E44" w:rsidRPr="00EB4880" w:rsidRDefault="00712E44" w:rsidP="00DD55D3">
      <w:pPr>
        <w:spacing w:line="360" w:lineRule="auto"/>
        <w:jc w:val="both"/>
      </w:pPr>
    </w:p>
    <w:p w:rsidR="00712E44" w:rsidRPr="00B75767" w:rsidRDefault="00712E44" w:rsidP="00DD55D3">
      <w:pPr>
        <w:spacing w:line="360" w:lineRule="auto"/>
        <w:jc w:val="both"/>
      </w:pPr>
    </w:p>
    <w:p w:rsidR="00712E44" w:rsidRPr="00B75767" w:rsidRDefault="00712E44" w:rsidP="00DD55D3">
      <w:pPr>
        <w:spacing w:line="360" w:lineRule="auto"/>
        <w:jc w:val="both"/>
      </w:pPr>
    </w:p>
    <w:p w:rsidR="00712E44" w:rsidRDefault="00712E44" w:rsidP="00DD55D3">
      <w:pPr>
        <w:spacing w:line="360" w:lineRule="auto"/>
        <w:jc w:val="both"/>
        <w:rPr>
          <w:b/>
          <w:sz w:val="28"/>
          <w:szCs w:val="28"/>
        </w:rPr>
      </w:pPr>
      <w:r>
        <w:rPr>
          <w:b/>
          <w:sz w:val="28"/>
          <w:szCs w:val="28"/>
        </w:rPr>
        <w:lastRenderedPageBreak/>
        <w:t xml:space="preserve">3.3.1 </w:t>
      </w:r>
      <w:r w:rsidRPr="00FA0D62">
        <w:rPr>
          <w:b/>
          <w:sz w:val="28"/>
          <w:szCs w:val="28"/>
        </w:rPr>
        <w:t>Kritérium</w:t>
      </w:r>
      <w:r>
        <w:rPr>
          <w:b/>
          <w:sz w:val="28"/>
          <w:szCs w:val="28"/>
        </w:rPr>
        <w:t xml:space="preserve"> pro deficit</w:t>
      </w:r>
      <w:r w:rsidRPr="00FA0D62">
        <w:rPr>
          <w:b/>
          <w:sz w:val="28"/>
          <w:szCs w:val="28"/>
        </w:rPr>
        <w:t xml:space="preserve"> veřejných financí</w:t>
      </w:r>
      <w:r>
        <w:rPr>
          <w:b/>
          <w:sz w:val="28"/>
          <w:szCs w:val="28"/>
        </w:rPr>
        <w:t xml:space="preserve"> a veřejný dluh</w:t>
      </w:r>
    </w:p>
    <w:p w:rsidR="00712E44" w:rsidRPr="00FA0D62" w:rsidRDefault="00712E44" w:rsidP="00DD55D3">
      <w:pPr>
        <w:spacing w:line="360" w:lineRule="auto"/>
        <w:jc w:val="both"/>
        <w:rPr>
          <w:b/>
          <w:sz w:val="28"/>
          <w:szCs w:val="28"/>
        </w:rPr>
      </w:pPr>
    </w:p>
    <w:p w:rsidR="00712E44" w:rsidRDefault="00712E44" w:rsidP="00DD55D3">
      <w:pPr>
        <w:spacing w:line="360" w:lineRule="auto"/>
        <w:jc w:val="both"/>
      </w:pPr>
      <w:r>
        <w:t xml:space="preserve">Deficit státního rozpočtu za poslední rok před hodnocením nesmí přesáhnout 3 % HDP </w:t>
      </w:r>
      <w:r>
        <w:br/>
        <w:t>a současně státní dluh nesmí být vyšší než 60 % HDP. Již v roce 2007 byl deficit veřejných financí v Slovenské republice na úrovni 2,2 % HDP, což znamená pod hranicí 3 %, kterou stanovuje maastrichtská smlouva. Výše veřejného dluhu se už dlouhodobě pohybovala v méně, než poloviční úrovni oproti limitu 60 % HDP, a to 29,4 % HDP.</w:t>
      </w:r>
      <w:r>
        <w:rPr>
          <w:rStyle w:val="Znakapoznpodarou"/>
        </w:rPr>
        <w:footnoteReference w:id="25"/>
      </w:r>
    </w:p>
    <w:p w:rsidR="00712E44" w:rsidRDefault="00712E44" w:rsidP="00DD55D3">
      <w:pPr>
        <w:spacing w:line="360" w:lineRule="auto"/>
        <w:jc w:val="both"/>
      </w:pPr>
      <w:r>
        <w:t xml:space="preserve"> </w:t>
      </w:r>
    </w:p>
    <w:p w:rsidR="00712E44" w:rsidRPr="00154E0E" w:rsidRDefault="00712E44" w:rsidP="00DD55D3">
      <w:pPr>
        <w:spacing w:line="360" w:lineRule="auto"/>
        <w:jc w:val="both"/>
      </w:pPr>
    </w:p>
    <w:p w:rsidR="00712E44" w:rsidRDefault="00712E44" w:rsidP="00DD55D3">
      <w:pPr>
        <w:spacing w:line="360" w:lineRule="auto"/>
        <w:jc w:val="both"/>
      </w:pPr>
      <w:r>
        <w:rPr>
          <w:b/>
          <w:sz w:val="28"/>
          <w:szCs w:val="28"/>
        </w:rPr>
        <w:t xml:space="preserve">3.3.2 </w:t>
      </w:r>
      <w:r w:rsidRPr="00FA0D62">
        <w:rPr>
          <w:b/>
          <w:sz w:val="28"/>
          <w:szCs w:val="28"/>
        </w:rPr>
        <w:t>Inflační kritérium</w:t>
      </w:r>
    </w:p>
    <w:p w:rsidR="00712E44" w:rsidRPr="00FA0D62" w:rsidRDefault="00712E44" w:rsidP="00DD55D3">
      <w:pPr>
        <w:spacing w:line="360" w:lineRule="auto"/>
        <w:jc w:val="both"/>
      </w:pPr>
    </w:p>
    <w:p w:rsidR="00712E44" w:rsidRDefault="00712E44" w:rsidP="00DD55D3">
      <w:pPr>
        <w:spacing w:line="360" w:lineRule="auto"/>
        <w:jc w:val="both"/>
      </w:pPr>
      <w:r>
        <w:t xml:space="preserve">Průměrná míra inflace vykazovaná za posledních 12 měsíců nesmí přesáhnout o více </w:t>
      </w:r>
      <w:r>
        <w:br/>
        <w:t xml:space="preserve">než 1,5 % bodu průměr třech členských zemí EU, které měly nejlepší výsledky v oblasti cenové stability. </w:t>
      </w:r>
    </w:p>
    <w:p w:rsidR="00712E44" w:rsidRDefault="00712E44" w:rsidP="00DD55D3">
      <w:pPr>
        <w:spacing w:line="360" w:lineRule="auto"/>
        <w:jc w:val="both"/>
      </w:pPr>
    </w:p>
    <w:p w:rsidR="00712E44" w:rsidRDefault="00712E44" w:rsidP="00DD55D3">
      <w:pPr>
        <w:spacing w:line="360" w:lineRule="auto"/>
        <w:jc w:val="both"/>
      </w:pPr>
      <w:r>
        <w:t xml:space="preserve">Plnění kritéria míry růstu cen v SR od března 2007 do března 2008 bylo na úrovni 2,2 %, </w:t>
      </w:r>
      <w:r>
        <w:br/>
        <w:t>což znamená o jeden celý procentuální bod méně, než stanovuje referenční hodnota 3,2 %.</w:t>
      </w:r>
      <w:r>
        <w:rPr>
          <w:rStyle w:val="Znakapoznpodarou"/>
        </w:rPr>
        <w:footnoteReference w:id="26"/>
      </w:r>
    </w:p>
    <w:p w:rsidR="00712E44" w:rsidRDefault="00712E44" w:rsidP="00DD55D3">
      <w:pPr>
        <w:spacing w:line="360" w:lineRule="auto"/>
        <w:jc w:val="both"/>
        <w:rPr>
          <w:rFonts w:eastAsia="Times New Roman"/>
          <w:kern w:val="0"/>
          <w:lang w:eastAsia="cs-CZ"/>
        </w:rPr>
      </w:pPr>
      <w:r w:rsidRPr="007E72E2">
        <w:rPr>
          <w:rFonts w:eastAsia="Times New Roman"/>
          <w:kern w:val="0"/>
          <w:lang w:eastAsia="cs-CZ"/>
        </w:rPr>
        <w:t xml:space="preserve"> </w:t>
      </w:r>
    </w:p>
    <w:p w:rsidR="00712E44" w:rsidRPr="00B75767" w:rsidRDefault="00712E44" w:rsidP="00DD55D3">
      <w:pPr>
        <w:spacing w:line="360" w:lineRule="auto"/>
        <w:jc w:val="both"/>
      </w:pPr>
    </w:p>
    <w:p w:rsidR="00712E44" w:rsidRPr="00FA0D62" w:rsidRDefault="00712E44" w:rsidP="00DD55D3">
      <w:pPr>
        <w:spacing w:line="360" w:lineRule="auto"/>
        <w:jc w:val="both"/>
        <w:rPr>
          <w:b/>
          <w:sz w:val="28"/>
          <w:szCs w:val="28"/>
        </w:rPr>
      </w:pPr>
      <w:r>
        <w:rPr>
          <w:b/>
          <w:sz w:val="28"/>
          <w:szCs w:val="28"/>
        </w:rPr>
        <w:t xml:space="preserve">3.3.3 </w:t>
      </w:r>
      <w:r w:rsidRPr="00FA0D62">
        <w:rPr>
          <w:b/>
          <w:sz w:val="28"/>
          <w:szCs w:val="28"/>
        </w:rPr>
        <w:t>Kritérium dlouhodobých úrokových sazeb</w:t>
      </w:r>
    </w:p>
    <w:p w:rsidR="00712E44" w:rsidRDefault="00712E44" w:rsidP="00DD55D3">
      <w:pPr>
        <w:spacing w:line="360" w:lineRule="auto"/>
        <w:jc w:val="both"/>
      </w:pPr>
    </w:p>
    <w:p w:rsidR="00712E44" w:rsidRDefault="00712E44" w:rsidP="00DD55D3">
      <w:pPr>
        <w:spacing w:line="360" w:lineRule="auto"/>
        <w:jc w:val="both"/>
      </w:pPr>
      <w:r>
        <w:t>Průměr tržních úrokových sazeb dlouhodobých vládních nebo podobných dluhopisů nesmí překročit o více než 2 % body průměr třech států EU s nejnižší úrokovou sazbou.</w:t>
      </w:r>
      <w:r w:rsidRPr="002448E7">
        <w:t xml:space="preserve"> </w:t>
      </w:r>
      <w:r>
        <w:t xml:space="preserve">Jedná </w:t>
      </w:r>
      <w:r>
        <w:br/>
        <w:t>se o jednoduchý aritmetický průměr nominálních dlouhodobých úrokových sazeb třech členských zemí s nejlepší stabilitou cen plus dva procentuální body.</w:t>
      </w:r>
      <w:r w:rsidRPr="002448E7">
        <w:t xml:space="preserve"> </w:t>
      </w:r>
      <w:r>
        <w:t xml:space="preserve">Pro účely konvergenčních kritérií úrokových sazeb byly použity srovnatelné úrokové sazby dlouhodobých státních dluhopisů s desetiletou splatností. </w:t>
      </w:r>
    </w:p>
    <w:p w:rsidR="00712E44" w:rsidRDefault="00712E44" w:rsidP="00DD55D3">
      <w:pPr>
        <w:spacing w:line="360" w:lineRule="auto"/>
        <w:jc w:val="both"/>
      </w:pPr>
    </w:p>
    <w:p w:rsidR="00712E44" w:rsidRDefault="00712E44" w:rsidP="00DD55D3">
      <w:pPr>
        <w:spacing w:line="360" w:lineRule="auto"/>
        <w:jc w:val="both"/>
      </w:pPr>
      <w:r>
        <w:t xml:space="preserve">Na konci jednoletého období, v době hodnocení Evropskou komisí, referenční hodnota </w:t>
      </w:r>
      <w:r>
        <w:lastRenderedPageBreak/>
        <w:t>úrokových sazeb činila 6,47 %. Slovensko v průběhu ročního období dosahovalo hodnotu tohoto kritéria v průměru 4,54 %, což je dostatečně pod úrovní hodnoty referenční.</w:t>
      </w:r>
      <w:r>
        <w:rPr>
          <w:rStyle w:val="Znakapoznpodarou"/>
        </w:rPr>
        <w:footnoteReference w:id="27"/>
      </w:r>
    </w:p>
    <w:p w:rsidR="00712E44" w:rsidRPr="00841550" w:rsidRDefault="00712E44" w:rsidP="00DD55D3">
      <w:pPr>
        <w:spacing w:line="360" w:lineRule="auto"/>
        <w:jc w:val="both"/>
      </w:pPr>
    </w:p>
    <w:p w:rsidR="00712E44" w:rsidRPr="00841550" w:rsidRDefault="00712E44" w:rsidP="00DD55D3">
      <w:pPr>
        <w:spacing w:line="360" w:lineRule="auto"/>
        <w:jc w:val="both"/>
      </w:pPr>
    </w:p>
    <w:p w:rsidR="00712E44" w:rsidRPr="00FA0D62" w:rsidRDefault="00712E44" w:rsidP="00DD55D3">
      <w:pPr>
        <w:spacing w:line="360" w:lineRule="auto"/>
        <w:jc w:val="both"/>
        <w:rPr>
          <w:b/>
          <w:sz w:val="28"/>
          <w:szCs w:val="28"/>
        </w:rPr>
      </w:pPr>
      <w:r>
        <w:rPr>
          <w:b/>
          <w:sz w:val="28"/>
          <w:szCs w:val="28"/>
        </w:rPr>
        <w:t xml:space="preserve">3.3.4 </w:t>
      </w:r>
      <w:r w:rsidRPr="00FA0D62">
        <w:rPr>
          <w:b/>
          <w:sz w:val="28"/>
          <w:szCs w:val="28"/>
        </w:rPr>
        <w:t xml:space="preserve">Kritérium </w:t>
      </w:r>
      <w:r>
        <w:rPr>
          <w:b/>
          <w:sz w:val="28"/>
          <w:szCs w:val="28"/>
        </w:rPr>
        <w:t>s</w:t>
      </w:r>
      <w:r w:rsidRPr="00FA0D62">
        <w:rPr>
          <w:b/>
          <w:sz w:val="28"/>
          <w:szCs w:val="28"/>
        </w:rPr>
        <w:t>měnného kurzu</w:t>
      </w:r>
    </w:p>
    <w:p w:rsidR="00712E44" w:rsidRDefault="00712E44" w:rsidP="00DD55D3">
      <w:pPr>
        <w:spacing w:line="360" w:lineRule="auto"/>
        <w:jc w:val="both"/>
      </w:pPr>
    </w:p>
    <w:p w:rsidR="00712E44" w:rsidRDefault="00712E44" w:rsidP="00DD55D3">
      <w:pPr>
        <w:spacing w:line="360" w:lineRule="auto"/>
        <w:jc w:val="both"/>
      </w:pPr>
      <w:r>
        <w:t xml:space="preserve">Dva roky před hodnocením musí být původní měna daného státu součástí mechanizmu směnných kurzů (ERM II). V průběhu této doby nesmí být tato měna jednostranně devalvována, povinně dodržuje povolené fluktuační pásmo bez vážnějšího napětí a musí </w:t>
      </w:r>
      <w:r>
        <w:br/>
        <w:t>se pohybovat v blízkosti centrální parity.</w:t>
      </w:r>
    </w:p>
    <w:p w:rsidR="00712E44" w:rsidRDefault="00712E44" w:rsidP="00DD55D3">
      <w:pPr>
        <w:spacing w:line="360" w:lineRule="auto"/>
        <w:jc w:val="both"/>
      </w:pPr>
    </w:p>
    <w:p w:rsidR="00712E44" w:rsidRDefault="00712E44" w:rsidP="00DD55D3">
      <w:pPr>
        <w:spacing w:line="360" w:lineRule="auto"/>
        <w:jc w:val="both"/>
      </w:pPr>
      <w:r>
        <w:t xml:space="preserve">Slovensko se stalo členem ERM II 28. listopadu 2005. Rovnovážný reálný kurz slovenské koruny díky růstu produktivity a potenciálu slovenské ekonomiky během pobytu </w:t>
      </w:r>
      <w:r>
        <w:br/>
        <w:t>SR v ERM II postupně posiloval. Z toho důvodu SR požádala o druhou změnu centrální parity z úrovně 35,4424 SKK/EUR na 30,1260 SKK/EUR.</w:t>
      </w:r>
    </w:p>
    <w:p w:rsidR="00712E44" w:rsidRPr="009C0010" w:rsidRDefault="00712E44" w:rsidP="00DD55D3">
      <w:pPr>
        <w:spacing w:line="360" w:lineRule="auto"/>
        <w:jc w:val="both"/>
      </w:pPr>
    </w:p>
    <w:p w:rsidR="00712E44" w:rsidRDefault="00712E44" w:rsidP="00DD55D3">
      <w:pPr>
        <w:spacing w:line="360" w:lineRule="auto"/>
        <w:jc w:val="both"/>
      </w:pPr>
    </w:p>
    <w:p w:rsidR="00712E44" w:rsidRPr="00FA0D62" w:rsidRDefault="00712E44" w:rsidP="00DD55D3">
      <w:pPr>
        <w:spacing w:line="360" w:lineRule="auto"/>
        <w:jc w:val="both"/>
        <w:rPr>
          <w:b/>
          <w:sz w:val="28"/>
          <w:szCs w:val="28"/>
        </w:rPr>
      </w:pPr>
      <w:r>
        <w:rPr>
          <w:b/>
          <w:sz w:val="28"/>
          <w:szCs w:val="28"/>
        </w:rPr>
        <w:t>3.4 Slovenská republika součástí eurozóny</w:t>
      </w:r>
    </w:p>
    <w:p w:rsidR="00712E44" w:rsidRPr="008B0E1C" w:rsidRDefault="00712E44" w:rsidP="00DD55D3">
      <w:pPr>
        <w:spacing w:line="360" w:lineRule="auto"/>
        <w:jc w:val="both"/>
      </w:pPr>
    </w:p>
    <w:p w:rsidR="00712E44" w:rsidRDefault="00712E44" w:rsidP="00DD55D3">
      <w:pPr>
        <w:spacing w:line="360" w:lineRule="auto"/>
        <w:jc w:val="both"/>
      </w:pPr>
      <w:r>
        <w:t xml:space="preserve">V březnu 2008 nastal pro SR jeden z nejvýznamnějších okamžiků. Slovensko splnilo maastrichtská kritéria, což ale Evropská komise nepovažovala za dlouhodobě udržitelné plnění. Bylo nutné čekat do </w:t>
      </w:r>
      <w:r w:rsidRPr="009724AF">
        <w:t>7. července 2008, kdy Evropská komise rozhodla, že doporučí zavedení nové domácí měny – eura na Slovensku od 1. ledna 2009.</w:t>
      </w:r>
      <w:r>
        <w:t xml:space="preserve"> Poté navrhla Radě ministrů pro hospodářské a finanční záležitosti EU (dále jen ECOFIN), aby schválila vstup Slovenska do eurozóny od ledna 2009. Na zasedání ECOFIN-u dne 3. června 2008 v Lucemburku ministři financí členských států Evropské unie doporučili vstup </w:t>
      </w:r>
      <w:r>
        <w:br/>
        <w:t xml:space="preserve">SR do eurozóny k výše uvedenému datu a následně poté, 20. června 2008, Rada EU potvrdila stejné rozhodnutí. 8. července 2008 Rada EU současně stanovila pevný konverzní kurz </w:t>
      </w:r>
      <w:r>
        <w:br/>
        <w:t xml:space="preserve">na 30,126 Sk vůči euru. Zavedení eura na Slovensku ukončilo jeho cestu za úplnou integrací do Evropské hospodářské a měnové unie. Jestli byl tento významný krok do neznáma pouze výhodou, se ukáže až po delším časovém období, kdy bude euru umožněno projevit svůj vliv </w:t>
      </w:r>
      <w:r>
        <w:lastRenderedPageBreak/>
        <w:t xml:space="preserve">na všechny aspekty ekonomického i běžného života občanů Slovenské republiky. Hodnocení některých aspektů jsou věnovány následující kapitoly práce. </w:t>
      </w: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spacing w:line="360" w:lineRule="auto"/>
        <w:jc w:val="both"/>
      </w:pPr>
      <w:r>
        <w:rPr>
          <w:b/>
          <w:sz w:val="28"/>
          <w:szCs w:val="28"/>
        </w:rPr>
        <w:t>3.4.1 K</w:t>
      </w:r>
      <w:r w:rsidRPr="008F5CCD">
        <w:rPr>
          <w:b/>
          <w:sz w:val="28"/>
          <w:szCs w:val="28"/>
        </w:rPr>
        <w:t>onverzní kurz</w:t>
      </w:r>
    </w:p>
    <w:p w:rsidR="00712E44" w:rsidRDefault="00712E44" w:rsidP="00DD55D3">
      <w:pPr>
        <w:spacing w:line="360" w:lineRule="auto"/>
        <w:jc w:val="both"/>
      </w:pPr>
    </w:p>
    <w:p w:rsidR="00712E44" w:rsidRDefault="00712E44" w:rsidP="00DD55D3">
      <w:pPr>
        <w:spacing w:line="360" w:lineRule="auto"/>
        <w:jc w:val="both"/>
      </w:pPr>
      <w:r>
        <w:t xml:space="preserve">Konverzní kurz představuje ekvivalent jednoho eura ve slovenských korunách (teda 1 EUR = 30,1260 SKK). Rada EU ho určila jako koeficient se šesti platnými číslicemi. Při přepočtení Sk na eura nebylo možné použít jiný koeficient. Přepočítací koeficient se nemohl zaokrouhlit ani zkrátit na méně než 6 platných číslic. Vhodné načasování určení konverzního kurzu </w:t>
      </w:r>
      <w:r>
        <w:br/>
        <w:t xml:space="preserve">lze konstatovat i z hlediska důsledků finanční krize, která mohla způsobit vyšší znehodnocení slovenské koruny. Většina národních měn evropských států ztratila v důsledku finanční krize dokonce 5 až 20 % své hodnoty. </w:t>
      </w:r>
    </w:p>
    <w:p w:rsidR="00712E44" w:rsidRPr="00B75767" w:rsidRDefault="00712E44" w:rsidP="00DD55D3">
      <w:pPr>
        <w:spacing w:line="360" w:lineRule="auto"/>
        <w:jc w:val="both"/>
      </w:pPr>
    </w:p>
    <w:p w:rsidR="00712E44" w:rsidRPr="00B75767" w:rsidRDefault="00712E44" w:rsidP="00DD55D3">
      <w:pPr>
        <w:spacing w:line="360" w:lineRule="auto"/>
        <w:jc w:val="both"/>
      </w:pPr>
    </w:p>
    <w:p w:rsidR="00712E44" w:rsidRDefault="00712E44" w:rsidP="00DD55D3">
      <w:pPr>
        <w:spacing w:line="360" w:lineRule="auto"/>
        <w:jc w:val="both"/>
      </w:pPr>
      <w:r>
        <w:rPr>
          <w:b/>
          <w:sz w:val="28"/>
          <w:szCs w:val="28"/>
        </w:rPr>
        <w:t>3.4.2 Zásady zavedení eura</w:t>
      </w:r>
      <w:r w:rsidRPr="00227D4C">
        <w:t xml:space="preserve"> </w:t>
      </w:r>
    </w:p>
    <w:p w:rsidR="00712E44" w:rsidRDefault="00712E44" w:rsidP="00DD55D3">
      <w:pPr>
        <w:spacing w:line="360" w:lineRule="auto"/>
        <w:jc w:val="both"/>
      </w:pPr>
    </w:p>
    <w:p w:rsidR="00712E44" w:rsidRPr="00227D4C" w:rsidRDefault="00712E44" w:rsidP="00DD55D3">
      <w:pPr>
        <w:spacing w:line="360" w:lineRule="auto"/>
        <w:jc w:val="both"/>
      </w:pPr>
      <w:r>
        <w:t xml:space="preserve">Jak již bylo zmíněno, pro nekomplikovaný a hladký průběh zavedení eura na Slovensku byl sestaven </w:t>
      </w:r>
      <w:r w:rsidRPr="005E4208">
        <w:rPr>
          <w:i/>
        </w:rPr>
        <w:t>Národný plán zavedenia eura v SR</w:t>
      </w:r>
      <w:r>
        <w:t xml:space="preserve">, který stanovil základní zásady zavedení eura: </w:t>
      </w:r>
    </w:p>
    <w:p w:rsidR="00712E44" w:rsidRDefault="00712E44" w:rsidP="00DD55D3">
      <w:pPr>
        <w:pStyle w:val="Odstavecseseznamem"/>
        <w:numPr>
          <w:ilvl w:val="0"/>
          <w:numId w:val="7"/>
        </w:numPr>
        <w:spacing w:line="360" w:lineRule="auto"/>
        <w:jc w:val="both"/>
      </w:pPr>
      <w:r>
        <w:t>zásada zavedení eura na Slovensku  - systémem „Big – Bang“, a to 1. ledna 2009,</w:t>
      </w:r>
    </w:p>
    <w:p w:rsidR="00712E44" w:rsidRDefault="00712E44" w:rsidP="00DD55D3">
      <w:pPr>
        <w:pStyle w:val="Odstavecseseznamem"/>
        <w:numPr>
          <w:ilvl w:val="0"/>
          <w:numId w:val="7"/>
        </w:numPr>
        <w:spacing w:line="360" w:lineRule="auto"/>
        <w:jc w:val="both"/>
      </w:pPr>
      <w:r>
        <w:t>zásada krátkého duálního oběhu,</w:t>
      </w:r>
    </w:p>
    <w:p w:rsidR="00712E44" w:rsidRDefault="00712E44" w:rsidP="00DD55D3">
      <w:pPr>
        <w:pStyle w:val="Odstavecseseznamem"/>
        <w:numPr>
          <w:ilvl w:val="0"/>
          <w:numId w:val="7"/>
        </w:numPr>
        <w:spacing w:line="360" w:lineRule="auto"/>
        <w:jc w:val="both"/>
      </w:pPr>
      <w:r>
        <w:t>zásada při převodu korunových hodnot na eura,</w:t>
      </w:r>
    </w:p>
    <w:p w:rsidR="00712E44" w:rsidRDefault="00712E44" w:rsidP="00DD55D3">
      <w:pPr>
        <w:pStyle w:val="Odstavecseseznamem"/>
        <w:numPr>
          <w:ilvl w:val="0"/>
          <w:numId w:val="7"/>
        </w:numPr>
        <w:spacing w:line="360" w:lineRule="auto"/>
        <w:jc w:val="both"/>
      </w:pPr>
      <w:r>
        <w:t>zásada kontinuity kontraktů,</w:t>
      </w:r>
    </w:p>
    <w:p w:rsidR="00712E44" w:rsidRDefault="00712E44" w:rsidP="00DD55D3">
      <w:pPr>
        <w:pStyle w:val="Odstavecseseznamem"/>
        <w:numPr>
          <w:ilvl w:val="0"/>
          <w:numId w:val="7"/>
        </w:numPr>
        <w:spacing w:line="360" w:lineRule="auto"/>
        <w:jc w:val="both"/>
      </w:pPr>
      <w:r>
        <w:t>pravidlo zaokrouhlování,</w:t>
      </w:r>
    </w:p>
    <w:p w:rsidR="00712E44" w:rsidRDefault="00712E44" w:rsidP="00DD55D3">
      <w:pPr>
        <w:pStyle w:val="Odstavecseseznamem"/>
        <w:numPr>
          <w:ilvl w:val="0"/>
          <w:numId w:val="7"/>
        </w:numPr>
        <w:spacing w:line="360" w:lineRule="auto"/>
        <w:jc w:val="both"/>
      </w:pPr>
      <w:r>
        <w:t>zásada nepoškození občana,</w:t>
      </w:r>
    </w:p>
    <w:p w:rsidR="00712E44" w:rsidRDefault="00712E44" w:rsidP="00DD55D3">
      <w:pPr>
        <w:pStyle w:val="Odstavecseseznamem"/>
        <w:numPr>
          <w:ilvl w:val="0"/>
          <w:numId w:val="7"/>
        </w:numPr>
        <w:spacing w:line="360" w:lineRule="auto"/>
        <w:jc w:val="both"/>
      </w:pPr>
      <w:r>
        <w:t>zásada předcházení zvyšování cen a vnímané inflace, monitorování a kontrola,</w:t>
      </w:r>
    </w:p>
    <w:p w:rsidR="00712E44" w:rsidRDefault="00712E44" w:rsidP="00DD55D3">
      <w:pPr>
        <w:pStyle w:val="Odstavecseseznamem"/>
        <w:numPr>
          <w:ilvl w:val="0"/>
          <w:numId w:val="7"/>
        </w:numPr>
        <w:spacing w:line="360" w:lineRule="auto"/>
        <w:jc w:val="both"/>
      </w:pPr>
      <w:r>
        <w:t>zásada minimalizace nákladů,</w:t>
      </w:r>
    </w:p>
    <w:p w:rsidR="00712E44" w:rsidRDefault="00712E44" w:rsidP="00DD55D3">
      <w:pPr>
        <w:pStyle w:val="Odstavecseseznamem"/>
        <w:numPr>
          <w:ilvl w:val="0"/>
          <w:numId w:val="7"/>
        </w:numPr>
        <w:spacing w:line="360" w:lineRule="auto"/>
        <w:jc w:val="both"/>
      </w:pPr>
      <w:r>
        <w:t>zásada přenechání věcné a finanční zodpovědnosti na každém subjektu samostatně.</w:t>
      </w:r>
      <w:r>
        <w:rPr>
          <w:rStyle w:val="Znakapoznpodarou"/>
        </w:rPr>
        <w:footnoteReference w:id="28"/>
      </w:r>
      <w:r>
        <w:t xml:space="preserve"> </w:t>
      </w:r>
    </w:p>
    <w:p w:rsidR="00712E44" w:rsidRDefault="00712E44" w:rsidP="00DD55D3">
      <w:pPr>
        <w:spacing w:line="360" w:lineRule="auto"/>
        <w:jc w:val="both"/>
      </w:pPr>
      <w:r>
        <w:t>Tyto zásady se staly podkladem při sestavování právních předpisů souvisejících s přechodem na novou měnu.</w:t>
      </w:r>
    </w:p>
    <w:p w:rsidR="00712E44" w:rsidRDefault="00712E44" w:rsidP="00DD55D3">
      <w:pPr>
        <w:spacing w:line="360" w:lineRule="auto"/>
        <w:jc w:val="both"/>
      </w:pPr>
      <w:r>
        <w:lastRenderedPageBreak/>
        <w:t>Podstatou způsobu zavedení eura formou Big – Bang (Velký třesk) je jednorázové zavedení měny do bezhotovostního a současně i hotovostního oběhu.</w:t>
      </w:r>
    </w:p>
    <w:p w:rsidR="00712E44" w:rsidRDefault="00712E44" w:rsidP="00DD55D3">
      <w:pPr>
        <w:spacing w:line="360" w:lineRule="auto"/>
        <w:jc w:val="both"/>
      </w:pPr>
    </w:p>
    <w:p w:rsidR="00712E44" w:rsidRDefault="00712E44" w:rsidP="00DD55D3">
      <w:pPr>
        <w:spacing w:line="360" w:lineRule="auto"/>
        <w:jc w:val="both"/>
      </w:pPr>
      <w:r>
        <w:t xml:space="preserve">Euro bylo na Slovensku zavedeno 1. ledna 2009. V tento den nahradilo slovenskou korunu </w:t>
      </w:r>
      <w:r>
        <w:br/>
        <w:t xml:space="preserve">a stalo se zákonným platidlem. Současně platilo přechodné období duálního oběhu v hotovostním styku, přičemž zpět do oběhu byla vydávána pouze měna nová. Toto přechodné období bylo na rozdíl od jiných zemí eurozóny jen krátkodobé a trvalo do 16. ledna 2009. </w:t>
      </w:r>
    </w:p>
    <w:p w:rsidR="00712E44" w:rsidRDefault="00712E44" w:rsidP="00DD55D3">
      <w:pPr>
        <w:spacing w:line="360" w:lineRule="auto"/>
        <w:jc w:val="both"/>
      </w:pPr>
    </w:p>
    <w:p w:rsidR="00712E44" w:rsidRDefault="00712E44" w:rsidP="00DD55D3">
      <w:pPr>
        <w:spacing w:line="360" w:lineRule="auto"/>
        <w:jc w:val="both"/>
      </w:pPr>
      <w:r>
        <w:t xml:space="preserve">Pravidlem pro převod korunových hodnot na eura byl přepočet pouze prostřednictvím konverzního kurzu, stanoveným Radou EU. </w:t>
      </w:r>
    </w:p>
    <w:p w:rsidR="00712E44" w:rsidRDefault="00712E44" w:rsidP="00DD55D3">
      <w:pPr>
        <w:spacing w:line="360" w:lineRule="auto"/>
        <w:jc w:val="both"/>
      </w:pPr>
    </w:p>
    <w:p w:rsidR="00712E44" w:rsidRDefault="00712E44" w:rsidP="00DD55D3">
      <w:pPr>
        <w:spacing w:line="360" w:lineRule="auto"/>
        <w:jc w:val="both"/>
      </w:pPr>
      <w:r>
        <w:t xml:space="preserve">Zásada kontinuity kontraktů zajišťovala platnost všech smluv, které byly uzavřeny </w:t>
      </w:r>
      <w:r>
        <w:br/>
        <w:t>ve slovenských korunách. Po zavedení eura byly hodnoty přepočteny konverzním kurzem. Žádnou smlouvu nebylo možné vypovědět z důvodu zavedení eura.</w:t>
      </w:r>
    </w:p>
    <w:p w:rsidR="00712E44" w:rsidRDefault="00712E44" w:rsidP="00DD55D3">
      <w:pPr>
        <w:spacing w:line="360" w:lineRule="auto"/>
        <w:jc w:val="both"/>
      </w:pPr>
    </w:p>
    <w:p w:rsidR="00712E44" w:rsidRDefault="00712E44" w:rsidP="00DD55D3">
      <w:pPr>
        <w:spacing w:line="360" w:lineRule="auto"/>
        <w:jc w:val="both"/>
      </w:pPr>
      <w:r>
        <w:t xml:space="preserve">Pravidlo zaokrouhlování spočívá v přepočtu korunové hodnoty konverzním kurzem </w:t>
      </w:r>
      <w:r>
        <w:br/>
        <w:t>a zaokrouhlení na nejbližší eurocent. Konverze korunových hodnot na eura nesměla být zpoplatněná, ani z důvodu nákladů s ní spojených.</w:t>
      </w:r>
    </w:p>
    <w:p w:rsidR="00712E44" w:rsidRDefault="00712E44" w:rsidP="00DD55D3">
      <w:pPr>
        <w:spacing w:line="360" w:lineRule="auto"/>
        <w:jc w:val="both"/>
      </w:pPr>
    </w:p>
    <w:p w:rsidR="00712E44" w:rsidRDefault="00712E44" w:rsidP="00DD55D3">
      <w:pPr>
        <w:spacing w:line="360" w:lineRule="auto"/>
        <w:jc w:val="both"/>
      </w:pPr>
      <w:r>
        <w:t xml:space="preserve">Zásada nepoškození občana souvisí s přesnějším vymezením způsobu zaokrouhlování </w:t>
      </w:r>
      <w:r>
        <w:br/>
        <w:t xml:space="preserve">při platbách občanů, nebo občanům. V případě, že šlo o platby, které občané platili státu, zaokrouhlovalo se směrem dolů na celých 10 eurocentů. Při hrazení plateb, jež směřovaly </w:t>
      </w:r>
      <w:r>
        <w:br/>
        <w:t>od státu k občanům (sociální dávky, důchody apod.) se zaokrouhlovalo nahoru, také na celých 10 eurocentů.</w:t>
      </w:r>
    </w:p>
    <w:p w:rsidR="00712E44" w:rsidRDefault="00712E44" w:rsidP="00DD55D3">
      <w:pPr>
        <w:spacing w:line="360" w:lineRule="auto"/>
        <w:jc w:val="both"/>
      </w:pPr>
    </w:p>
    <w:p w:rsidR="00712E44" w:rsidRDefault="00712E44" w:rsidP="00DD55D3">
      <w:pPr>
        <w:spacing w:line="360" w:lineRule="auto"/>
        <w:jc w:val="both"/>
      </w:pPr>
      <w:r>
        <w:t>Zavedení eura nesmělo být zneužito ke zvyšování cen. Smyslem dodržení této zásady bylo zabránit inflačním účinkům zavedení eura a neopodstatněné vnímané inflaci obyvatelstva.</w:t>
      </w:r>
    </w:p>
    <w:p w:rsidR="00712E44" w:rsidRDefault="00712E44" w:rsidP="00DD55D3">
      <w:pPr>
        <w:spacing w:line="360" w:lineRule="auto"/>
        <w:jc w:val="both"/>
      </w:pPr>
    </w:p>
    <w:p w:rsidR="00712E44" w:rsidRDefault="00712E44" w:rsidP="00DD55D3">
      <w:pPr>
        <w:spacing w:line="360" w:lineRule="auto"/>
        <w:jc w:val="both"/>
      </w:pPr>
      <w:r>
        <w:t>Náklady, jež vznikly jednotlivým subjektům v souvislosti s přípravou zavedení eura, si hradil každý subjekt sám.</w:t>
      </w:r>
    </w:p>
    <w:p w:rsidR="00712E44" w:rsidRDefault="00712E44" w:rsidP="00DD55D3">
      <w:pPr>
        <w:spacing w:line="360" w:lineRule="auto"/>
        <w:jc w:val="both"/>
      </w:pPr>
    </w:p>
    <w:p w:rsidR="00712E44" w:rsidRDefault="00712E44" w:rsidP="00DD55D3">
      <w:pPr>
        <w:spacing w:line="360" w:lineRule="auto"/>
        <w:jc w:val="both"/>
      </w:pPr>
      <w:r>
        <w:t>Každý subjekt, včetně soukromého, byl zodpovědný za svou organizační přípravu přechodu na euro. Tímto vzniklé náklady nebyly kompenzovány z veřejných zdrojů.</w:t>
      </w:r>
    </w:p>
    <w:p w:rsidR="00712E44" w:rsidRPr="006756BB" w:rsidRDefault="00712E44" w:rsidP="00DD55D3">
      <w:pPr>
        <w:spacing w:line="360" w:lineRule="auto"/>
        <w:jc w:val="both"/>
        <w:rPr>
          <w:b/>
          <w:sz w:val="28"/>
          <w:szCs w:val="28"/>
        </w:rPr>
      </w:pPr>
    </w:p>
    <w:p w:rsidR="00712E44" w:rsidRPr="00BF18B9" w:rsidRDefault="00712E44" w:rsidP="00DD55D3">
      <w:pPr>
        <w:spacing w:line="360" w:lineRule="auto"/>
        <w:jc w:val="both"/>
      </w:pPr>
      <w:r>
        <w:rPr>
          <w:bCs/>
        </w:rPr>
        <w:lastRenderedPageBreak/>
        <w:t xml:space="preserve">Zavedení nové měny je upraveno v zákoně č. 659/2007 Z. z. z 28. listopadu 2007. Změny </w:t>
      </w:r>
      <w:r>
        <w:rPr>
          <w:bCs/>
        </w:rPr>
        <w:br/>
        <w:t xml:space="preserve">a doplnění některých zákonů, které plynou ze změn a doplňků vykonaných zákonem ve znění čl. IX zákona č. 70/2008 Z. z. a čl. IV zákona č. 270/2008 Z. z. Tento zákon mimo jiné řeší </w:t>
      </w:r>
      <w:r>
        <w:rPr>
          <w:bCs/>
        </w:rPr>
        <w:br/>
        <w:t>i způsoby duálního zobrazování cen.</w:t>
      </w:r>
      <w:r>
        <w:t xml:space="preserve"> Cílem duálního zobrazování bylo umožnit obyvatelům SR porovnávat, jestli hodnota cen zboží a služeb v eurech je totožná s původní cenou v Sk. Ceny zboží a služeb v Sk byly přepočteny stanoveným konverzním kurzem a povinně </w:t>
      </w:r>
      <w:r>
        <w:br/>
        <w:t xml:space="preserve">se uváděly až do konce roku 2009 současně v eurech i ve měně původní. Duální zobrazování bylo povinné již od 24. srpna 2008, tj. 30 dní po oficiálním vyhlášení konverzního kurzu v nařízení Úředního věstníku Evropské unie ze dne 24. července 2008. Duální zobrazování bylo doporučené, ale už dobrovolné ještě šest měsíců v roce 2010. </w:t>
      </w:r>
    </w:p>
    <w:p w:rsidR="00712E44" w:rsidRDefault="00712E44" w:rsidP="00DD55D3">
      <w:pPr>
        <w:spacing w:line="360" w:lineRule="auto"/>
        <w:jc w:val="both"/>
      </w:pPr>
    </w:p>
    <w:p w:rsidR="00712E44" w:rsidRDefault="00712E44" w:rsidP="00DD55D3">
      <w:pPr>
        <w:spacing w:line="360" w:lineRule="auto"/>
        <w:jc w:val="both"/>
      </w:pPr>
    </w:p>
    <w:p w:rsidR="00712E44" w:rsidRDefault="00712E44" w:rsidP="00DD55D3">
      <w:pPr>
        <w:widowControl/>
        <w:suppressAutoHyphens w:val="0"/>
        <w:spacing w:line="360" w:lineRule="auto"/>
        <w:jc w:val="both"/>
        <w:rPr>
          <w:rFonts w:eastAsia="Times New Roman"/>
          <w:b/>
          <w:kern w:val="0"/>
          <w:sz w:val="28"/>
          <w:szCs w:val="28"/>
          <w:lang w:eastAsia="cs-CZ"/>
        </w:rPr>
      </w:pPr>
      <w:bookmarkStart w:id="1" w:name="1"/>
      <w:bookmarkEnd w:id="1"/>
      <w:r>
        <w:rPr>
          <w:rFonts w:eastAsia="Times New Roman"/>
          <w:b/>
          <w:kern w:val="0"/>
          <w:sz w:val="28"/>
          <w:szCs w:val="28"/>
          <w:lang w:eastAsia="cs-CZ"/>
        </w:rPr>
        <w:t>3.5 Slovenské euromince a eurobankovky</w:t>
      </w:r>
    </w:p>
    <w:p w:rsidR="00712E44" w:rsidRPr="00B75767" w:rsidRDefault="00712E44" w:rsidP="00DD55D3">
      <w:pPr>
        <w:widowControl/>
        <w:suppressAutoHyphens w:val="0"/>
        <w:spacing w:line="360" w:lineRule="auto"/>
        <w:jc w:val="both"/>
        <w:rPr>
          <w:rFonts w:eastAsia="Times New Roman"/>
          <w:kern w:val="0"/>
          <w:lang w:eastAsia="cs-CZ"/>
        </w:rPr>
      </w:pPr>
    </w:p>
    <w:p w:rsidR="00712E44" w:rsidRPr="00C20034" w:rsidRDefault="00712E44" w:rsidP="00DD55D3">
      <w:pPr>
        <w:widowControl/>
        <w:suppressAutoHyphens w:val="0"/>
        <w:spacing w:line="360" w:lineRule="auto"/>
        <w:jc w:val="both"/>
        <w:rPr>
          <w:rFonts w:eastAsia="Times New Roman"/>
          <w:kern w:val="0"/>
          <w:lang w:eastAsia="cs-CZ"/>
        </w:rPr>
      </w:pPr>
      <w:r>
        <w:rPr>
          <w:rFonts w:eastAsia="Times New Roman"/>
          <w:kern w:val="0"/>
          <w:lang w:eastAsia="cs-CZ"/>
        </w:rPr>
        <w:t>Jedním z hlavních symbolů eurozóny jsou eurobankovky a euromince. Každá členská země má možnost razit euromince s vlastním národním motivem na rubové straně. Eurobankovky jsou ve všech zemích eurozóny stejné.</w:t>
      </w:r>
    </w:p>
    <w:p w:rsidR="00712E44" w:rsidRDefault="00712E44" w:rsidP="00DD55D3">
      <w:pPr>
        <w:pStyle w:val="Normlnweb"/>
        <w:spacing w:line="360" w:lineRule="auto"/>
        <w:jc w:val="both"/>
        <w:rPr>
          <w:rFonts w:eastAsia="Times New Roman"/>
          <w:kern w:val="0"/>
          <w:lang w:eastAsia="cs-CZ"/>
        </w:rPr>
      </w:pPr>
      <w:r>
        <w:rPr>
          <w:rFonts w:eastAsia="Times New Roman"/>
          <w:kern w:val="0"/>
          <w:lang w:eastAsia="cs-CZ"/>
        </w:rPr>
        <w:t>Euromincí je osm. První slovenské e</w:t>
      </w:r>
      <w:r w:rsidRPr="00BB1D11">
        <w:rPr>
          <w:rFonts w:eastAsia="Times New Roman"/>
          <w:kern w:val="0"/>
          <w:lang w:eastAsia="cs-CZ"/>
        </w:rPr>
        <w:t>uro</w:t>
      </w:r>
      <w:r>
        <w:rPr>
          <w:rFonts w:eastAsia="Times New Roman"/>
          <w:kern w:val="0"/>
          <w:lang w:eastAsia="cs-CZ"/>
        </w:rPr>
        <w:t>mince (viz Příloha B) se začaly razit v Mincovně v Kremnici již 135 dní před vstupem Slovenska do eurozóny, což bylo 19. srpna 2008</w:t>
      </w:r>
      <w:r w:rsidRPr="00BB1D11">
        <w:rPr>
          <w:rFonts w:eastAsia="Times New Roman"/>
          <w:kern w:val="0"/>
          <w:lang w:eastAsia="cs-CZ"/>
        </w:rPr>
        <w:t xml:space="preserve">. </w:t>
      </w:r>
      <w:r>
        <w:rPr>
          <w:rFonts w:eastAsia="Times New Roman"/>
          <w:kern w:val="0"/>
          <w:lang w:eastAsia="cs-CZ"/>
        </w:rPr>
        <w:t xml:space="preserve">Mají tři motivy. Erbové znamení státního znaku SR (dvojkříž na trojvrší), Bratislavský hrad </w:t>
      </w:r>
      <w:r>
        <w:rPr>
          <w:rFonts w:eastAsia="Times New Roman"/>
          <w:kern w:val="0"/>
          <w:lang w:eastAsia="cs-CZ"/>
        </w:rPr>
        <w:br/>
        <w:t xml:space="preserve">a tatranský štít Kriváň. </w:t>
      </w:r>
      <w:r w:rsidRPr="00BB1D11">
        <w:rPr>
          <w:rFonts w:eastAsia="Times New Roman"/>
          <w:kern w:val="0"/>
          <w:lang w:eastAsia="cs-CZ"/>
        </w:rPr>
        <w:t>Slovenské e</w:t>
      </w:r>
      <w:r>
        <w:rPr>
          <w:rFonts w:eastAsia="Times New Roman"/>
          <w:kern w:val="0"/>
          <w:lang w:eastAsia="cs-CZ"/>
        </w:rPr>
        <w:t>u</w:t>
      </w:r>
      <w:r w:rsidRPr="00BB1D11">
        <w:rPr>
          <w:rFonts w:eastAsia="Times New Roman"/>
          <w:kern w:val="0"/>
          <w:lang w:eastAsia="cs-CZ"/>
        </w:rPr>
        <w:t xml:space="preserve">rové mince jsou platné ve všech zemích eurozóny </w:t>
      </w:r>
      <w:r>
        <w:rPr>
          <w:rFonts w:eastAsia="Times New Roman"/>
          <w:kern w:val="0"/>
          <w:lang w:eastAsia="cs-CZ"/>
        </w:rPr>
        <w:br/>
        <w:t>a eurové mince členských států</w:t>
      </w:r>
      <w:r w:rsidRPr="00BB1D11">
        <w:rPr>
          <w:rFonts w:eastAsia="Times New Roman"/>
          <w:kern w:val="0"/>
          <w:lang w:eastAsia="cs-CZ"/>
        </w:rPr>
        <w:t xml:space="preserve"> eurozóny jsou platným oběživem na Slovensku.</w:t>
      </w:r>
      <w:r>
        <w:rPr>
          <w:rFonts w:eastAsia="Times New Roman"/>
          <w:kern w:val="0"/>
          <w:lang w:eastAsia="cs-CZ"/>
        </w:rPr>
        <w:t xml:space="preserve"> </w:t>
      </w:r>
    </w:p>
    <w:p w:rsidR="00712E44" w:rsidRPr="00BF18B9" w:rsidRDefault="00712E44" w:rsidP="00DD55D3">
      <w:pPr>
        <w:pStyle w:val="Normlnweb"/>
        <w:spacing w:line="360" w:lineRule="auto"/>
        <w:jc w:val="both"/>
        <w:rPr>
          <w:rFonts w:eastAsia="Times New Roman"/>
          <w:kern w:val="0"/>
          <w:lang w:eastAsia="cs-CZ"/>
        </w:rPr>
      </w:pPr>
      <w:r w:rsidRPr="00BF18B9">
        <w:rPr>
          <w:rFonts w:eastAsia="Times New Roman"/>
          <w:kern w:val="0"/>
          <w:lang w:eastAsia="cs-CZ"/>
        </w:rPr>
        <w:t>Počet eurobankovek</w:t>
      </w:r>
      <w:r>
        <w:rPr>
          <w:rFonts w:eastAsia="Times New Roman"/>
          <w:kern w:val="0"/>
          <w:lang w:eastAsia="cs-CZ"/>
        </w:rPr>
        <w:t xml:space="preserve"> (viz Příloha C)</w:t>
      </w:r>
      <w:r w:rsidRPr="00BF18B9">
        <w:rPr>
          <w:rFonts w:eastAsia="Times New Roman"/>
          <w:kern w:val="0"/>
          <w:lang w:eastAsia="cs-CZ"/>
        </w:rPr>
        <w:t xml:space="preserve"> je celkem sedm. Každá z těchto bankovek je nositelem jistých prvků některého z architektonických styl</w:t>
      </w:r>
      <w:r>
        <w:rPr>
          <w:rFonts w:eastAsia="Times New Roman"/>
          <w:kern w:val="0"/>
          <w:lang w:eastAsia="cs-CZ"/>
        </w:rPr>
        <w:t>ů. Tematicky tyto slohy znázorňují</w:t>
      </w:r>
      <w:r w:rsidRPr="00BF18B9">
        <w:rPr>
          <w:rFonts w:eastAsia="Times New Roman"/>
          <w:kern w:val="0"/>
          <w:lang w:eastAsia="cs-CZ"/>
        </w:rPr>
        <w:t xml:space="preserve"> prostřednictvím znaků oken, br</w:t>
      </w:r>
      <w:r>
        <w:rPr>
          <w:rFonts w:eastAsia="Times New Roman"/>
          <w:kern w:val="0"/>
          <w:lang w:eastAsia="cs-CZ"/>
        </w:rPr>
        <w:t>a</w:t>
      </w:r>
      <w:r w:rsidRPr="00BF18B9">
        <w:rPr>
          <w:rFonts w:eastAsia="Times New Roman"/>
          <w:kern w:val="0"/>
          <w:lang w:eastAsia="cs-CZ"/>
        </w:rPr>
        <w:t xml:space="preserve">n a mostů symboly evropského ducha otevřenosti </w:t>
      </w:r>
      <w:r>
        <w:rPr>
          <w:rFonts w:eastAsia="Times New Roman"/>
          <w:kern w:val="0"/>
          <w:lang w:eastAsia="cs-CZ"/>
        </w:rPr>
        <w:br/>
      </w:r>
      <w:r w:rsidRPr="00BF18B9">
        <w:rPr>
          <w:rFonts w:eastAsia="Times New Roman"/>
          <w:kern w:val="0"/>
          <w:lang w:eastAsia="cs-CZ"/>
        </w:rPr>
        <w:t xml:space="preserve">a spolupráce. Přední strana bankovek zobrazuje vlajku Evropské unie. Jak již bylo </w:t>
      </w:r>
      <w:r>
        <w:rPr>
          <w:rFonts w:eastAsia="Times New Roman"/>
          <w:kern w:val="0"/>
          <w:lang w:eastAsia="cs-CZ"/>
        </w:rPr>
        <w:t>zmíně</w:t>
      </w:r>
      <w:r w:rsidRPr="00BF18B9">
        <w:rPr>
          <w:rFonts w:eastAsia="Times New Roman"/>
          <w:kern w:val="0"/>
          <w:lang w:eastAsia="cs-CZ"/>
        </w:rPr>
        <w:t xml:space="preserve">no, dvanáct hvězd představuje dynamiku a harmonii současné Evropy. </w:t>
      </w:r>
    </w:p>
    <w:p w:rsidR="00712E44" w:rsidRPr="00BF18B9" w:rsidRDefault="00712E44" w:rsidP="00DD55D3">
      <w:pPr>
        <w:widowControl/>
        <w:suppressAutoHyphens w:val="0"/>
        <w:spacing w:before="100" w:beforeAutospacing="1" w:after="240" w:line="360" w:lineRule="auto"/>
        <w:jc w:val="both"/>
        <w:rPr>
          <w:rFonts w:eastAsia="Times New Roman"/>
          <w:kern w:val="0"/>
          <w:lang w:eastAsia="cs-CZ"/>
        </w:rPr>
      </w:pPr>
      <w:r w:rsidRPr="00BF18B9">
        <w:rPr>
          <w:rFonts w:eastAsia="Times New Roman"/>
          <w:kern w:val="0"/>
          <w:lang w:eastAsia="cs-CZ"/>
        </w:rPr>
        <w:t>Eurové bankovky mají své ochranné prvky, které zajišťují jistotu při ověřování jejich pravosti.</w:t>
      </w:r>
      <w:r>
        <w:rPr>
          <w:rFonts w:eastAsia="Times New Roman"/>
          <w:kern w:val="0"/>
          <w:lang w:eastAsia="cs-CZ"/>
        </w:rPr>
        <w:t xml:space="preserve"> Jedná se o</w:t>
      </w:r>
      <w:r>
        <w:t xml:space="preserve"> sedm ochranných znaků, kterými jsou vodoznak, hlubotisk, ochranný proužek, soutisková značka, fólie s hologramem, iridiscentní pruh a opticky proměnlivá barva.</w:t>
      </w:r>
    </w:p>
    <w:p w:rsidR="00712E44" w:rsidRDefault="00712E44" w:rsidP="00C535FC">
      <w:pPr>
        <w:spacing w:line="360" w:lineRule="auto"/>
        <w:jc w:val="both"/>
        <w:rPr>
          <w:b/>
          <w:bCs/>
          <w:sz w:val="32"/>
          <w:szCs w:val="32"/>
        </w:rPr>
      </w:pPr>
      <w:r w:rsidRPr="0098203D">
        <w:rPr>
          <w:b/>
          <w:bCs/>
          <w:sz w:val="32"/>
          <w:szCs w:val="32"/>
        </w:rPr>
        <w:lastRenderedPageBreak/>
        <w:t>4 Dosavadní přínosy a náklady zavedení eura na Slovensku</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Zavedení druhé nejsilnější světové měny na Slovensku má své kladné, ale také záporné stránky. V poslední době je často rozebíranou otázkou stabilita eura, a to konkrétně v souvislosti s rozpočtovou nekázní některých zemí eurozóny. Z tohoto důvodu je úvodní část čtvrté kapitoly věnovaná způsobům zajištění stability eura a Evropské měnové unie.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Další subkapitoly jsou zaměřeny už na podstatu čtvrté kapitoly - na dosavadní přínosy </w:t>
      </w:r>
      <w:r>
        <w:rPr>
          <w:bCs/>
        </w:rPr>
        <w:br/>
        <w:t xml:space="preserve">a náklady zavedení eura a jejich vliv na slovenskou ekonomiku.   </w:t>
      </w:r>
    </w:p>
    <w:p w:rsidR="00712E44" w:rsidRDefault="00712E44" w:rsidP="00C535FC">
      <w:pPr>
        <w:spacing w:line="360" w:lineRule="auto"/>
        <w:jc w:val="both"/>
        <w:rPr>
          <w:bCs/>
        </w:rPr>
      </w:pPr>
    </w:p>
    <w:p w:rsidR="00712E44" w:rsidRDefault="00712E44" w:rsidP="00C535FC">
      <w:pPr>
        <w:spacing w:line="360" w:lineRule="auto"/>
        <w:jc w:val="both"/>
      </w:pPr>
      <w:r>
        <w:t xml:space="preserve">Hlavním cílem čtvrté kapitoly práce je popsat a vyhodnotit výhody a nevýhody zavedení nové měny a míru přínosů a nákladů, které se projevily během prvních dvou let od jejího přijetí </w:t>
      </w:r>
      <w:r>
        <w:br/>
        <w:t xml:space="preserve">za zákonné platidlo.  </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Pr>
          <w:b/>
          <w:bCs/>
          <w:sz w:val="28"/>
          <w:szCs w:val="28"/>
        </w:rPr>
        <w:t>4.1 Stabilita a síla eura</w:t>
      </w:r>
    </w:p>
    <w:p w:rsidR="00712E44" w:rsidRPr="00830527" w:rsidRDefault="00712E44" w:rsidP="00C535FC">
      <w:pPr>
        <w:spacing w:line="360" w:lineRule="auto"/>
        <w:jc w:val="both"/>
        <w:rPr>
          <w:bCs/>
        </w:rPr>
      </w:pPr>
    </w:p>
    <w:p w:rsidR="00712E44" w:rsidRDefault="00712E44" w:rsidP="00C535FC">
      <w:pPr>
        <w:spacing w:line="360" w:lineRule="auto"/>
        <w:jc w:val="both"/>
        <w:rPr>
          <w:bCs/>
        </w:rPr>
      </w:pPr>
      <w:r>
        <w:rPr>
          <w:bCs/>
        </w:rPr>
        <w:t xml:space="preserve">Jedním z nejdůležitějších důvodů vytvoření eura bylo, že jednotná měna nabízí mnoho výhod a přínosů, než v době, kdy měl každý ze členů eurozóny vlastní měnu. Jedná se o silnou </w:t>
      </w:r>
      <w:r>
        <w:rPr>
          <w:bCs/>
        </w:rPr>
        <w:br/>
        <w:t xml:space="preserve">a stabilní měnu, a to především díky tomu, že euro posílilo jednotný trh a přineslo užší spolupráci mezi členskými zeměmi. Společná koordinace zajišťování stability měny </w:t>
      </w:r>
      <w:r>
        <w:rPr>
          <w:bCs/>
        </w:rPr>
        <w:br/>
        <w:t xml:space="preserve">a hospodářství může být přínosem pro všechny. Euro přináší nové příležitosti </w:t>
      </w:r>
      <w:r>
        <w:rPr>
          <w:bCs/>
        </w:rPr>
        <w:br/>
        <w:t xml:space="preserve">i v celosvětové ekonomice, protože činí eurozónu přitažlivější k podnikání pro třetí země. Tím tato silná a stabilní měna podporuje obchod a investice. Díky své síle, stabilitě a velikosti je eurozóna odolnější vůči vnějším hospodářským změnám a otřesům, které narušují jednotlivé národní ekonomiky, jde např. o nepokoje na celosvětových měnových trzích nebo růst cen ropy ve světě. Je způsobilejší těmto vnějším otřesům čelit, aniž by docházelo k úbytku pracovních příležitostí a snižování ekonomického růstu.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Hospodářské stability a ekonomického růstu plynoucích ze členství v eurozóně lze však dosahovat jen řádným řízením hospodářství eurozóny, a to:</w:t>
      </w:r>
    </w:p>
    <w:p w:rsidR="00712E44" w:rsidRDefault="00712E44" w:rsidP="00C535FC">
      <w:pPr>
        <w:pStyle w:val="Odstavecseseznamem"/>
        <w:numPr>
          <w:ilvl w:val="0"/>
          <w:numId w:val="13"/>
        </w:numPr>
        <w:spacing w:line="360" w:lineRule="auto"/>
        <w:jc w:val="both"/>
        <w:rPr>
          <w:bCs/>
        </w:rPr>
      </w:pPr>
      <w:r w:rsidRPr="003B6DB5">
        <w:rPr>
          <w:bCs/>
        </w:rPr>
        <w:t>dodržováním pravidel Paktu o stabilitě a růstu</w:t>
      </w:r>
      <w:r>
        <w:rPr>
          <w:bCs/>
        </w:rPr>
        <w:t>,</w:t>
      </w:r>
    </w:p>
    <w:p w:rsidR="00712E44" w:rsidRDefault="00712E44" w:rsidP="00C535FC">
      <w:pPr>
        <w:pStyle w:val="Odstavecseseznamem"/>
        <w:numPr>
          <w:ilvl w:val="0"/>
          <w:numId w:val="13"/>
        </w:numPr>
        <w:spacing w:line="360" w:lineRule="auto"/>
        <w:jc w:val="both"/>
        <w:rPr>
          <w:bCs/>
        </w:rPr>
      </w:pPr>
      <w:r w:rsidRPr="003B6DB5">
        <w:rPr>
          <w:bCs/>
        </w:rPr>
        <w:lastRenderedPageBreak/>
        <w:t>posílením koo</w:t>
      </w:r>
      <w:r>
        <w:rPr>
          <w:bCs/>
        </w:rPr>
        <w:t>rdinace hospodářských politik členských zemí eurozóny,</w:t>
      </w:r>
    </w:p>
    <w:p w:rsidR="00712E44" w:rsidRDefault="00712E44" w:rsidP="00C535FC">
      <w:pPr>
        <w:pStyle w:val="Odstavecseseznamem"/>
        <w:numPr>
          <w:ilvl w:val="0"/>
          <w:numId w:val="13"/>
        </w:numPr>
        <w:spacing w:line="360" w:lineRule="auto"/>
        <w:jc w:val="both"/>
        <w:rPr>
          <w:bCs/>
        </w:rPr>
      </w:pPr>
      <w:r>
        <w:rPr>
          <w:bCs/>
        </w:rPr>
        <w:t>posílením mezinárodního postavení eurozóny,</w:t>
      </w:r>
    </w:p>
    <w:p w:rsidR="00712E44" w:rsidRDefault="00712E44" w:rsidP="00C535FC">
      <w:pPr>
        <w:pStyle w:val="Odstavecseseznamem"/>
        <w:numPr>
          <w:ilvl w:val="0"/>
          <w:numId w:val="13"/>
        </w:numPr>
        <w:spacing w:line="360" w:lineRule="auto"/>
        <w:jc w:val="both"/>
        <w:rPr>
          <w:bCs/>
        </w:rPr>
      </w:pPr>
      <w:r>
        <w:rPr>
          <w:bCs/>
        </w:rPr>
        <w:t>zabezpečením udržitelnosti veřejných financí a zlepšením jejich kvality</w:t>
      </w:r>
      <w:r w:rsidRPr="003B6DB5">
        <w:rPr>
          <w:bCs/>
        </w:rPr>
        <w:t>.</w:t>
      </w:r>
    </w:p>
    <w:p w:rsidR="00712E44" w:rsidRDefault="00712E44" w:rsidP="00C535FC">
      <w:pPr>
        <w:spacing w:line="360" w:lineRule="auto"/>
        <w:jc w:val="both"/>
        <w:rPr>
          <w:bCs/>
        </w:rPr>
      </w:pPr>
      <w:r w:rsidRPr="003B6DB5">
        <w:rPr>
          <w:bCs/>
        </w:rPr>
        <w:t>Euro představuje hlavní mechanizmus ke zvyšování přínosů politické spolupráce, obchodní politiky a především jednotného trhu.</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I když se v současné době pořád řeší nedodržování fiskální disciplíny některých členů eurozóny, konkrétně Řecka, Irska a Portugalska, tvrzení z první kapitoly, že euro přinese Slovenské republice silnou a stabilní měnu, lze potvrdit. V současné době si pořád drží druhou příčku ve světě.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Především na základě vzniklých finančních potíží v Řecku byla eurozóna nucena založit Evropský nástroj finanční stability (EFSF). EFSF vznikl dne 9. května 2010 rozhodnutím </w:t>
      </w:r>
      <w:r>
        <w:rPr>
          <w:bCs/>
        </w:rPr>
        <w:br/>
        <w:t xml:space="preserve">16 členských zemí eurozóny, a to na dobu tří let. Sídlí v Lucemburku. Hlavním cílem této instituce je chránit finanční stabilitu evropské měnové unie. Jejím úkolem je poskytovat dočasnou finanční pomoc členům eurozóny, jež se dostanou do finančních problémů. Z prostředků získaných emisemi obligací a jiných dluhových instrumentů na kapitálovém trhu, které jsou garantovány až do výše 440 mld. eur členskými zeměmi eurozóny, poskytuje půjčky zemím s finančními potížemi.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Pro zajištění evropské stability je k dispozici i tzv. Evropský mechanismus finanční stabilizace (EFSM). Tento stabilizační mechanismus dává právo Evropské komisi mobilizovat finanční prostředky až do výše 60 mld. eur, a to se zárukou rozpočtu EU. Čerpání této finanční pomoci je určeno pro všechny členské země EU. Mezinárodní měnový fond rovněž přislíbil přispět částkou 250 mld. eur. Výše tzv. eurovalu na podporu finanční stability tímto dosahuje 750 mld. eur.</w:t>
      </w:r>
      <w:r>
        <w:rPr>
          <w:rStyle w:val="Znakapoznpodarou"/>
          <w:bCs/>
        </w:rPr>
        <w:footnoteReference w:id="29"/>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Jak je vidět, evropská měnová unie má snahu udržet finanční stabilitu svých členů </w:t>
      </w:r>
      <w:r>
        <w:rPr>
          <w:bCs/>
        </w:rPr>
        <w:br/>
        <w:t>a podstupuje veškeré možné kroky pro její zajištění. Tato podpora je v konečném důsledku důležitá i pro udržitelnost stability a síly eura.</w:t>
      </w:r>
    </w:p>
    <w:p w:rsidR="00712E44" w:rsidRDefault="00712E44" w:rsidP="00C535FC">
      <w:pPr>
        <w:spacing w:line="360" w:lineRule="auto"/>
        <w:jc w:val="both"/>
        <w:rPr>
          <w:bCs/>
        </w:rPr>
      </w:pPr>
    </w:p>
    <w:p w:rsidR="00712E44" w:rsidRDefault="00712E44" w:rsidP="00C535FC">
      <w:pPr>
        <w:spacing w:line="360" w:lineRule="auto"/>
        <w:jc w:val="both"/>
        <w:rPr>
          <w:b/>
          <w:bCs/>
          <w:sz w:val="28"/>
          <w:szCs w:val="28"/>
        </w:rPr>
      </w:pPr>
    </w:p>
    <w:p w:rsidR="00712E44" w:rsidRDefault="00712E44" w:rsidP="00C535FC">
      <w:pPr>
        <w:spacing w:line="360" w:lineRule="auto"/>
        <w:jc w:val="both"/>
        <w:rPr>
          <w:bCs/>
        </w:rPr>
      </w:pPr>
      <w:r>
        <w:rPr>
          <w:b/>
          <w:bCs/>
          <w:sz w:val="28"/>
          <w:szCs w:val="28"/>
        </w:rPr>
        <w:lastRenderedPageBreak/>
        <w:t>4.2 Výhody a p</w:t>
      </w:r>
      <w:r w:rsidRPr="00891749">
        <w:rPr>
          <w:b/>
          <w:bCs/>
          <w:sz w:val="28"/>
          <w:szCs w:val="28"/>
        </w:rPr>
        <w:t xml:space="preserve">řínosy </w:t>
      </w:r>
      <w:r>
        <w:rPr>
          <w:b/>
          <w:bCs/>
          <w:sz w:val="28"/>
          <w:szCs w:val="28"/>
        </w:rPr>
        <w:t xml:space="preserve">zavedení </w:t>
      </w:r>
      <w:r w:rsidRPr="00891749">
        <w:rPr>
          <w:b/>
          <w:bCs/>
          <w:sz w:val="28"/>
          <w:szCs w:val="28"/>
        </w:rPr>
        <w:t>eura</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Mezi nejpodstatnější faktory v rovině mikroekonomické, jež působí na velikost potenciálních přínosů, patří:</w:t>
      </w:r>
    </w:p>
    <w:p w:rsidR="00712E44" w:rsidRDefault="00712E44" w:rsidP="00C535FC">
      <w:pPr>
        <w:pStyle w:val="Odstavecseseznamem"/>
        <w:numPr>
          <w:ilvl w:val="0"/>
          <w:numId w:val="13"/>
        </w:numPr>
        <w:spacing w:line="360" w:lineRule="auto"/>
        <w:jc w:val="both"/>
        <w:rPr>
          <w:bCs/>
        </w:rPr>
      </w:pPr>
      <w:r>
        <w:rPr>
          <w:bCs/>
        </w:rPr>
        <w:t>odstranění transakčních nákladů spojených s existencí</w:t>
      </w:r>
      <w:r w:rsidRPr="006946FB">
        <w:rPr>
          <w:bCs/>
        </w:rPr>
        <w:t xml:space="preserve"> </w:t>
      </w:r>
      <w:r>
        <w:rPr>
          <w:bCs/>
        </w:rPr>
        <w:t>národních měn,</w:t>
      </w:r>
    </w:p>
    <w:p w:rsidR="00712E44" w:rsidRDefault="00712E44" w:rsidP="00C535FC">
      <w:pPr>
        <w:pStyle w:val="Odstavecseseznamem"/>
        <w:numPr>
          <w:ilvl w:val="0"/>
          <w:numId w:val="13"/>
        </w:numPr>
        <w:spacing w:line="360" w:lineRule="auto"/>
        <w:jc w:val="both"/>
        <w:rPr>
          <w:bCs/>
        </w:rPr>
      </w:pPr>
      <w:r>
        <w:rPr>
          <w:bCs/>
        </w:rPr>
        <w:t>snížení nejistoty spojené s neočekávanými změnami měnových kurzů.</w:t>
      </w:r>
    </w:p>
    <w:p w:rsidR="00712E44" w:rsidRDefault="00712E44" w:rsidP="00C535FC">
      <w:pPr>
        <w:spacing w:line="360" w:lineRule="auto"/>
        <w:jc w:val="both"/>
        <w:rPr>
          <w:bCs/>
        </w:rPr>
      </w:pPr>
      <w:r>
        <w:rPr>
          <w:bCs/>
        </w:rPr>
        <w:t xml:space="preserve">Z výše uvedených faktorů plyne, že hlavními sektory, pro které mají přínosy největší význam, jsou obyvatelé členských zemí Eurozóny a podnikatelské subjekty působící na jednotném vnitřním trhu.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Z hlediska roviny makroekonomické společná měna může dosáhnout:</w:t>
      </w:r>
    </w:p>
    <w:p w:rsidR="00712E44" w:rsidRDefault="00712E44" w:rsidP="00C535FC">
      <w:pPr>
        <w:pStyle w:val="Odstavecseseznamem"/>
        <w:numPr>
          <w:ilvl w:val="0"/>
          <w:numId w:val="13"/>
        </w:numPr>
        <w:spacing w:line="360" w:lineRule="auto"/>
        <w:jc w:val="both"/>
        <w:rPr>
          <w:bCs/>
        </w:rPr>
      </w:pPr>
      <w:r>
        <w:rPr>
          <w:bCs/>
        </w:rPr>
        <w:t>zvýšený příliv přímých zahraničních investic,</w:t>
      </w:r>
    </w:p>
    <w:p w:rsidR="00712E44" w:rsidRDefault="00712E44" w:rsidP="00C535FC">
      <w:pPr>
        <w:pStyle w:val="Odstavecseseznamem"/>
        <w:numPr>
          <w:ilvl w:val="0"/>
          <w:numId w:val="13"/>
        </w:numPr>
        <w:spacing w:line="360" w:lineRule="auto"/>
        <w:jc w:val="both"/>
        <w:rPr>
          <w:bCs/>
        </w:rPr>
      </w:pPr>
      <w:r>
        <w:rPr>
          <w:bCs/>
        </w:rPr>
        <w:t>vyšší dynamiku ekonomického růstu,</w:t>
      </w:r>
    </w:p>
    <w:p w:rsidR="00712E44" w:rsidRDefault="00712E44" w:rsidP="00C535FC">
      <w:pPr>
        <w:pStyle w:val="Odstavecseseznamem"/>
        <w:numPr>
          <w:ilvl w:val="0"/>
          <w:numId w:val="13"/>
        </w:numPr>
        <w:spacing w:line="360" w:lineRule="auto"/>
        <w:jc w:val="both"/>
        <w:rPr>
          <w:bCs/>
        </w:rPr>
      </w:pPr>
      <w:r>
        <w:rPr>
          <w:bCs/>
        </w:rPr>
        <w:t>růst vzájemné obchodní výměny.</w:t>
      </w:r>
    </w:p>
    <w:p w:rsidR="00712E44" w:rsidRDefault="00712E44" w:rsidP="00C535FC">
      <w:pPr>
        <w:spacing w:line="360" w:lineRule="auto"/>
        <w:jc w:val="both"/>
        <w:rPr>
          <w:bCs/>
        </w:rPr>
      </w:pPr>
      <w:r>
        <w:rPr>
          <w:bCs/>
        </w:rPr>
        <w:t xml:space="preserve">Tyto přínosy jsou však těžko kvantifikovatelné.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Jelikož lze konstatovat, že jsou přínosy na mikro- a makro- úrovni úzce propojeny, je možné je dle Mongelliho teorie (2002) rozčlenit na tři skupiny:</w:t>
      </w:r>
    </w:p>
    <w:p w:rsidR="00712E44" w:rsidRDefault="00712E44" w:rsidP="00C535FC">
      <w:pPr>
        <w:pStyle w:val="Odstavecseseznamem"/>
        <w:numPr>
          <w:ilvl w:val="0"/>
          <w:numId w:val="13"/>
        </w:numPr>
        <w:spacing w:line="360" w:lineRule="auto"/>
        <w:jc w:val="both"/>
        <w:rPr>
          <w:bCs/>
        </w:rPr>
      </w:pPr>
      <w:r>
        <w:rPr>
          <w:bCs/>
        </w:rPr>
        <w:t>přínosy ze zvýšené efektivity v mikroekonomické sféře,</w:t>
      </w:r>
    </w:p>
    <w:p w:rsidR="00712E44" w:rsidRDefault="00712E44" w:rsidP="00C535FC">
      <w:pPr>
        <w:pStyle w:val="Odstavecseseznamem"/>
        <w:numPr>
          <w:ilvl w:val="0"/>
          <w:numId w:val="13"/>
        </w:numPr>
        <w:spacing w:line="360" w:lineRule="auto"/>
        <w:jc w:val="both"/>
        <w:rPr>
          <w:bCs/>
        </w:rPr>
      </w:pPr>
      <w:r>
        <w:rPr>
          <w:bCs/>
        </w:rPr>
        <w:t>přínosy ze zvýšené makroekonomické stability a rovněž i výkonnosti ekonomiky,</w:t>
      </w:r>
    </w:p>
    <w:p w:rsidR="00712E44" w:rsidRDefault="00712E44" w:rsidP="00C535FC">
      <w:pPr>
        <w:pStyle w:val="Odstavecseseznamem"/>
        <w:numPr>
          <w:ilvl w:val="0"/>
          <w:numId w:val="13"/>
        </w:numPr>
        <w:spacing w:line="360" w:lineRule="auto"/>
        <w:jc w:val="both"/>
        <w:rPr>
          <w:bCs/>
        </w:rPr>
      </w:pPr>
      <w:r w:rsidRPr="006D5222">
        <w:rPr>
          <w:bCs/>
        </w:rPr>
        <w:t xml:space="preserve">přínosy z pozitivních </w:t>
      </w:r>
      <w:r>
        <w:rPr>
          <w:bCs/>
        </w:rPr>
        <w:t>externích efektů, což je např. posílení role společné měny jako mezinárodní platební jednotky.</w:t>
      </w:r>
      <w:r>
        <w:rPr>
          <w:rStyle w:val="Znakapoznpodarou"/>
          <w:bCs/>
        </w:rPr>
        <w:footnoteReference w:id="30"/>
      </w:r>
    </w:p>
    <w:p w:rsidR="00712E44" w:rsidRPr="006D5222"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4.3 Přímé výhody a nepřímé přínosy zavedení eura</w:t>
      </w:r>
    </w:p>
    <w:p w:rsidR="00712E44" w:rsidRDefault="00712E44" w:rsidP="00C535FC">
      <w:pPr>
        <w:spacing w:line="360" w:lineRule="auto"/>
        <w:jc w:val="both"/>
        <w:rPr>
          <w:bCs/>
        </w:rPr>
      </w:pPr>
    </w:p>
    <w:p w:rsidR="00712E44" w:rsidRPr="003F227D" w:rsidRDefault="00712E44" w:rsidP="00C535FC">
      <w:pPr>
        <w:spacing w:line="360" w:lineRule="auto"/>
        <w:jc w:val="both"/>
        <w:rPr>
          <w:bCs/>
        </w:rPr>
      </w:pPr>
      <w:r>
        <w:rPr>
          <w:bCs/>
        </w:rPr>
        <w:t xml:space="preserve">Studie Národní banky Slovenska </w:t>
      </w:r>
      <w:r w:rsidRPr="007C16C9">
        <w:rPr>
          <w:bCs/>
          <w:i/>
        </w:rPr>
        <w:t>Vplyv zavedenia eura na slovenské hospod</w:t>
      </w:r>
      <w:r w:rsidRPr="000E3553">
        <w:rPr>
          <w:bCs/>
          <w:i/>
        </w:rPr>
        <w:t>árstvo</w:t>
      </w:r>
      <w:r>
        <w:rPr>
          <w:bCs/>
        </w:rPr>
        <w:t xml:space="preserve"> uvádí následující přímé výhody zavedení eura:</w:t>
      </w:r>
    </w:p>
    <w:p w:rsidR="00712E44" w:rsidRDefault="00712E44" w:rsidP="00C535FC">
      <w:pPr>
        <w:pStyle w:val="Odstavecseseznamem"/>
        <w:numPr>
          <w:ilvl w:val="0"/>
          <w:numId w:val="14"/>
        </w:numPr>
        <w:spacing w:line="360" w:lineRule="auto"/>
        <w:jc w:val="both"/>
        <w:rPr>
          <w:bCs/>
        </w:rPr>
      </w:pPr>
      <w:r>
        <w:rPr>
          <w:bCs/>
        </w:rPr>
        <w:t>eliminace transakčních nákladů při eurových transakcích,</w:t>
      </w:r>
    </w:p>
    <w:p w:rsidR="00712E44" w:rsidRDefault="00712E44" w:rsidP="00C535FC">
      <w:pPr>
        <w:pStyle w:val="Odstavecseseznamem"/>
        <w:numPr>
          <w:ilvl w:val="0"/>
          <w:numId w:val="14"/>
        </w:numPr>
        <w:spacing w:line="360" w:lineRule="auto"/>
        <w:jc w:val="both"/>
        <w:rPr>
          <w:bCs/>
        </w:rPr>
      </w:pPr>
      <w:r>
        <w:rPr>
          <w:bCs/>
        </w:rPr>
        <w:t xml:space="preserve">eliminace transakčních nákladů v účetnictví a administrativě, </w:t>
      </w:r>
    </w:p>
    <w:p w:rsidR="00712E44" w:rsidRDefault="00712E44" w:rsidP="00C535FC">
      <w:pPr>
        <w:pStyle w:val="Odstavecseseznamem"/>
        <w:numPr>
          <w:ilvl w:val="0"/>
          <w:numId w:val="14"/>
        </w:numPr>
        <w:spacing w:line="360" w:lineRule="auto"/>
        <w:jc w:val="both"/>
        <w:rPr>
          <w:bCs/>
        </w:rPr>
      </w:pPr>
      <w:r>
        <w:rPr>
          <w:bCs/>
        </w:rPr>
        <w:t>eliminace kurzového rizika vůči euru,</w:t>
      </w:r>
    </w:p>
    <w:p w:rsidR="00712E44" w:rsidRDefault="00712E44" w:rsidP="00C535FC">
      <w:pPr>
        <w:pStyle w:val="Odstavecseseznamem"/>
        <w:numPr>
          <w:ilvl w:val="0"/>
          <w:numId w:val="14"/>
        </w:numPr>
        <w:spacing w:line="360" w:lineRule="auto"/>
        <w:jc w:val="both"/>
        <w:rPr>
          <w:bCs/>
        </w:rPr>
      </w:pPr>
      <w:r>
        <w:rPr>
          <w:bCs/>
        </w:rPr>
        <w:t>snížení kurzové volatility vůči měnám obchodních partnerů,</w:t>
      </w:r>
    </w:p>
    <w:p w:rsidR="00712E44" w:rsidRDefault="00712E44" w:rsidP="00C535FC">
      <w:pPr>
        <w:pStyle w:val="Odstavecseseznamem"/>
        <w:numPr>
          <w:ilvl w:val="0"/>
          <w:numId w:val="14"/>
        </w:numPr>
        <w:spacing w:line="360" w:lineRule="auto"/>
        <w:jc w:val="both"/>
        <w:rPr>
          <w:bCs/>
        </w:rPr>
      </w:pPr>
      <w:r>
        <w:rPr>
          <w:bCs/>
        </w:rPr>
        <w:lastRenderedPageBreak/>
        <w:t>vyšší transparentnost cen,</w:t>
      </w:r>
    </w:p>
    <w:p w:rsidR="00712E44" w:rsidRPr="008C2688" w:rsidRDefault="00712E44" w:rsidP="00C535FC">
      <w:pPr>
        <w:pStyle w:val="Odstavecseseznamem"/>
        <w:numPr>
          <w:ilvl w:val="0"/>
          <w:numId w:val="14"/>
        </w:numPr>
        <w:spacing w:line="360" w:lineRule="auto"/>
        <w:jc w:val="both"/>
        <w:rPr>
          <w:bCs/>
        </w:rPr>
      </w:pPr>
      <w:r>
        <w:rPr>
          <w:bCs/>
        </w:rPr>
        <w:t>pokles nákladů kapitálu.</w:t>
      </w:r>
    </w:p>
    <w:p w:rsidR="00712E44" w:rsidRDefault="00712E44" w:rsidP="00C535FC">
      <w:pPr>
        <w:spacing w:line="360" w:lineRule="auto"/>
        <w:ind w:left="360"/>
        <w:jc w:val="both"/>
        <w:rPr>
          <w:bCs/>
        </w:rPr>
      </w:pPr>
    </w:p>
    <w:p w:rsidR="00712E44" w:rsidRDefault="00712E44" w:rsidP="00C535FC">
      <w:pPr>
        <w:spacing w:line="360" w:lineRule="auto"/>
        <w:jc w:val="both"/>
        <w:rPr>
          <w:bCs/>
        </w:rPr>
      </w:pPr>
      <w:r>
        <w:rPr>
          <w:bCs/>
        </w:rPr>
        <w:t>K nepřímým přínosům zavedení eura uvedená studie NBS řadí:</w:t>
      </w:r>
    </w:p>
    <w:p w:rsidR="00712E44" w:rsidRDefault="00712E44" w:rsidP="00C535FC">
      <w:pPr>
        <w:pStyle w:val="Odstavecseseznamem"/>
        <w:numPr>
          <w:ilvl w:val="0"/>
          <w:numId w:val="15"/>
        </w:numPr>
        <w:spacing w:line="360" w:lineRule="auto"/>
        <w:jc w:val="both"/>
        <w:rPr>
          <w:bCs/>
        </w:rPr>
      </w:pPr>
      <w:r>
        <w:rPr>
          <w:bCs/>
        </w:rPr>
        <w:t>růst zahraničního obchodu,</w:t>
      </w:r>
    </w:p>
    <w:p w:rsidR="00712E44" w:rsidRDefault="00712E44" w:rsidP="00C535FC">
      <w:pPr>
        <w:pStyle w:val="Odstavecseseznamem"/>
        <w:numPr>
          <w:ilvl w:val="0"/>
          <w:numId w:val="15"/>
        </w:numPr>
        <w:spacing w:line="360" w:lineRule="auto"/>
        <w:jc w:val="both"/>
        <w:rPr>
          <w:bCs/>
        </w:rPr>
      </w:pPr>
      <w:r>
        <w:rPr>
          <w:bCs/>
        </w:rPr>
        <w:t>příliv přímých zahraničních investic,</w:t>
      </w:r>
    </w:p>
    <w:p w:rsidR="00712E44" w:rsidRPr="003F227D" w:rsidRDefault="00712E44" w:rsidP="00C535FC">
      <w:pPr>
        <w:pStyle w:val="Odstavecseseznamem"/>
        <w:numPr>
          <w:ilvl w:val="0"/>
          <w:numId w:val="15"/>
        </w:numPr>
        <w:spacing w:line="360" w:lineRule="auto"/>
        <w:jc w:val="both"/>
        <w:rPr>
          <w:bCs/>
        </w:rPr>
      </w:pPr>
      <w:r>
        <w:rPr>
          <w:bCs/>
        </w:rPr>
        <w:t>zrychlení ekonomického růstu a zvýšení životní úrovně.</w:t>
      </w:r>
      <w:r>
        <w:rPr>
          <w:rStyle w:val="Znakapoznpodarou"/>
          <w:bCs/>
        </w:rPr>
        <w:footnoteReference w:id="31"/>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Většina autorů zabývajících se problematikou společné evropské měny se přiklání k názoru, že plné dosažení odhadovaných přínosů je možné očekávat až v dlouhodobějším horizontu, </w:t>
      </w:r>
      <w:r>
        <w:rPr>
          <w:bCs/>
        </w:rPr>
        <w:br/>
        <w:t>a to 10 – 15 let po zavedení jednotné měny.</w:t>
      </w:r>
      <w:r>
        <w:rPr>
          <w:rStyle w:val="Znakapoznpodarou"/>
          <w:bCs/>
        </w:rPr>
        <w:footnoteReference w:id="32"/>
      </w:r>
      <w:r>
        <w:rPr>
          <w:bCs/>
        </w:rPr>
        <w:t xml:space="preserve"> Z tohoto důvodu nelze potenciální přínosy </w:t>
      </w:r>
      <w:r>
        <w:rPr>
          <w:bCs/>
        </w:rPr>
        <w:br/>
        <w:t xml:space="preserve">v případě Slovenské republiky, jako člena měnové unie, identifikovat v plné míře. </w:t>
      </w:r>
    </w:p>
    <w:p w:rsidR="00712E44" w:rsidRDefault="00712E44" w:rsidP="00C535FC">
      <w:pPr>
        <w:spacing w:line="360" w:lineRule="auto"/>
        <w:jc w:val="both"/>
        <w:rPr>
          <w:bCs/>
        </w:rPr>
      </w:pPr>
    </w:p>
    <w:p w:rsidR="00712E44" w:rsidRPr="008350D4"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 xml:space="preserve">4.3.1 Eliminace transakčních nákladů </w:t>
      </w:r>
    </w:p>
    <w:p w:rsidR="00712E44" w:rsidRDefault="00712E44" w:rsidP="00C535FC">
      <w:pPr>
        <w:spacing w:line="360" w:lineRule="auto"/>
        <w:jc w:val="both"/>
        <w:rPr>
          <w:b/>
          <w:bCs/>
          <w:sz w:val="28"/>
          <w:szCs w:val="28"/>
        </w:rPr>
      </w:pPr>
    </w:p>
    <w:p w:rsidR="00712E44" w:rsidRDefault="00712E44" w:rsidP="00C535FC">
      <w:pPr>
        <w:spacing w:line="360" w:lineRule="auto"/>
        <w:jc w:val="both"/>
        <w:rPr>
          <w:bCs/>
        </w:rPr>
      </w:pPr>
      <w:r>
        <w:rPr>
          <w:bCs/>
        </w:rPr>
        <w:t xml:space="preserve">Jedním z nejvýznamnějších přínosů, který se projevil hned po zavedení nové měny, </w:t>
      </w:r>
      <w:r>
        <w:rPr>
          <w:bCs/>
        </w:rPr>
        <w:br/>
        <w:t xml:space="preserve">je eliminace transakčních nákladů. Tato výhoda přináší především </w:t>
      </w:r>
      <w:r w:rsidRPr="00B94BD8">
        <w:rPr>
          <w:bCs/>
        </w:rPr>
        <w:t>odstranění směnárenských poplatků</w:t>
      </w:r>
      <w:r>
        <w:rPr>
          <w:bCs/>
        </w:rPr>
        <w:t>. N</w:t>
      </w:r>
      <w:r w:rsidRPr="00B94BD8">
        <w:rPr>
          <w:bCs/>
        </w:rPr>
        <w:t xml:space="preserve">a růstu přínosů </w:t>
      </w:r>
      <w:r>
        <w:rPr>
          <w:bCs/>
        </w:rPr>
        <w:t>se e</w:t>
      </w:r>
      <w:r w:rsidRPr="00B94BD8">
        <w:rPr>
          <w:bCs/>
        </w:rPr>
        <w:t>liminace trans</w:t>
      </w:r>
      <w:r>
        <w:rPr>
          <w:bCs/>
        </w:rPr>
        <w:t xml:space="preserve">akčních nákladů </w:t>
      </w:r>
      <w:r w:rsidRPr="00B94BD8">
        <w:rPr>
          <w:bCs/>
        </w:rPr>
        <w:t>podílí v</w:t>
      </w:r>
      <w:r>
        <w:rPr>
          <w:bCs/>
        </w:rPr>
        <w:t> </w:t>
      </w:r>
      <w:r w:rsidRPr="00B94BD8">
        <w:rPr>
          <w:bCs/>
        </w:rPr>
        <w:t>závislosti</w:t>
      </w:r>
      <w:r>
        <w:rPr>
          <w:bCs/>
        </w:rPr>
        <w:t>:</w:t>
      </w:r>
    </w:p>
    <w:p w:rsidR="00712E44" w:rsidRDefault="00712E44" w:rsidP="00C535FC">
      <w:pPr>
        <w:pStyle w:val="Odstavecseseznamem"/>
        <w:numPr>
          <w:ilvl w:val="0"/>
          <w:numId w:val="13"/>
        </w:numPr>
        <w:spacing w:line="360" w:lineRule="auto"/>
        <w:jc w:val="both"/>
        <w:rPr>
          <w:bCs/>
        </w:rPr>
      </w:pPr>
      <w:r w:rsidRPr="00E106A9">
        <w:rPr>
          <w:bCs/>
        </w:rPr>
        <w:t>na objemu a frekvenci použití dané národní měny jako mezinárodní platební jednotky,</w:t>
      </w:r>
    </w:p>
    <w:p w:rsidR="00712E44" w:rsidRDefault="00712E44" w:rsidP="00C535FC">
      <w:pPr>
        <w:pStyle w:val="Odstavecseseznamem"/>
        <w:numPr>
          <w:ilvl w:val="0"/>
          <w:numId w:val="13"/>
        </w:numPr>
        <w:spacing w:line="360" w:lineRule="auto"/>
        <w:jc w:val="both"/>
        <w:rPr>
          <w:bCs/>
        </w:rPr>
      </w:pPr>
      <w:r w:rsidRPr="00E106A9">
        <w:rPr>
          <w:bCs/>
        </w:rPr>
        <w:t>otevřenosti ekonomiky,</w:t>
      </w:r>
    </w:p>
    <w:p w:rsidR="00712E44" w:rsidRDefault="00712E44" w:rsidP="00C535FC">
      <w:pPr>
        <w:pStyle w:val="Odstavecseseznamem"/>
        <w:numPr>
          <w:ilvl w:val="0"/>
          <w:numId w:val="13"/>
        </w:numPr>
        <w:spacing w:line="360" w:lineRule="auto"/>
        <w:jc w:val="both"/>
        <w:rPr>
          <w:bCs/>
        </w:rPr>
      </w:pPr>
      <w:r w:rsidRPr="00E106A9">
        <w:rPr>
          <w:bCs/>
        </w:rPr>
        <w:t>na variabilitě měnového kurzu národní měny</w:t>
      </w:r>
      <w:r>
        <w:rPr>
          <w:bCs/>
        </w:rPr>
        <w:t>,</w:t>
      </w:r>
    </w:p>
    <w:p w:rsidR="00712E44" w:rsidRDefault="00712E44" w:rsidP="00C535FC">
      <w:pPr>
        <w:pStyle w:val="Odstavecseseznamem"/>
        <w:numPr>
          <w:ilvl w:val="0"/>
          <w:numId w:val="13"/>
        </w:numPr>
        <w:spacing w:line="360" w:lineRule="auto"/>
        <w:jc w:val="both"/>
        <w:rPr>
          <w:bCs/>
        </w:rPr>
      </w:pPr>
      <w:r>
        <w:rPr>
          <w:bCs/>
        </w:rPr>
        <w:t>na</w:t>
      </w:r>
      <w:r w:rsidRPr="00E106A9">
        <w:rPr>
          <w:bCs/>
        </w:rPr>
        <w:t xml:space="preserve"> efektivitě směnárenských služeb.</w:t>
      </w:r>
      <w:r>
        <w:rPr>
          <w:rStyle w:val="Znakapoznpodarou"/>
          <w:bCs/>
        </w:rPr>
        <w:footnoteReference w:id="33"/>
      </w:r>
    </w:p>
    <w:p w:rsidR="00712E44" w:rsidRPr="0040584C" w:rsidRDefault="00712E44" w:rsidP="00C535FC">
      <w:pPr>
        <w:spacing w:line="360" w:lineRule="auto"/>
        <w:jc w:val="both"/>
        <w:rPr>
          <w:bCs/>
        </w:rPr>
      </w:pPr>
    </w:p>
    <w:p w:rsidR="00712E44" w:rsidRDefault="00712E44" w:rsidP="00C535FC">
      <w:pPr>
        <w:spacing w:line="360" w:lineRule="auto"/>
        <w:jc w:val="both"/>
        <w:rPr>
          <w:bCs/>
        </w:rPr>
      </w:pPr>
      <w:r>
        <w:rPr>
          <w:bCs/>
        </w:rPr>
        <w:t xml:space="preserve">Mezi nejvýznamnější transakční náklady patřili poplatky za výměnu deviz, rozdíly mezi kurzem nákupním a prodejním, poplatky za vedení účtu v cizí měně, náklady související s vedením složitějšího účetnictví a jiné podobné administrativní náklady. </w:t>
      </w:r>
    </w:p>
    <w:p w:rsidR="00712E44" w:rsidRDefault="00712E44" w:rsidP="00C535FC">
      <w:pPr>
        <w:spacing w:line="360" w:lineRule="auto"/>
        <w:jc w:val="both"/>
        <w:rPr>
          <w:bCs/>
        </w:rPr>
      </w:pPr>
    </w:p>
    <w:p w:rsidR="00712E44" w:rsidRDefault="00712E44" w:rsidP="00C535FC">
      <w:pPr>
        <w:spacing w:line="360" w:lineRule="auto"/>
        <w:jc w:val="both"/>
      </w:pPr>
      <w:r>
        <w:lastRenderedPageBreak/>
        <w:t>Eliminace transakčních nákladů přinesla úsporu na finančních nákladech nejenom podnikatelskému sektoru, nýbrž i obyvatelům, jimž nevzniknou peněžní výdaje spojené s poplatky při výměně hotovosti v rámci cestování do zemí používajících euro jako zákonné platidlo.</w:t>
      </w:r>
    </w:p>
    <w:p w:rsidR="00712E44" w:rsidRDefault="00712E44" w:rsidP="00C535FC">
      <w:pPr>
        <w:spacing w:line="360" w:lineRule="auto"/>
        <w:jc w:val="both"/>
        <w:rPr>
          <w:bCs/>
        </w:rPr>
      </w:pPr>
    </w:p>
    <w:p w:rsidR="00712E44" w:rsidRDefault="00712E44" w:rsidP="00C535FC">
      <w:pPr>
        <w:spacing w:line="360" w:lineRule="auto"/>
        <w:jc w:val="both"/>
      </w:pPr>
      <w:r>
        <w:t>Viceguvernér Národní banky Slovenska Viliam Ostrožlík se vyjádřil, že „</w:t>
      </w:r>
      <w:r w:rsidRPr="00F90380">
        <w:rPr>
          <w:i/>
        </w:rPr>
        <w:t xml:space="preserve">transakčné náklady sú náklady spojené s výmenou jednej meny za inú menu, teda ak si dnes kupujeme eurá </w:t>
      </w:r>
      <w:r>
        <w:rPr>
          <w:i/>
        </w:rPr>
        <w:br/>
      </w:r>
      <w:r w:rsidRPr="00F90380">
        <w:rPr>
          <w:i/>
        </w:rPr>
        <w:t>za slovenské koruny alebo keď sa vrátime z dovolenky a meníme si eurá za koruny"</w:t>
      </w:r>
      <w:r>
        <w:rPr>
          <w:i/>
        </w:rPr>
        <w:t>.</w:t>
      </w:r>
      <w:r>
        <w:rPr>
          <w:rStyle w:val="Znakapoznpodarou"/>
        </w:rPr>
        <w:footnoteReference w:id="34"/>
      </w:r>
      <w:r>
        <w:rPr>
          <w:i/>
        </w:rPr>
        <w:t xml:space="preserve"> </w:t>
      </w:r>
      <w:r>
        <w:t>Přičemž k transakčním nákladům je nutné započítat i například náklady na pohonné hmoty vynaložené na cestu autem do banky, a také čas strávený v bance.</w:t>
      </w:r>
    </w:p>
    <w:p w:rsidR="00712E44" w:rsidRDefault="00712E44" w:rsidP="00C535FC">
      <w:pPr>
        <w:spacing w:line="360" w:lineRule="auto"/>
        <w:jc w:val="both"/>
      </w:pPr>
    </w:p>
    <w:p w:rsidR="00712E44" w:rsidRDefault="00712E44" w:rsidP="00C535FC">
      <w:pPr>
        <w:spacing w:line="360" w:lineRule="auto"/>
        <w:jc w:val="both"/>
        <w:rPr>
          <w:bCs/>
        </w:rPr>
      </w:pPr>
      <w:r>
        <w:rPr>
          <w:bCs/>
        </w:rPr>
        <w:t xml:space="preserve">Jak uvádí studie NBS, </w:t>
      </w:r>
      <w:r w:rsidRPr="00624971">
        <w:rPr>
          <w:bCs/>
          <w:i/>
        </w:rPr>
        <w:t>Vplyv zavedenia eura na slovenské hospodárstvo</w:t>
      </w:r>
      <w:r>
        <w:rPr>
          <w:bCs/>
          <w:i/>
        </w:rPr>
        <w:t>,</w:t>
      </w:r>
      <w:r>
        <w:rPr>
          <w:bCs/>
        </w:rPr>
        <w:t xml:space="preserve"> transakční náklady před zavedením eura představovali cca 0,4 % HDP.</w:t>
      </w:r>
      <w:r w:rsidRPr="00B0048E">
        <w:t xml:space="preserve"> </w:t>
      </w:r>
      <w:r>
        <w:rPr>
          <w:rStyle w:val="Znakapoznpodarou"/>
        </w:rPr>
        <w:footnoteReference w:id="35"/>
      </w:r>
      <w:r>
        <w:rPr>
          <w:bCs/>
        </w:rPr>
        <w:t xml:space="preserve"> </w:t>
      </w:r>
    </w:p>
    <w:p w:rsidR="00712E44" w:rsidRDefault="00712E44" w:rsidP="00C535FC">
      <w:pPr>
        <w:spacing w:line="360" w:lineRule="auto"/>
        <w:jc w:val="both"/>
      </w:pPr>
    </w:p>
    <w:p w:rsidR="00712E44" w:rsidRDefault="00712E44" w:rsidP="00C535FC">
      <w:pPr>
        <w:spacing w:line="360" w:lineRule="auto"/>
        <w:jc w:val="both"/>
      </w:pPr>
      <w:r>
        <w:t xml:space="preserve">Z pohledu odvětví se nejvyšší úspora transakčních nákladů očekávala v průmyslové výrobě, jež má na zahraničním obchodu největší podíl. Výše úspor je závislá především na množství </w:t>
      </w:r>
      <w:r>
        <w:br/>
        <w:t xml:space="preserve">a velikosti zahraničních transakcí s eurozónou. Z čehož plyne, </w:t>
      </w:r>
      <w:r w:rsidRPr="001D4970">
        <w:t>že se tento přínos neprojevil</w:t>
      </w:r>
      <w:r>
        <w:t xml:space="preserve"> </w:t>
      </w:r>
      <w:r>
        <w:br/>
        <w:t>ve všech podnicích stejně. Hlavním ukazatelem celkových úspor z pohledu transakčních nákladů je míra zahraniční propojenosti sektorů se zeměmi Evropské měnové unie.</w:t>
      </w:r>
    </w:p>
    <w:p w:rsidR="00712E44" w:rsidRDefault="00712E44" w:rsidP="00C535FC">
      <w:pPr>
        <w:spacing w:line="360" w:lineRule="auto"/>
        <w:jc w:val="both"/>
      </w:pPr>
    </w:p>
    <w:p w:rsidR="00712E44" w:rsidRDefault="00712E44" w:rsidP="00C535FC">
      <w:pPr>
        <w:spacing w:line="360" w:lineRule="auto"/>
        <w:jc w:val="both"/>
      </w:pPr>
      <w:r>
        <w:t xml:space="preserve">Na straně druhé přináší úspory z nižších transakčních nákladů pokles transakčních zisků bank, a to snížením zisku z poplatků za směnu peněz a vedení bankovních účtů v původně cizí měně - eurech. </w:t>
      </w:r>
      <w:r w:rsidRPr="001D4970">
        <w:t>Sice byly banky nuceny hledat nové zdroje zisku, ušetřily na</w:t>
      </w:r>
      <w:r>
        <w:t xml:space="preserve"> mzdách zaměstnanců pověřených směnárenskou činností. Současně získaly uvolnění značné části pracovní doby těchto pracovníků a tím i příležitost využít pracovní sílu pro plnění efektivnějších úkolů. </w:t>
      </w:r>
    </w:p>
    <w:p w:rsidR="00712E44" w:rsidRDefault="00712E44" w:rsidP="00C535FC">
      <w:pPr>
        <w:spacing w:line="360" w:lineRule="auto"/>
        <w:jc w:val="both"/>
      </w:pPr>
    </w:p>
    <w:p w:rsidR="00712E44" w:rsidRDefault="00712E44" w:rsidP="00C535FC">
      <w:pPr>
        <w:spacing w:line="360" w:lineRule="auto"/>
        <w:jc w:val="both"/>
      </w:pPr>
      <w:r>
        <w:t xml:space="preserve">Možné důsledky zavedení eura pro bankovní sektor uvádí </w:t>
      </w:r>
      <w:r w:rsidRPr="00F54206">
        <w:rPr>
          <w:i/>
        </w:rPr>
        <w:t>Analýza dopadov zavedenia eura na slovenský finančný trh</w:t>
      </w:r>
      <w:r>
        <w:t>, kterými jsou:</w:t>
      </w:r>
    </w:p>
    <w:p w:rsidR="00712E44" w:rsidRDefault="00712E44" w:rsidP="00C535FC">
      <w:pPr>
        <w:pStyle w:val="Odstavecseseznamem"/>
        <w:numPr>
          <w:ilvl w:val="0"/>
          <w:numId w:val="13"/>
        </w:numPr>
        <w:spacing w:line="360" w:lineRule="auto"/>
        <w:jc w:val="both"/>
      </w:pPr>
      <w:r>
        <w:t xml:space="preserve">zvýšení konkurenčního prostředí, především v pohraničních oblastech, což může vést ke snižování poplatků a tím i výnosů z činnosti slovenských finančních </w:t>
      </w:r>
      <w:r>
        <w:lastRenderedPageBreak/>
        <w:t>institucí,</w:t>
      </w:r>
    </w:p>
    <w:p w:rsidR="00712E44" w:rsidRDefault="00712E44" w:rsidP="00C535FC">
      <w:pPr>
        <w:pStyle w:val="Odstavecseseznamem"/>
        <w:numPr>
          <w:ilvl w:val="0"/>
          <w:numId w:val="13"/>
        </w:numPr>
        <w:spacing w:line="360" w:lineRule="auto"/>
        <w:jc w:val="both"/>
      </w:pPr>
      <w:r>
        <w:t xml:space="preserve">snížení výnosů z poplatků za vedení účtů v cizí měně – v eurech, řádově se jedná </w:t>
      </w:r>
      <w:r>
        <w:br/>
        <w:t>o stovky až tisíce účtů v jednotlivých bankovních subjektech,</w:t>
      </w:r>
    </w:p>
    <w:p w:rsidR="00712E44" w:rsidRDefault="00712E44" w:rsidP="00C535FC">
      <w:pPr>
        <w:pStyle w:val="Odstavecseseznamem"/>
        <w:numPr>
          <w:ilvl w:val="0"/>
          <w:numId w:val="13"/>
        </w:numPr>
        <w:spacing w:line="360" w:lineRule="auto"/>
        <w:jc w:val="both"/>
      </w:pPr>
      <w:r>
        <w:t>snižování počtu pracovníků, z důvodu postupného outsourcingu některých doplňkových činností do centrál finančních institucí, který by měl zajistit větší efektivitu provozu.</w:t>
      </w:r>
      <w:r>
        <w:rPr>
          <w:rStyle w:val="Znakapoznpodarou"/>
        </w:rPr>
        <w:footnoteReference w:id="36"/>
      </w:r>
    </w:p>
    <w:p w:rsidR="00712E44" w:rsidRDefault="00712E44" w:rsidP="00C535FC">
      <w:pPr>
        <w:spacing w:line="360" w:lineRule="auto"/>
        <w:jc w:val="both"/>
      </w:pPr>
    </w:p>
    <w:p w:rsidR="00712E44" w:rsidRDefault="00712E44" w:rsidP="00C535FC">
      <w:pPr>
        <w:spacing w:line="360" w:lineRule="auto"/>
        <w:jc w:val="both"/>
      </w:pPr>
      <w:r w:rsidRPr="00624971">
        <w:rPr>
          <w:i/>
        </w:rPr>
        <w:t>Správa o finančnej stabilitě 2009</w:t>
      </w:r>
      <w:r>
        <w:t xml:space="preserve"> uvádí meziroční pokles pracovníků v bankovním sektoru </w:t>
      </w:r>
      <w:r>
        <w:br/>
        <w:t>o 9 %.</w:t>
      </w:r>
      <w:r>
        <w:rPr>
          <w:rStyle w:val="Znakapoznpodarou"/>
        </w:rPr>
        <w:footnoteReference w:id="37"/>
      </w:r>
      <w:r>
        <w:t xml:space="preserve"> </w:t>
      </w:r>
    </w:p>
    <w:p w:rsidR="00712E44" w:rsidRDefault="00712E44" w:rsidP="00C535FC">
      <w:pPr>
        <w:spacing w:line="360" w:lineRule="auto"/>
        <w:jc w:val="both"/>
      </w:pPr>
    </w:p>
    <w:p w:rsidR="00712E44" w:rsidRDefault="00712E44" w:rsidP="00C535FC">
      <w:pPr>
        <w:widowControl/>
        <w:suppressAutoHyphens w:val="0"/>
        <w:autoSpaceDE w:val="0"/>
        <w:autoSpaceDN w:val="0"/>
        <w:adjustRightInd w:val="0"/>
        <w:spacing w:line="360" w:lineRule="auto"/>
        <w:jc w:val="both"/>
      </w:pPr>
      <w:r>
        <w:t>Hospodaření slovenských bank v roce 2009 však neovlivnilo pouze zavedení eura, nýbrž také celosvětová hospodářská a finanční krize. Zisk bankovního sektoru v roce 2009 meziročně poklesl až o 50,8 %, a to na 250,1 mil. EUR. Hlavními důvody tohoto výrazného poklesu byly stagnující úrokové výnosy, snížení příjmů z devizových operací a zvýšená tvorba opravných položek. V roce 2010 však zisk bankovního sektoru opět výrazně vzrostl. Předběžné údaje, které uvádí NBS, vykazují zisk 513,9 mil. EUR.</w:t>
      </w:r>
      <w:r w:rsidRPr="00A04B15">
        <w:rPr>
          <w:rStyle w:val="Znakapoznpodarou"/>
        </w:rPr>
        <w:footnoteReference w:id="38"/>
      </w:r>
      <w:r w:rsidRPr="00A04B15">
        <w:t xml:space="preserve"> </w:t>
      </w:r>
      <w:r>
        <w:t>Největší podíl na meziročním růstu měly čisté úrokové výnosy. Na rozdíl od jiných zemí eurozóny Slovensko nebylo nuceno vynaložit finanční prostředky na záchranu bankovního sektoru</w:t>
      </w:r>
      <w:r w:rsidRPr="000D1FD0">
        <w:rPr>
          <w:color w:val="00B050"/>
        </w:rPr>
        <w:t>.</w:t>
      </w:r>
      <w:r w:rsidRPr="00A04B15">
        <w:t xml:space="preserve"> </w:t>
      </w:r>
    </w:p>
    <w:p w:rsidR="00712E44" w:rsidRPr="009203DA" w:rsidRDefault="00712E44" w:rsidP="00C535FC">
      <w:pPr>
        <w:widowControl/>
        <w:suppressAutoHyphens w:val="0"/>
        <w:autoSpaceDE w:val="0"/>
        <w:autoSpaceDN w:val="0"/>
        <w:adjustRightInd w:val="0"/>
        <w:spacing w:line="360" w:lineRule="auto"/>
        <w:jc w:val="both"/>
        <w:rPr>
          <w:bCs/>
        </w:rPr>
      </w:pPr>
    </w:p>
    <w:p w:rsidR="00712E44" w:rsidRDefault="00712E44" w:rsidP="00C535FC">
      <w:pPr>
        <w:spacing w:line="360" w:lineRule="auto"/>
        <w:jc w:val="both"/>
        <w:rPr>
          <w:b/>
          <w:bCs/>
          <w:sz w:val="28"/>
          <w:szCs w:val="28"/>
        </w:rPr>
      </w:pPr>
    </w:p>
    <w:p w:rsidR="00712E44" w:rsidRDefault="00712E44" w:rsidP="00C535FC">
      <w:pPr>
        <w:spacing w:line="360" w:lineRule="auto"/>
        <w:jc w:val="both"/>
        <w:rPr>
          <w:bCs/>
        </w:rPr>
      </w:pPr>
      <w:r>
        <w:rPr>
          <w:b/>
          <w:bCs/>
          <w:sz w:val="28"/>
          <w:szCs w:val="28"/>
        </w:rPr>
        <w:t>4.3.2 Vliv zavedení eura na eliminaci kurzového rizika</w:t>
      </w:r>
      <w:r w:rsidRPr="0038654C">
        <w:rPr>
          <w:b/>
          <w:bCs/>
          <w:sz w:val="28"/>
          <w:szCs w:val="28"/>
        </w:rPr>
        <w:t xml:space="preserve"> </w:t>
      </w:r>
    </w:p>
    <w:p w:rsidR="00712E44" w:rsidRDefault="00712E44" w:rsidP="00C535FC">
      <w:pPr>
        <w:spacing w:line="360" w:lineRule="auto"/>
        <w:jc w:val="both"/>
        <w:rPr>
          <w:bCs/>
        </w:rPr>
      </w:pPr>
    </w:p>
    <w:p w:rsidR="00712E44" w:rsidRDefault="00712E44" w:rsidP="00C535FC">
      <w:pPr>
        <w:spacing w:line="360" w:lineRule="auto"/>
        <w:jc w:val="both"/>
      </w:pPr>
      <w:r>
        <w:rPr>
          <w:bCs/>
        </w:rPr>
        <w:t xml:space="preserve">Z důvodu volatility kurzu plyne pro podnikatelský sektor a sektor domácností kurzové riziko. Možnost nepříznivého vývoje kurzu ještě před zavedením nové měny silně ovlivňovala rozhodování o nákupu a prodeji zboží a služeb v eurech. Hlavně pro firmy, které obchodují </w:t>
      </w:r>
      <w:r>
        <w:rPr>
          <w:bCs/>
        </w:rPr>
        <w:br/>
        <w:t>se zahraničím, je vývoj měnového kurzu</w:t>
      </w:r>
      <w:r w:rsidRPr="00D508A9">
        <w:rPr>
          <w:bCs/>
        </w:rPr>
        <w:t xml:space="preserve"> </w:t>
      </w:r>
      <w:r>
        <w:rPr>
          <w:bCs/>
        </w:rPr>
        <w:t>důležitý. Rychlé tempo posilování domácí měny může mít i likvidační důsledky, a to z důvodu ztráty zisku</w:t>
      </w:r>
      <w:r w:rsidRPr="001D4970">
        <w:rPr>
          <w:bCs/>
        </w:rPr>
        <w:t xml:space="preserve">. I když mají podniky možnost zajištění kurzového rizika prostřednictvím tzv. hedgingu, nemohou ho využít všichni </w:t>
      </w:r>
      <w:r w:rsidRPr="001D4970">
        <w:rPr>
          <w:bCs/>
        </w:rPr>
        <w:lastRenderedPageBreak/>
        <w:t>podnikatelé, jelikož náklady s ním spojené jsou dost vysoké.</w:t>
      </w:r>
      <w:r>
        <w:rPr>
          <w:bCs/>
        </w:rPr>
        <w:t xml:space="preserve"> </w:t>
      </w:r>
      <w:r w:rsidRPr="001A46BF">
        <w:rPr>
          <w:bCs/>
          <w:i/>
        </w:rPr>
        <w:t>„</w:t>
      </w:r>
      <w:r w:rsidRPr="001A46BF">
        <w:rPr>
          <w:i/>
        </w:rPr>
        <w:t>Cílem hedgingu</w:t>
      </w:r>
      <w:r>
        <w:rPr>
          <w:i/>
        </w:rPr>
        <w:t xml:space="preserve"> </w:t>
      </w:r>
      <w:r w:rsidRPr="001A46BF">
        <w:rPr>
          <w:i/>
        </w:rPr>
        <w:t xml:space="preserve">je </w:t>
      </w:r>
      <w:r w:rsidRPr="001A46BF">
        <w:rPr>
          <w:b/>
          <w:bCs/>
          <w:i/>
        </w:rPr>
        <w:t>eliminovat jakékoli případné riziko</w:t>
      </w:r>
      <w:r w:rsidRPr="001A46BF">
        <w:rPr>
          <w:i/>
        </w:rPr>
        <w:t xml:space="preserve"> plynoucí z transakcí, jejichž cash flow je ovlivněn tržními pohyby kurzů daných aktiv. Nejde tedy o to, abyste prostřednictvím hedgingu vydělali, ale abyste neztratili. Součet zisku či ztráty na zajišťovací transakci a zisku či ztráty </w:t>
      </w:r>
      <w:r>
        <w:rPr>
          <w:i/>
        </w:rPr>
        <w:br/>
      </w:r>
      <w:r w:rsidRPr="001A46BF">
        <w:rPr>
          <w:i/>
        </w:rPr>
        <w:t>na zajišťované pozici by měl být co nejblíže nule.“</w:t>
      </w:r>
      <w:r>
        <w:rPr>
          <w:rStyle w:val="Znakapoznpodarou"/>
          <w:i/>
        </w:rPr>
        <w:footnoteReference w:id="39"/>
      </w:r>
      <w:r>
        <w:t xml:space="preserve"> Zavedení </w:t>
      </w:r>
      <w:r>
        <w:rPr>
          <w:bCs/>
        </w:rPr>
        <w:t xml:space="preserve">eura jako domácí měny </w:t>
      </w:r>
      <w:r>
        <w:rPr>
          <w:bCs/>
        </w:rPr>
        <w:br/>
        <w:t>na Slovensku veškeré náklady spojené s hedgingem eliminovalo</w:t>
      </w:r>
      <w:r w:rsidRPr="00D62808">
        <w:rPr>
          <w:bCs/>
        </w:rPr>
        <w:t xml:space="preserve"> </w:t>
      </w:r>
      <w:r>
        <w:rPr>
          <w:bCs/>
        </w:rPr>
        <w:t>v rámci všech eurových transakcí.</w:t>
      </w:r>
    </w:p>
    <w:p w:rsidR="00712E44" w:rsidRDefault="00712E44" w:rsidP="00C535FC">
      <w:pPr>
        <w:spacing w:line="360" w:lineRule="auto"/>
        <w:jc w:val="both"/>
      </w:pPr>
    </w:p>
    <w:p w:rsidR="00712E44" w:rsidRDefault="00712E44" w:rsidP="00C535FC">
      <w:pPr>
        <w:spacing w:line="360" w:lineRule="auto"/>
        <w:jc w:val="both"/>
        <w:rPr>
          <w:bCs/>
        </w:rPr>
      </w:pPr>
      <w:r>
        <w:rPr>
          <w:bCs/>
        </w:rPr>
        <w:t xml:space="preserve">Dispozice vzniklých volných prostředků díky odstranění kurzového rizika může být racionálněji a ekonomicky lépe využita např. na vzdělávání zaměstnanců, zvyšování mezd, investice apod.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Eliminace kurzového rizika může být novou příležitostí i pro výrobní a obchodní podniky, </w:t>
      </w:r>
      <w:r>
        <w:rPr>
          <w:bCs/>
        </w:rPr>
        <w:br/>
        <w:t xml:space="preserve">jež byly orientovány pouze na odbyt domácího trhu.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Na druhé straně pro obyvatele, především v pohraničních oblastech, je posilování kurzu domácí měny výhodnější, jelikož jim tímto roste kupní síla v sousedních zemích, jejichž měny oslabily. Sice obyvatelé z krátkodobého hlediska díky nákupům v zahraničí získávají, z dlouhodobého hlediska to tak není, jelikož je tím negativně ovlivňována výkonnost domácí ekonomiky. V roce 2009 i Slovensko pocítilo pokles poptávky na domácím trhu, což jistě přispělo k výraznému prohlubování hospodářské krize. V důsledku snižování poptávky dochází ke snižování produktivity, následně k hromadnému propouštění a zvyšování nezaměstnanosti a v konečném důsledku k poklesu HDP. Přesvědčit však spotřebitele </w:t>
      </w:r>
      <w:r>
        <w:rPr>
          <w:bCs/>
        </w:rPr>
        <w:br/>
        <w:t xml:space="preserve">o důsledcích nákupů zboží denní i dlouhodobé spotřeby v zahraničí je spíš nereálné. Několik možností se však nabízí. Tou první je snížení daně z přidané hodnoty, což by mohlo docílit pokles cen a zvýšit atraktivitu domácího trhu. </w:t>
      </w:r>
      <w:r w:rsidRPr="001D4970">
        <w:rPr>
          <w:bCs/>
        </w:rPr>
        <w:t xml:space="preserve">Druhá možnost souvisí se vzděláváním, </w:t>
      </w:r>
      <w:r w:rsidRPr="001D4970">
        <w:rPr>
          <w:bCs/>
        </w:rPr>
        <w:br/>
        <w:t>a to konkrétně zařazením ekonomických přednášek do povinné výuky. Samozřejmě</w:t>
      </w:r>
      <w:r>
        <w:rPr>
          <w:bCs/>
        </w:rPr>
        <w:t xml:space="preserve"> oba tyto způsoby mají i vedlejší účinky, proto je nutné vzít v úvahu všechny důsledky s tím spojené. </w:t>
      </w:r>
      <w:r>
        <w:rPr>
          <w:bCs/>
        </w:rPr>
        <w:br/>
      </w:r>
      <w:r w:rsidRPr="001D4970">
        <w:rPr>
          <w:bCs/>
        </w:rPr>
        <w:t>A jelikož se jedná převážně o pohraniční regiony, nelze předpokládat realizaci uvedených možností řešení.</w:t>
      </w:r>
      <w:r>
        <w:rPr>
          <w:bCs/>
        </w:rPr>
        <w:t xml:space="preserve">   </w:t>
      </w:r>
    </w:p>
    <w:p w:rsidR="00712E44" w:rsidRPr="002C5C2F" w:rsidRDefault="00712E44" w:rsidP="00C535FC">
      <w:pPr>
        <w:spacing w:line="360" w:lineRule="auto"/>
        <w:jc w:val="both"/>
        <w:rPr>
          <w:bCs/>
        </w:rPr>
      </w:pPr>
    </w:p>
    <w:p w:rsidR="00712E44" w:rsidRPr="002C5C2F"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lastRenderedPageBreak/>
        <w:t>4.3.3 Vliv zavedení eura na transparentnost cen</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Transparentnost cen znamená zviditelnění cenových rozdílů příbuzných produktů, </w:t>
      </w:r>
      <w:r>
        <w:rPr>
          <w:bCs/>
        </w:rPr>
        <w:br/>
        <w:t>nebo služeb. Slovenské populaci poskytuje zavedení eura tuto výhodu v rámci celé eurozóny a současně i všech zemí používajících euro.</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Transparentnost spotřebitelských cen umožňuje občanům SR lepší orientaci v cenových relacích na domácím a zahraničním trhu. V podnikatelském sektoru by měla vést k nárůstu konkurence, což má za následek snahu o zvyšování kvality a tlak na ceny zboží a služeb. </w:t>
      </w:r>
    </w:p>
    <w:p w:rsidR="00712E44" w:rsidRDefault="00712E44" w:rsidP="00C535FC">
      <w:pPr>
        <w:spacing w:line="360" w:lineRule="auto"/>
        <w:jc w:val="both"/>
        <w:rPr>
          <w:bCs/>
        </w:rPr>
      </w:pPr>
    </w:p>
    <w:p w:rsidR="00712E44" w:rsidRPr="001D4970" w:rsidRDefault="00712E44" w:rsidP="00C535FC">
      <w:pPr>
        <w:spacing w:line="360" w:lineRule="auto"/>
        <w:jc w:val="both"/>
        <w:rPr>
          <w:bCs/>
        </w:rPr>
      </w:pPr>
      <w:r>
        <w:rPr>
          <w:bCs/>
        </w:rPr>
        <w:t xml:space="preserve">Rozdíly v cenách příbuzných výrobků v jednotlivých regionech (jak vnitrostátních </w:t>
      </w:r>
      <w:r>
        <w:rPr>
          <w:bCs/>
        </w:rPr>
        <w:br/>
        <w:t xml:space="preserve">tak mezistátních) jsou však podmíněny odlišnými sociálními a kulturními zvyklostmi, rozdílnými daňovými systémy, jinými náklady na faktor práce a v konečném důsledku odlišnou důchodovou úrovní jednotlivých zemí, či oblastí. </w:t>
      </w:r>
      <w:r w:rsidRPr="001D4970">
        <w:rPr>
          <w:bCs/>
        </w:rPr>
        <w:t>I z tohoto důvodu nelze očekávat rychlé odstraňování cenových rozdílů v rámci celé eurozóny. Cenová transparentnost však spotřebitelům přináší výhodu při rozhodování o nákupu produktů od konkurenčních prodejců.</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sidRPr="00AD7975">
        <w:rPr>
          <w:b/>
          <w:bCs/>
          <w:sz w:val="28"/>
          <w:szCs w:val="28"/>
        </w:rPr>
        <w:t>4.3.4.</w:t>
      </w:r>
      <w:r>
        <w:rPr>
          <w:b/>
          <w:bCs/>
        </w:rPr>
        <w:t xml:space="preserve"> </w:t>
      </w:r>
      <w:r>
        <w:rPr>
          <w:b/>
          <w:bCs/>
          <w:sz w:val="28"/>
          <w:szCs w:val="28"/>
        </w:rPr>
        <w:t>Vliv zavedení eura na pokles nákladů kapitálu</w:t>
      </w:r>
      <w:r w:rsidRPr="000765B1">
        <w:rPr>
          <w:b/>
          <w:bCs/>
        </w:rPr>
        <w:t xml:space="preserve"> </w:t>
      </w:r>
    </w:p>
    <w:p w:rsidR="00712E44" w:rsidRDefault="00712E44" w:rsidP="00C535FC">
      <w:pPr>
        <w:spacing w:line="360" w:lineRule="auto"/>
        <w:jc w:val="both"/>
        <w:rPr>
          <w:bCs/>
        </w:rPr>
      </w:pPr>
    </w:p>
    <w:p w:rsidR="00712E44" w:rsidRDefault="00712E44" w:rsidP="00C535FC">
      <w:pPr>
        <w:widowControl/>
        <w:suppressAutoHyphens w:val="0"/>
        <w:autoSpaceDE w:val="0"/>
        <w:autoSpaceDN w:val="0"/>
        <w:adjustRightInd w:val="0"/>
        <w:spacing w:line="360" w:lineRule="auto"/>
        <w:jc w:val="both"/>
        <w:rPr>
          <w:rFonts w:eastAsia="Times New Roman"/>
          <w:kern w:val="0"/>
        </w:rPr>
      </w:pPr>
      <w:r>
        <w:rPr>
          <w:rFonts w:eastAsia="Times New Roman"/>
          <w:kern w:val="0"/>
        </w:rPr>
        <w:t xml:space="preserve">Další z přímých výhod zavedení eura, která vede ke zvyšování efektivnosti a konkurence </w:t>
      </w:r>
      <w:r>
        <w:rPr>
          <w:rFonts w:eastAsia="Times New Roman"/>
          <w:kern w:val="0"/>
        </w:rPr>
        <w:br/>
        <w:t>na finančních trzích, je pokles nákladů kapitálu. Ke snížení nákladů kapitálu dochází díky eliminaci rizikové přirážky z titulu rizika země, což v konečném důsledku vede k poklesu reálných úrokových sazeb. Prostřednictvím výhodnějších podmínek financování se vytváří prostor pro pozitivní stimuly vedoucí k růstu investic na Slovensku. Rychlejší růst kapitálových investic vede ke zvyšování produktivity výrobních faktorů, a tím i k nárůstu přidané hodnoty. Tato skutečnost umožňuje rychlejší růst HDP na obyvatele a současně zvyšování životní úrovně. Zvýšení investic na zaměstnanost rovněž působí na růst životní úrovně.</w:t>
      </w:r>
    </w:p>
    <w:p w:rsidR="00712E44" w:rsidRDefault="00712E44" w:rsidP="00C535FC">
      <w:pPr>
        <w:widowControl/>
        <w:suppressAutoHyphens w:val="0"/>
        <w:autoSpaceDE w:val="0"/>
        <w:autoSpaceDN w:val="0"/>
        <w:adjustRightInd w:val="0"/>
        <w:spacing w:line="360" w:lineRule="auto"/>
        <w:jc w:val="both"/>
        <w:rPr>
          <w:rFonts w:eastAsia="Times New Roman"/>
          <w:kern w:val="0"/>
        </w:rPr>
      </w:pPr>
    </w:p>
    <w:p w:rsidR="00712E44" w:rsidRDefault="00712E44" w:rsidP="00C535FC">
      <w:pPr>
        <w:widowControl/>
        <w:suppressAutoHyphens w:val="0"/>
        <w:autoSpaceDE w:val="0"/>
        <w:autoSpaceDN w:val="0"/>
        <w:adjustRightInd w:val="0"/>
        <w:spacing w:line="360" w:lineRule="auto"/>
        <w:jc w:val="both"/>
        <w:rPr>
          <w:rFonts w:eastAsia="Times New Roman"/>
          <w:kern w:val="0"/>
        </w:rPr>
      </w:pPr>
      <w:r>
        <w:rPr>
          <w:rFonts w:eastAsia="Times New Roman"/>
          <w:kern w:val="0"/>
        </w:rPr>
        <w:t xml:space="preserve">Výsledným efektem poklesu nákladů kapitálu je možnost rostoucí míry investiční činnosti, která je financována z prostředků uspořených díky </w:t>
      </w:r>
      <w:r w:rsidRPr="00B74EE6">
        <w:rPr>
          <w:rFonts w:eastAsia="Times New Roman"/>
          <w:kern w:val="0"/>
        </w:rPr>
        <w:t>eliminaci transakčních nákladů</w:t>
      </w:r>
      <w:r>
        <w:rPr>
          <w:rFonts w:eastAsia="Times New Roman"/>
          <w:kern w:val="0"/>
        </w:rPr>
        <w:t xml:space="preserve"> vůči euru, současně i poklesu nákladů na zajištění investic vůči kurzovému riziku a na základě </w:t>
      </w:r>
      <w:r>
        <w:rPr>
          <w:rFonts w:eastAsia="Times New Roman"/>
          <w:kern w:val="0"/>
        </w:rPr>
        <w:lastRenderedPageBreak/>
        <w:t xml:space="preserve">zkušeností jiných členských zemí dochází k poklesu úrokových sazeb. Je nutné vzít do úvahy fakt, že výsledné efekty zavedení eura v jiných státech nemusí být stejné i na Slovensku. </w:t>
      </w:r>
    </w:p>
    <w:p w:rsidR="00712E44" w:rsidRDefault="00712E44" w:rsidP="00C535FC">
      <w:pPr>
        <w:widowControl/>
        <w:suppressAutoHyphens w:val="0"/>
        <w:autoSpaceDE w:val="0"/>
        <w:autoSpaceDN w:val="0"/>
        <w:adjustRightInd w:val="0"/>
        <w:spacing w:line="360" w:lineRule="auto"/>
        <w:jc w:val="both"/>
        <w:rPr>
          <w:rFonts w:eastAsia="Times New Roman"/>
          <w:kern w:val="0"/>
        </w:rPr>
      </w:pPr>
    </w:p>
    <w:p w:rsidR="00712E44" w:rsidRDefault="00712E44" w:rsidP="00C535FC">
      <w:pPr>
        <w:widowControl/>
        <w:suppressAutoHyphens w:val="0"/>
        <w:autoSpaceDE w:val="0"/>
        <w:autoSpaceDN w:val="0"/>
        <w:adjustRightInd w:val="0"/>
        <w:spacing w:line="360" w:lineRule="auto"/>
        <w:jc w:val="both"/>
        <w:rPr>
          <w:bCs/>
        </w:rPr>
      </w:pPr>
      <w:r>
        <w:rPr>
          <w:bCs/>
        </w:rPr>
        <w:t xml:space="preserve">K hodnocení vlivu eura na ekonomickou výkonnost Slovenska během roku 2009 a 2010 byly v některých následujících subkapitolách diplomové práce použity výsledky vybraných makroekonomických ukazatelů. Nelze opomenout, že negativní působení globální krize v tomto období míru dosavadních přínosů, a tím i hodnotu ukazatelů značně ovlivnilo.     </w:t>
      </w:r>
    </w:p>
    <w:p w:rsidR="00712E44" w:rsidRDefault="00712E44" w:rsidP="00C535FC">
      <w:pPr>
        <w:spacing w:line="360" w:lineRule="auto"/>
        <w:jc w:val="both"/>
        <w:rPr>
          <w:bCs/>
        </w:rPr>
      </w:pPr>
    </w:p>
    <w:p w:rsidR="00712E44" w:rsidRPr="008C2688"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 xml:space="preserve">4.4 Vliv zavedení eura na ekonomický růst Slovenska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Jedním z výše uvedených nepřímých přínosů zavedení eura bylo zrychlení ekonomického růstu a zvýšení životní úrovně. Jelikož vývoj hospodářství hluboce ovlivnila globální krize, lze pouze hodnotit, zdali výkonnosti slovenské ekonomiky </w:t>
      </w:r>
      <w:r w:rsidRPr="001D4970">
        <w:rPr>
          <w:bCs/>
        </w:rPr>
        <w:t>v době krize členství</w:t>
      </w:r>
      <w:r>
        <w:rPr>
          <w:bCs/>
        </w:rPr>
        <w:t xml:space="preserve"> v eurozóně pomohlo nebo uškodilo.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Makroekonomickým ukazatelem ekonomického růstu země je hrubý domácí produkt (HDP). Jedná se o tržní hodnotu celkové produkce finálních výrobků, které jsou produkovány výrobními faktory na území státu, a to bez ohledu na národní příslušnost užívaných faktorů. HDP je zpravidla uváděn v běžných cenách daného roku. Při zjišťování růstu HDP se jeho hodnota v běžných cenách upravuje o vliv růstu cen a přepočítává na úroveň stálých cen. V tomto případě se jedná o reálný HDP.</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Pr>
          <w:b/>
          <w:bCs/>
          <w:sz w:val="28"/>
          <w:szCs w:val="28"/>
        </w:rPr>
        <w:t>4.5 Slovenská ekonomika v roce 2009 a 2010</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 roce 2009 slovenská ekonomika byla plně ovlivněna důsledky globální finanční </w:t>
      </w:r>
      <w:r>
        <w:rPr>
          <w:bCs/>
        </w:rPr>
        <w:br/>
        <w:t xml:space="preserve">a hospodářské krize. Již závěr roku 2008 zaznamenal velký pokles průmyslové produkce, </w:t>
      </w:r>
      <w:r>
        <w:rPr>
          <w:bCs/>
        </w:rPr>
        <w:br/>
      </w:r>
      <w:r w:rsidRPr="001D4970">
        <w:rPr>
          <w:bCs/>
        </w:rPr>
        <w:t>která se</w:t>
      </w:r>
      <w:r>
        <w:rPr>
          <w:bCs/>
        </w:rPr>
        <w:t xml:space="preserve"> z propadu nevzpamatovala ani do konce roku 2009. Lednová plynová krize v roce 2009 negativní dopady ještě vyhrotila. Meziroční propad průmyslové výroby byl podle údajů Štatistického úradu SR </w:t>
      </w:r>
      <w:r w:rsidRPr="001D4970">
        <w:rPr>
          <w:bCs/>
        </w:rPr>
        <w:t xml:space="preserve">o 28,2 %. V následujícím průběhu roku už sice docházelo </w:t>
      </w:r>
      <w:r>
        <w:rPr>
          <w:bCs/>
        </w:rPr>
        <w:br/>
      </w:r>
      <w:r w:rsidRPr="001D4970">
        <w:rPr>
          <w:bCs/>
        </w:rPr>
        <w:t>ke stabilizaci, ale následky krize stejně způsobily hromadné propouštění a nutnost změn investičních plánů výrobních podniků.</w:t>
      </w:r>
      <w:r>
        <w:rPr>
          <w:bCs/>
        </w:rPr>
        <w:t xml:space="preserve"> Služby závislé na produkci průmyslu, jako </w:t>
      </w:r>
      <w:r>
        <w:rPr>
          <w:bCs/>
        </w:rPr>
        <w:br/>
      </w:r>
      <w:r>
        <w:rPr>
          <w:bCs/>
        </w:rPr>
        <w:lastRenderedPageBreak/>
        <w:t>je např. doprava a velkoobchod zaznamenaly výrazný pokles tržeb.</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Největší</w:t>
      </w:r>
      <w:r w:rsidRPr="00FD2446">
        <w:rPr>
          <w:bCs/>
          <w:color w:val="00B050"/>
        </w:rPr>
        <w:t xml:space="preserve"> </w:t>
      </w:r>
      <w:r w:rsidRPr="001D4970">
        <w:rPr>
          <w:bCs/>
        </w:rPr>
        <w:t>meziroční pokles</w:t>
      </w:r>
      <w:r>
        <w:rPr>
          <w:bCs/>
        </w:rPr>
        <w:t xml:space="preserve"> zaznamenal export a hned za ním investice. Spotřeba domácností byla ovlivněna nárůstem nezaměstnanosti a nízkým růstem mezd, ale jen s mírným meziročním poklesem. Spotřeba vlády byla jedinou položkou s kladným meziročním růstem, souviselo to s neochotou vlády měnit schválený plán výdajů ještě z podzimu 2008. Celoroční pokles výkonnosti slovenské ekonomiky byl na úrovni – 4,7 %. Tímto výsledkem </w:t>
      </w:r>
      <w:r>
        <w:rPr>
          <w:bCs/>
        </w:rPr>
        <w:br/>
        <w:t xml:space="preserve">se Slovensko zařadilo k průměru eurozóny.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Rok 2010 byl už pro slovenské hospodářství o něco pozitivnější. Na základě údajů Štatistického úradu </w:t>
      </w:r>
      <w:r w:rsidRPr="001D4970">
        <w:rPr>
          <w:bCs/>
        </w:rPr>
        <w:t>SR byl za rok 2010 vytvořen hrubý domácí produkt</w:t>
      </w:r>
      <w:r>
        <w:rPr>
          <w:bCs/>
        </w:rPr>
        <w:t xml:space="preserve"> v objemu </w:t>
      </w:r>
      <w:r>
        <w:rPr>
          <w:bCs/>
        </w:rPr>
        <w:br/>
        <w:t>65,9 miliardy eur. V běžných cenách v porovnání s rokem 2009 vzrostl o 4,5 % a ve stálých cenách o 4 %.</w:t>
      </w:r>
      <w:r>
        <w:rPr>
          <w:rStyle w:val="Znakapoznpodarou"/>
          <w:bCs/>
        </w:rPr>
        <w:footnoteReference w:id="40"/>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Ekonomický analytik Tatra banky Boris Fojtík se vyjádřil že </w:t>
      </w:r>
      <w:r>
        <w:rPr>
          <w:bCs/>
          <w:i/>
        </w:rPr>
        <w:t>„</w:t>
      </w:r>
      <w:r>
        <w:rPr>
          <w:i/>
          <w:iCs/>
        </w:rPr>
        <w:t xml:space="preserve">silným motorom rastu bol opäť zahraničný dopyt, ktorý prispel 1,5 p. b. Najväčším pozitívom však bol 10 %- ný rast investícií, čo predstavuje príspevok zhruba 2 p. b. Investície podporujú aj vyhliadky </w:t>
      </w:r>
      <w:r>
        <w:rPr>
          <w:i/>
          <w:iCs/>
        </w:rPr>
        <w:br/>
        <w:t xml:space="preserve">do budúcnosti, keďže je s nimi spojený aj rast produkčných kapacít. Ďalším plusom </w:t>
      </w:r>
      <w:r>
        <w:rPr>
          <w:i/>
          <w:iCs/>
        </w:rPr>
        <w:br/>
        <w:t>je spotreba domácností, ktorá sa v roku 2010 po prvýkrát vymanila z červených čísel (0,5 %) a predpokladáme, že v roku 2011 sa bude tempo rastu spotreby domácností naďalej zvyšovať. Naopak snaha vlády konsolidovať verejné financie sa prejavila v poklese jej spotreby o viac ako 3 %.“</w:t>
      </w:r>
      <w:r>
        <w:rPr>
          <w:rStyle w:val="Znakapoznpodarou"/>
          <w:i/>
          <w:iCs/>
        </w:rPr>
        <w:footnoteReference w:id="41"/>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sidRPr="001D4970">
        <w:rPr>
          <w:bCs/>
        </w:rPr>
        <w:t xml:space="preserve">V následujícím grafu (Obr. 2) lze porovnat vývoj HDP Slovenska, České republiky </w:t>
      </w:r>
      <w:r>
        <w:rPr>
          <w:bCs/>
        </w:rPr>
        <w:br/>
      </w:r>
      <w:r w:rsidRPr="001D4970">
        <w:rPr>
          <w:bCs/>
        </w:rPr>
        <w:t>a Eurozóny vyjádřený evropskou metodikou.</w:t>
      </w:r>
      <w:r>
        <w:rPr>
          <w:bCs/>
        </w:rPr>
        <w:t xml:space="preserve"> Ekonomika České republiky je podobná ekonomice</w:t>
      </w:r>
      <w:r w:rsidRPr="00175E48">
        <w:rPr>
          <w:bCs/>
        </w:rPr>
        <w:t xml:space="preserve"> </w:t>
      </w:r>
      <w:r>
        <w:rPr>
          <w:bCs/>
        </w:rPr>
        <w:t xml:space="preserve">slovenské. Z tohoto důvodu byl její vývoj HDP v roce 2009 a 2010 použitý </w:t>
      </w:r>
      <w:r>
        <w:rPr>
          <w:bCs/>
        </w:rPr>
        <w:br/>
        <w:t xml:space="preserve">pro srovnání. Vývoj HDP celé eurozóny má nastínit, v jaké míře se Slovensko během dvou let přibližovalo, či vzdalovalo průměru EMU.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 následujícího grafického znázornění je patrné, že se v roce 2009 ekonomika Slovenska </w:t>
      </w:r>
      <w:r>
        <w:rPr>
          <w:bCs/>
        </w:rPr>
        <w:lastRenderedPageBreak/>
        <w:t xml:space="preserve">vyvíjela mírně pod průměrem eurozóny a ještě o něco negativněji než Česká republika. V tomto období mohla být stabilní měna pro výkonnost ekonomiky nevýhodou, protože </w:t>
      </w:r>
      <w:r>
        <w:rPr>
          <w:bCs/>
        </w:rPr>
        <w:br/>
        <w:t xml:space="preserve">z důvodu recese došlo ve srovnání s Českou republikou k rapidnějšímu poklesu HDP. </w:t>
      </w:r>
      <w:r>
        <w:rPr>
          <w:bCs/>
        </w:rPr>
        <w:br/>
        <w:t xml:space="preserve">Ale již ke konci roku 2009 se ekonomický růst dostával ke kladným hodnotám a první kvartál v roce 2010 zaznamenal rapidní růst. Sice během následujících kvartálních období se růst zmírňoval, pořád byla výkonnost slovenského hospodářství nad úrovní průměrného HDP eurozóny a rovněž i České republiky. </w:t>
      </w:r>
    </w:p>
    <w:p w:rsidR="00712E44" w:rsidRDefault="00712E44" w:rsidP="00C535FC">
      <w:pPr>
        <w:spacing w:line="360" w:lineRule="auto"/>
        <w:jc w:val="both"/>
        <w:rPr>
          <w:bCs/>
        </w:rPr>
      </w:pPr>
    </w:p>
    <w:p w:rsidR="00712E44" w:rsidRDefault="00DC4908" w:rsidP="00C535FC">
      <w:pPr>
        <w:spacing w:line="360" w:lineRule="auto"/>
        <w:jc w:val="both"/>
        <w:rPr>
          <w:bCs/>
        </w:rPr>
      </w:pPr>
      <w:r>
        <w:rPr>
          <w:noProof/>
          <w:lang w:eastAsia="cs-CZ"/>
        </w:rPr>
        <w:drawing>
          <wp:inline distT="0" distB="0" distL="0" distR="0">
            <wp:extent cx="5962650" cy="2181225"/>
            <wp:effectExtent l="19050" t="0" r="0" b="0"/>
            <wp:docPr id="3" name="Graf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2"/>
                    <a:srcRect b="-58"/>
                    <a:stretch>
                      <a:fillRect/>
                    </a:stretch>
                  </pic:blipFill>
                  <pic:spPr bwMode="auto">
                    <a:xfrm>
                      <a:off x="0" y="0"/>
                      <a:ext cx="5962650" cy="2181225"/>
                    </a:xfrm>
                    <a:prstGeom prst="rect">
                      <a:avLst/>
                    </a:prstGeom>
                    <a:noFill/>
                    <a:ln w="9525">
                      <a:noFill/>
                      <a:miter lim="800000"/>
                      <a:headEnd/>
                      <a:tailEnd/>
                    </a:ln>
                  </pic:spPr>
                </pic:pic>
              </a:graphicData>
            </a:graphic>
          </wp:inline>
        </w:drawing>
      </w:r>
    </w:p>
    <w:p w:rsidR="00712E44" w:rsidRPr="004B142B" w:rsidRDefault="00712E44" w:rsidP="00C535FC">
      <w:pPr>
        <w:spacing w:line="360" w:lineRule="auto"/>
        <w:rPr>
          <w:b/>
          <w:sz w:val="20"/>
          <w:szCs w:val="20"/>
        </w:rPr>
      </w:pPr>
      <w:r>
        <w:rPr>
          <w:b/>
          <w:sz w:val="20"/>
          <w:szCs w:val="20"/>
        </w:rPr>
        <w:t>Obr. 2 Vývoj čtvrtletního meziročního HDP</w:t>
      </w:r>
    </w:p>
    <w:p w:rsidR="00712E44" w:rsidRDefault="00712E44" w:rsidP="00C535FC">
      <w:pPr>
        <w:spacing w:line="360" w:lineRule="auto"/>
      </w:pPr>
      <w:r>
        <w:rPr>
          <w:i/>
          <w:sz w:val="20"/>
          <w:szCs w:val="20"/>
        </w:rPr>
        <w:t xml:space="preserve"> </w:t>
      </w:r>
      <w:r w:rsidRPr="00811E67">
        <w:rPr>
          <w:i/>
          <w:sz w:val="20"/>
          <w:szCs w:val="20"/>
        </w:rPr>
        <w:t>Zdroj:</w:t>
      </w:r>
      <w:r>
        <w:rPr>
          <w:i/>
          <w:sz w:val="20"/>
          <w:szCs w:val="20"/>
        </w:rPr>
        <w:t xml:space="preserve"> vlastní zpracování na základě údajů zveřejněných Eurostatem</w:t>
      </w:r>
      <w:r w:rsidRPr="00E67258">
        <w:rPr>
          <w:i/>
          <w:sz w:val="20"/>
          <w:szCs w:val="20"/>
        </w:rPr>
        <w:t xml:space="preserve">                                                                                                      </w:t>
      </w:r>
      <w:r>
        <w:rPr>
          <w:i/>
          <w:sz w:val="20"/>
          <w:szCs w:val="20"/>
        </w:rPr>
        <w:t xml:space="preserve"> </w:t>
      </w:r>
    </w:p>
    <w:p w:rsidR="00712E44" w:rsidRPr="00E67258" w:rsidRDefault="00712E44" w:rsidP="00C535FC">
      <w:pPr>
        <w:tabs>
          <w:tab w:val="left" w:pos="705"/>
        </w:tabs>
        <w:spacing w:line="360" w:lineRule="auto"/>
        <w:jc w:val="both"/>
      </w:pPr>
      <w:r>
        <w:t xml:space="preserve">                               </w:t>
      </w:r>
    </w:p>
    <w:p w:rsidR="00712E44" w:rsidRDefault="00712E44" w:rsidP="00C535FC">
      <w:pPr>
        <w:spacing w:line="360" w:lineRule="auto"/>
        <w:jc w:val="both"/>
        <w:rPr>
          <w:bCs/>
        </w:rPr>
      </w:pPr>
      <w:r>
        <w:rPr>
          <w:bCs/>
        </w:rPr>
        <w:t>Ekonomický růst v roce 2010, významně ovlivněn zvýšením zahraniční poptávky, naznačuje postupné uzdravování se z důsledků světové hospodářské krize.</w:t>
      </w:r>
    </w:p>
    <w:p w:rsidR="00712E44" w:rsidRDefault="00712E44" w:rsidP="00C535FC">
      <w:pPr>
        <w:spacing w:line="360" w:lineRule="auto"/>
        <w:jc w:val="both"/>
        <w:rPr>
          <w:bCs/>
        </w:rPr>
      </w:pPr>
    </w:p>
    <w:p w:rsidR="00712E44" w:rsidRPr="00860DD7"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 xml:space="preserve">4.5.1 Vliv zavedení eura na zahraniční obchod </w:t>
      </w:r>
    </w:p>
    <w:p w:rsidR="00712E44" w:rsidRPr="00066B02" w:rsidRDefault="00712E44" w:rsidP="00C535FC">
      <w:pPr>
        <w:spacing w:line="360" w:lineRule="auto"/>
        <w:jc w:val="both"/>
        <w:rPr>
          <w:bCs/>
        </w:rPr>
      </w:pPr>
    </w:p>
    <w:p w:rsidR="00712E44" w:rsidRDefault="00712E44" w:rsidP="00C535FC">
      <w:pPr>
        <w:spacing w:line="360" w:lineRule="auto"/>
        <w:jc w:val="both"/>
        <w:rPr>
          <w:bCs/>
        </w:rPr>
      </w:pPr>
      <w:r>
        <w:rPr>
          <w:bCs/>
        </w:rPr>
        <w:t xml:space="preserve">Bilance zahraničního obchodu byla v roce 2009 jedním z mála pozitivně se vyvíjejících ukazatelů. Na základě údajů Štatistického úradu SR meziročně stoupla o 1703,9 mil. EUR. </w:t>
      </w:r>
      <w:r>
        <w:rPr>
          <w:bCs/>
        </w:rPr>
        <w:br/>
        <w:t>I když došlo k výraznému poklesu exportu oproti roku 2008, na straně druhé značný pokles zaznamenal i import, což se projevilo na celkovém saldu</w:t>
      </w:r>
      <w:r w:rsidRPr="00860DD7">
        <w:rPr>
          <w:bCs/>
        </w:rPr>
        <w:t xml:space="preserve"> </w:t>
      </w:r>
      <w:r>
        <w:rPr>
          <w:bCs/>
        </w:rPr>
        <w:t xml:space="preserve">pozitivně.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Jelikož jsou prozatím k dispozici pouze předběžné údaje zahraničního obchodu za rok 2010, lze vyvodit pouze přibližné výsledky. Štatistický úrad SR ke dni 17. dubna 2011 </w:t>
      </w:r>
      <w:r>
        <w:rPr>
          <w:bCs/>
        </w:rPr>
        <w:br/>
        <w:t xml:space="preserve">uvádí celkový dovoz za rok 2010 v hodnotě 48 653, 5 mil. eur a celkový vývoz ve výši </w:t>
      </w:r>
      <w:r>
        <w:rPr>
          <w:bCs/>
        </w:rPr>
        <w:br/>
      </w:r>
      <w:r>
        <w:rPr>
          <w:bCs/>
        </w:rPr>
        <w:lastRenderedPageBreak/>
        <w:t xml:space="preserve">48 791,0 mil. eur. Z hlediska hlavních ekonomických seskupení vzrostl vývoz do zemí EU </w:t>
      </w:r>
      <w:r>
        <w:rPr>
          <w:bCs/>
        </w:rPr>
        <w:br/>
        <w:t>o 21 %, což představuje 84,4 % celkového vývozu SR a do zemí OECD o 21,4 %, jenž tvoří podíl na celkovém vývozu 85,9 %. Celkový dovoz ze zemí EU meziročně vzrostl o 21,3 %, čímž tvořil 66 % z celkového dovozu a ze zemí OECD o 20,9 %. Podíl dovozu z členských států OECD na celkovém dovozu představoval 62,1 %.</w:t>
      </w:r>
      <w:r>
        <w:rPr>
          <w:rStyle w:val="Znakapoznpodarou"/>
          <w:bCs/>
        </w:rPr>
        <w:footnoteReference w:id="42"/>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Další grafické znázornění </w:t>
      </w:r>
      <w:r w:rsidRPr="009660B5">
        <w:rPr>
          <w:bCs/>
        </w:rPr>
        <w:t>(Obr. 3)</w:t>
      </w:r>
      <w:r>
        <w:rPr>
          <w:bCs/>
        </w:rPr>
        <w:t xml:space="preserve"> vyjadřuje podíl eurozóny a České republiky </w:t>
      </w:r>
      <w:r>
        <w:rPr>
          <w:bCs/>
        </w:rPr>
        <w:br/>
        <w:t>na celkovém vývozu Slovenska v období 2008 – 2009.</w:t>
      </w:r>
    </w:p>
    <w:p w:rsidR="00712E44" w:rsidRDefault="00712E44" w:rsidP="00C535FC">
      <w:pPr>
        <w:spacing w:line="360" w:lineRule="auto"/>
        <w:jc w:val="both"/>
        <w:rPr>
          <w:bCs/>
        </w:rPr>
      </w:pPr>
    </w:p>
    <w:p w:rsidR="00712E44" w:rsidRDefault="00DC4908" w:rsidP="00C535FC">
      <w:pPr>
        <w:spacing w:line="360" w:lineRule="auto"/>
        <w:jc w:val="center"/>
        <w:rPr>
          <w:bCs/>
        </w:rPr>
      </w:pPr>
      <w:r>
        <w:rPr>
          <w:noProof/>
          <w:lang w:eastAsia="cs-CZ"/>
        </w:rPr>
        <w:drawing>
          <wp:inline distT="0" distB="0" distL="0" distR="0">
            <wp:extent cx="3105150" cy="1238250"/>
            <wp:effectExtent l="19050" t="0" r="0" b="0"/>
            <wp:docPr id="4" name="Graf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9"/>
                    <pic:cNvPicPr>
                      <a:picLocks noChangeArrowheads="1"/>
                    </pic:cNvPicPr>
                  </pic:nvPicPr>
                  <pic:blipFill>
                    <a:blip r:embed="rId13"/>
                    <a:srcRect/>
                    <a:stretch>
                      <a:fillRect/>
                    </a:stretch>
                  </pic:blipFill>
                  <pic:spPr bwMode="auto">
                    <a:xfrm>
                      <a:off x="0" y="0"/>
                      <a:ext cx="3105150" cy="1238250"/>
                    </a:xfrm>
                    <a:prstGeom prst="rect">
                      <a:avLst/>
                    </a:prstGeom>
                    <a:noFill/>
                    <a:ln w="9525">
                      <a:noFill/>
                      <a:miter lim="800000"/>
                      <a:headEnd/>
                      <a:tailEnd/>
                    </a:ln>
                  </pic:spPr>
                </pic:pic>
              </a:graphicData>
            </a:graphic>
          </wp:inline>
        </w:drawing>
      </w:r>
    </w:p>
    <w:p w:rsidR="00712E44" w:rsidRDefault="00712E44" w:rsidP="00C535FC">
      <w:pPr>
        <w:spacing w:line="360" w:lineRule="auto"/>
        <w:rPr>
          <w:b/>
          <w:sz w:val="20"/>
          <w:szCs w:val="20"/>
        </w:rPr>
      </w:pPr>
      <w:r>
        <w:rPr>
          <w:bCs/>
        </w:rPr>
        <w:t xml:space="preserve">                                   </w:t>
      </w:r>
      <w:r>
        <w:rPr>
          <w:b/>
          <w:sz w:val="20"/>
          <w:szCs w:val="20"/>
        </w:rPr>
        <w:t>Obr. 3 Podíl eurozóny a České republiky na celkovém exportu SR</w:t>
      </w:r>
    </w:p>
    <w:p w:rsidR="00712E44" w:rsidRDefault="00712E44" w:rsidP="00C535FC">
      <w:pPr>
        <w:spacing w:line="360" w:lineRule="auto"/>
        <w:rPr>
          <w:i/>
          <w:sz w:val="20"/>
          <w:szCs w:val="20"/>
        </w:rPr>
      </w:pPr>
      <w:r>
        <w:rPr>
          <w:b/>
          <w:sz w:val="20"/>
          <w:szCs w:val="20"/>
        </w:rPr>
        <w:t xml:space="preserve">                                          v období 2008 – 2010</w:t>
      </w:r>
      <w:r>
        <w:rPr>
          <w:i/>
          <w:sz w:val="20"/>
          <w:szCs w:val="20"/>
        </w:rPr>
        <w:t xml:space="preserve">       </w:t>
      </w:r>
    </w:p>
    <w:p w:rsidR="00712E44" w:rsidRDefault="00712E44" w:rsidP="00C535FC">
      <w:pPr>
        <w:spacing w:line="360" w:lineRule="auto"/>
      </w:pPr>
      <w:r>
        <w:rPr>
          <w:i/>
          <w:sz w:val="20"/>
          <w:szCs w:val="20"/>
        </w:rPr>
        <w:t xml:space="preserve">                                          </w:t>
      </w:r>
      <w:r w:rsidRPr="00811E67">
        <w:rPr>
          <w:i/>
          <w:sz w:val="20"/>
          <w:szCs w:val="20"/>
        </w:rPr>
        <w:t>Zdroj:</w:t>
      </w:r>
      <w:r>
        <w:rPr>
          <w:i/>
          <w:sz w:val="20"/>
          <w:szCs w:val="20"/>
        </w:rPr>
        <w:t xml:space="preserve"> vlastní zpracování na základě údajů zveřejněných Štatistickým úradom SR</w:t>
      </w:r>
      <w:r w:rsidRPr="00E67258">
        <w:rPr>
          <w:i/>
          <w:sz w:val="20"/>
          <w:szCs w:val="20"/>
        </w:rPr>
        <w:t xml:space="preserve">                                                                                                      </w:t>
      </w:r>
      <w:r>
        <w:rPr>
          <w:i/>
          <w:sz w:val="20"/>
          <w:szCs w:val="20"/>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 grafu je </w:t>
      </w:r>
      <w:r w:rsidRPr="001D4970">
        <w:rPr>
          <w:bCs/>
        </w:rPr>
        <w:t>patrné, že se v celém zkoumaném období podíly</w:t>
      </w:r>
      <w:r>
        <w:rPr>
          <w:bCs/>
        </w:rPr>
        <w:t xml:space="preserve"> České republiky, eurozóny </w:t>
      </w:r>
      <w:r>
        <w:rPr>
          <w:bCs/>
        </w:rPr>
        <w:br/>
        <w:t xml:space="preserve">a ostatních zemí na celkovém slovenském exportu držely přibližně na stejné úrovni. Eurozóna se podílí skoro na polovině všech exportů, což je pro Slovensko velkou výhodou z důvodu nižších nákladů. V případě, že by se Česká republika stala také členem eurozóny, podíl zemí, jejichž zákonným platidlem je euro, by vzrostl na více než 60 %  z celkových vývozů.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Další graf (</w:t>
      </w:r>
      <w:r w:rsidRPr="009660B5">
        <w:rPr>
          <w:bCs/>
        </w:rPr>
        <w:t>Obr. 4)</w:t>
      </w:r>
      <w:r>
        <w:rPr>
          <w:bCs/>
        </w:rPr>
        <w:t xml:space="preserve"> znázorňuje podíly eurozóny a ČR na celkovém importu Slovenské republiky. </w:t>
      </w:r>
    </w:p>
    <w:p w:rsidR="00712E44" w:rsidRDefault="00712E44" w:rsidP="00C535FC">
      <w:pPr>
        <w:spacing w:line="360" w:lineRule="auto"/>
        <w:jc w:val="both"/>
        <w:rPr>
          <w:bCs/>
        </w:rPr>
      </w:pPr>
    </w:p>
    <w:p w:rsidR="00712E44" w:rsidRDefault="00712E44" w:rsidP="00F32177">
      <w:pPr>
        <w:spacing w:line="360" w:lineRule="auto"/>
        <w:jc w:val="both"/>
        <w:rPr>
          <w:bCs/>
        </w:rPr>
      </w:pPr>
      <w:r>
        <w:rPr>
          <w:bCs/>
        </w:rPr>
        <w:t xml:space="preserve">Opět jsou jednotlivé podíly přibližně na stejné úrovni ve všech letech zkoumaného období. Dovozy z eurozóny však představují nižší procento </w:t>
      </w:r>
      <w:r w:rsidRPr="001D4970">
        <w:rPr>
          <w:bCs/>
        </w:rPr>
        <w:t xml:space="preserve">na celkovém importu ve srovnání s exportem. I </w:t>
      </w:r>
      <w:r>
        <w:rPr>
          <w:bCs/>
        </w:rPr>
        <w:t xml:space="preserve">v případě, že by ČR vstoupila do HMU, podíl zemí s eurem by pravděpodobně na celkovém importu představoval pouze kolem 40 %.  </w:t>
      </w:r>
    </w:p>
    <w:p w:rsidR="00712E44" w:rsidRDefault="00712E44" w:rsidP="00C535FC">
      <w:pPr>
        <w:spacing w:line="360" w:lineRule="auto"/>
        <w:jc w:val="both"/>
        <w:rPr>
          <w:bCs/>
        </w:rPr>
      </w:pPr>
    </w:p>
    <w:p w:rsidR="00712E44" w:rsidRDefault="00DC4908" w:rsidP="00C535FC">
      <w:pPr>
        <w:spacing w:line="360" w:lineRule="auto"/>
        <w:jc w:val="center"/>
        <w:rPr>
          <w:bCs/>
        </w:rPr>
      </w:pPr>
      <w:r>
        <w:rPr>
          <w:noProof/>
          <w:lang w:eastAsia="cs-CZ"/>
        </w:rPr>
        <w:lastRenderedPageBreak/>
        <w:drawing>
          <wp:inline distT="0" distB="0" distL="0" distR="0">
            <wp:extent cx="3000375" cy="1266825"/>
            <wp:effectExtent l="19050" t="0" r="9525" b="0"/>
            <wp:docPr id="5" name="obrázek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4"/>
                    <a:srcRect b="-101"/>
                    <a:stretch>
                      <a:fillRect/>
                    </a:stretch>
                  </pic:blipFill>
                  <pic:spPr bwMode="auto">
                    <a:xfrm>
                      <a:off x="0" y="0"/>
                      <a:ext cx="3000375" cy="1266825"/>
                    </a:xfrm>
                    <a:prstGeom prst="rect">
                      <a:avLst/>
                    </a:prstGeom>
                    <a:noFill/>
                    <a:ln w="9525">
                      <a:noFill/>
                      <a:miter lim="800000"/>
                      <a:headEnd/>
                      <a:tailEnd/>
                    </a:ln>
                  </pic:spPr>
                </pic:pic>
              </a:graphicData>
            </a:graphic>
          </wp:inline>
        </w:drawing>
      </w:r>
    </w:p>
    <w:p w:rsidR="00712E44" w:rsidRDefault="00712E44" w:rsidP="00C535FC">
      <w:pPr>
        <w:spacing w:line="360" w:lineRule="auto"/>
        <w:rPr>
          <w:b/>
          <w:sz w:val="20"/>
          <w:szCs w:val="20"/>
        </w:rPr>
      </w:pPr>
      <w:r>
        <w:rPr>
          <w:bCs/>
        </w:rPr>
        <w:t xml:space="preserve">                                     </w:t>
      </w:r>
      <w:r>
        <w:rPr>
          <w:b/>
          <w:sz w:val="20"/>
          <w:szCs w:val="20"/>
        </w:rPr>
        <w:t xml:space="preserve">Obr. 4 Podíl eurozóny a České republiky na celkovém importu SR                                             </w:t>
      </w:r>
    </w:p>
    <w:p w:rsidR="00712E44" w:rsidRDefault="00712E44" w:rsidP="00C535FC">
      <w:pPr>
        <w:spacing w:line="360" w:lineRule="auto"/>
        <w:rPr>
          <w:i/>
          <w:sz w:val="20"/>
          <w:szCs w:val="20"/>
        </w:rPr>
      </w:pPr>
      <w:r>
        <w:rPr>
          <w:b/>
          <w:sz w:val="20"/>
          <w:szCs w:val="20"/>
        </w:rPr>
        <w:t xml:space="preserve">                                             v období 2008 – 2010</w:t>
      </w:r>
      <w:r>
        <w:rPr>
          <w:i/>
          <w:sz w:val="20"/>
          <w:szCs w:val="20"/>
        </w:rPr>
        <w:t xml:space="preserve">       </w:t>
      </w:r>
    </w:p>
    <w:p w:rsidR="00712E44" w:rsidRDefault="00712E44" w:rsidP="00C535FC">
      <w:pPr>
        <w:spacing w:line="360" w:lineRule="auto"/>
        <w:jc w:val="both"/>
        <w:rPr>
          <w:bCs/>
        </w:rPr>
      </w:pPr>
      <w:r>
        <w:rPr>
          <w:i/>
          <w:sz w:val="20"/>
          <w:szCs w:val="20"/>
        </w:rPr>
        <w:t xml:space="preserve">                                            </w:t>
      </w:r>
      <w:r w:rsidRPr="00811E67">
        <w:rPr>
          <w:i/>
          <w:sz w:val="20"/>
          <w:szCs w:val="20"/>
        </w:rPr>
        <w:t>Zdroj:</w:t>
      </w:r>
      <w:r>
        <w:rPr>
          <w:i/>
          <w:sz w:val="20"/>
          <w:szCs w:val="20"/>
        </w:rPr>
        <w:t xml:space="preserve"> vlastní zpracování na základě údajů zveřejněných Štatistickým úradom SR</w:t>
      </w:r>
      <w:r w:rsidRPr="00E67258">
        <w:rPr>
          <w:i/>
          <w:sz w:val="20"/>
          <w:szCs w:val="20"/>
        </w:rPr>
        <w:t xml:space="preserve">                                                                                                      </w:t>
      </w:r>
      <w:r>
        <w:rPr>
          <w:i/>
          <w:sz w:val="20"/>
          <w:szCs w:val="20"/>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Přesto na základě těchto grafů je možné konstatovat silnou, a to hlavně exportní, propojenost zahraničního obchodu Slovenské republiky s eurozónou. </w:t>
      </w:r>
    </w:p>
    <w:p w:rsidR="00712E44" w:rsidRDefault="00712E44" w:rsidP="00C535FC">
      <w:pPr>
        <w:spacing w:line="360" w:lineRule="auto"/>
        <w:jc w:val="both"/>
        <w:rPr>
          <w:bCs/>
        </w:rPr>
      </w:pPr>
    </w:p>
    <w:p w:rsidR="00712E44" w:rsidRPr="00753322" w:rsidRDefault="00712E44" w:rsidP="00C535FC">
      <w:pPr>
        <w:spacing w:line="360" w:lineRule="auto"/>
        <w:jc w:val="both"/>
        <w:rPr>
          <w:bCs/>
        </w:rPr>
      </w:pPr>
      <w:r w:rsidRPr="00753322">
        <w:rPr>
          <w:bCs/>
        </w:rPr>
        <w:t xml:space="preserve">Dalším zjištěním je, že i když byly v roce 2009 výsledky obchodní bilance ovlivněny hospodářskou krizí, procentuální podíly exportu do ČR a eurozóny se i v ostatních letech zkoumaného období vyvíjely podobně. Naproti tomu, podíl dovozu ze zemí mimo </w:t>
      </w:r>
      <w:r w:rsidRPr="00753322">
        <w:rPr>
          <w:bCs/>
        </w:rPr>
        <w:br/>
        <w:t xml:space="preserve">ČR a eurózonu v roce 2010 mírně vzrostl, což mohlo být způsobeno výhodou silnější slovenské zákonné měny. </w:t>
      </w:r>
    </w:p>
    <w:p w:rsidR="00712E44" w:rsidRPr="0096716A" w:rsidRDefault="00712E44" w:rsidP="00C535FC">
      <w:pPr>
        <w:spacing w:line="360" w:lineRule="auto"/>
        <w:jc w:val="both"/>
        <w:rPr>
          <w:bCs/>
        </w:rPr>
      </w:pPr>
    </w:p>
    <w:p w:rsidR="00712E44" w:rsidRDefault="00712E44" w:rsidP="00C535FC">
      <w:pPr>
        <w:spacing w:line="360" w:lineRule="auto"/>
        <w:jc w:val="both"/>
        <w:rPr>
          <w:bCs/>
        </w:rPr>
      </w:pPr>
    </w:p>
    <w:p w:rsidR="00712E44" w:rsidRPr="00753322" w:rsidRDefault="00712E44" w:rsidP="00C535FC">
      <w:pPr>
        <w:spacing w:line="360" w:lineRule="auto"/>
        <w:jc w:val="both"/>
        <w:rPr>
          <w:b/>
          <w:bCs/>
          <w:sz w:val="28"/>
          <w:szCs w:val="28"/>
        </w:rPr>
      </w:pPr>
      <w:r w:rsidRPr="00753322">
        <w:rPr>
          <w:b/>
          <w:bCs/>
          <w:sz w:val="28"/>
          <w:szCs w:val="28"/>
        </w:rPr>
        <w:t>4.5.2 Vliv zavedení eura na vývoj průmyslové produkce</w:t>
      </w:r>
    </w:p>
    <w:p w:rsidR="00712E44" w:rsidRPr="00753322" w:rsidRDefault="00712E44" w:rsidP="00C535FC">
      <w:pPr>
        <w:spacing w:line="360" w:lineRule="auto"/>
        <w:jc w:val="both"/>
        <w:rPr>
          <w:bCs/>
        </w:rPr>
      </w:pPr>
    </w:p>
    <w:p w:rsidR="00712E44" w:rsidRPr="00753322" w:rsidRDefault="00712E44" w:rsidP="00C535FC">
      <w:pPr>
        <w:spacing w:line="360" w:lineRule="auto"/>
        <w:jc w:val="both"/>
        <w:rPr>
          <w:bCs/>
        </w:rPr>
      </w:pPr>
      <w:r w:rsidRPr="00753322">
        <w:rPr>
          <w:bCs/>
        </w:rPr>
        <w:t>V roce 2009 slovenská ekonomika nez</w:t>
      </w:r>
      <w:r>
        <w:rPr>
          <w:bCs/>
        </w:rPr>
        <w:t>az</w:t>
      </w:r>
      <w:r w:rsidRPr="00753322">
        <w:rPr>
          <w:bCs/>
        </w:rPr>
        <w:t xml:space="preserve">namenala výrazný pokles pouze u vývozu, nýbrž také </w:t>
      </w:r>
      <w:r w:rsidRPr="00753322">
        <w:rPr>
          <w:bCs/>
        </w:rPr>
        <w:br/>
        <w:t xml:space="preserve">v průmyslové produkci. Jestli tento propad způsobil silný konverzní kurz eura, je možné odvodit z následujícího grafu (Obr. 5). Jedná se o srovnání vývoje průmyslové produkce </w:t>
      </w:r>
      <w:r w:rsidRPr="00753322">
        <w:rPr>
          <w:bCs/>
        </w:rPr>
        <w:br/>
        <w:t>na Slovensku, v České republice a průměru průmyslové produkce v zemích EU a eurozóny. Kdyby došlo k zmiňovanému dramatickému poklesu v souvislosti se silným konverzním kurzem v rámci přechodu na euro, v tomto případě by Slovensko zaznamenalo pomalejší růst (popřípadě pokles) než v České republice, jejíž ekonomika je se slovenskou srovnatelná. Hodnoty indexů v grafu byly čerpány z údajů zveřejněných Eurostatem, aby byla srovnatelnost věrohodná, díky stejné metodice výpočtů. Byly použity indexy očištěné o vliv počtu pracovních dní. Na základě tohoto grafického znázornění lze zjistit, jestli byl negativní průběh vývoje ekonomiky Slovenska v roce 2009 způsoben zavedením nové měny, nebo k tomu došlo v důsledku silného vlivu globální krize.</w:t>
      </w:r>
    </w:p>
    <w:p w:rsidR="00712E44" w:rsidRPr="007F5799" w:rsidRDefault="00712E44" w:rsidP="00C535FC">
      <w:pPr>
        <w:spacing w:line="360" w:lineRule="auto"/>
        <w:jc w:val="both"/>
        <w:rPr>
          <w:bCs/>
          <w:color w:val="00B050"/>
        </w:rPr>
      </w:pPr>
    </w:p>
    <w:p w:rsidR="00712E44" w:rsidRDefault="00DC4908" w:rsidP="00BD44CD">
      <w:pPr>
        <w:spacing w:line="360" w:lineRule="auto"/>
        <w:jc w:val="center"/>
        <w:rPr>
          <w:bCs/>
        </w:rPr>
      </w:pPr>
      <w:r>
        <w:rPr>
          <w:noProof/>
          <w:lang w:eastAsia="cs-CZ"/>
        </w:rPr>
        <w:lastRenderedPageBreak/>
        <w:drawing>
          <wp:inline distT="0" distB="0" distL="0" distR="0">
            <wp:extent cx="4772025" cy="1895475"/>
            <wp:effectExtent l="19050" t="0" r="9525" b="0"/>
            <wp:docPr id="6" name="Graf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1"/>
                    <pic:cNvPicPr>
                      <a:picLocks noChangeArrowheads="1"/>
                    </pic:cNvPicPr>
                  </pic:nvPicPr>
                  <pic:blipFill>
                    <a:blip r:embed="rId15"/>
                    <a:srcRect b="-134"/>
                    <a:stretch>
                      <a:fillRect/>
                    </a:stretch>
                  </pic:blipFill>
                  <pic:spPr bwMode="auto">
                    <a:xfrm>
                      <a:off x="0" y="0"/>
                      <a:ext cx="4772025" cy="1895475"/>
                    </a:xfrm>
                    <a:prstGeom prst="rect">
                      <a:avLst/>
                    </a:prstGeom>
                    <a:noFill/>
                    <a:ln w="9525">
                      <a:noFill/>
                      <a:miter lim="800000"/>
                      <a:headEnd/>
                      <a:tailEnd/>
                    </a:ln>
                  </pic:spPr>
                </pic:pic>
              </a:graphicData>
            </a:graphic>
          </wp:inline>
        </w:drawing>
      </w:r>
    </w:p>
    <w:p w:rsidR="00712E44" w:rsidRDefault="00712E44" w:rsidP="0078370E">
      <w:pPr>
        <w:spacing w:line="360" w:lineRule="auto"/>
        <w:ind w:left="708" w:firstLine="72"/>
        <w:rPr>
          <w:b/>
          <w:sz w:val="20"/>
          <w:szCs w:val="20"/>
        </w:rPr>
      </w:pPr>
      <w:r>
        <w:rPr>
          <w:b/>
          <w:sz w:val="20"/>
          <w:szCs w:val="20"/>
        </w:rPr>
        <w:t xml:space="preserve">Obr. 5 Vývoj průmyslové produkce na Slovensku v roce 2009 ve srovnání s ČR, eurozónou </w:t>
      </w:r>
      <w:r>
        <w:rPr>
          <w:b/>
          <w:sz w:val="20"/>
          <w:szCs w:val="20"/>
        </w:rPr>
        <w:br/>
        <w:t xml:space="preserve">  a celou EU (index 2005 = 100)                                 </w:t>
      </w:r>
    </w:p>
    <w:p w:rsidR="00712E44" w:rsidRDefault="00712E44" w:rsidP="00BD44CD">
      <w:pPr>
        <w:spacing w:line="360" w:lineRule="auto"/>
        <w:rPr>
          <w:bCs/>
        </w:rPr>
      </w:pPr>
      <w:r>
        <w:rPr>
          <w:b/>
          <w:sz w:val="20"/>
          <w:szCs w:val="20"/>
        </w:rPr>
        <w:t xml:space="preserve">                </w:t>
      </w:r>
      <w:r w:rsidRPr="00811E67">
        <w:rPr>
          <w:i/>
          <w:sz w:val="20"/>
          <w:szCs w:val="20"/>
        </w:rPr>
        <w:t>Zdroj:</w:t>
      </w:r>
      <w:r>
        <w:rPr>
          <w:i/>
          <w:sz w:val="20"/>
          <w:szCs w:val="20"/>
        </w:rPr>
        <w:t xml:space="preserve"> vlastní zpracování na základě údajů zveřejněných Eurostatem</w:t>
      </w:r>
      <w:r w:rsidRPr="00E67258">
        <w:rPr>
          <w:i/>
          <w:sz w:val="20"/>
          <w:szCs w:val="20"/>
        </w:rPr>
        <w:t xml:space="preserve">   </w:t>
      </w:r>
    </w:p>
    <w:p w:rsidR="00712E44" w:rsidRDefault="00712E44" w:rsidP="00C25B70">
      <w:pPr>
        <w:spacing w:line="360" w:lineRule="auto"/>
        <w:jc w:val="both"/>
        <w:rPr>
          <w:bCs/>
        </w:rPr>
      </w:pPr>
    </w:p>
    <w:p w:rsidR="00712E44" w:rsidRPr="00753322" w:rsidRDefault="00712E44" w:rsidP="00C25B70">
      <w:pPr>
        <w:spacing w:line="360" w:lineRule="auto"/>
        <w:jc w:val="both"/>
        <w:rPr>
          <w:bCs/>
        </w:rPr>
      </w:pPr>
      <w:r w:rsidRPr="00753322">
        <w:rPr>
          <w:bCs/>
        </w:rPr>
        <w:t xml:space="preserve">Prostřednictvím vývoje grafu bylo zjištěno, že produkce SR rostla rychleji než v ČR a ještě více než byl průměr eurozóny a dokonce i celé Evropské unie. Podobný vývoj bylo možné pozorovat v roce 2009 i u jiných hospodářských odvětví. Z tohoto důvodu lze potvrdit, </w:t>
      </w:r>
      <w:r w:rsidRPr="00753322">
        <w:rPr>
          <w:bCs/>
        </w:rPr>
        <w:br/>
        <w:t>že hlavní příčinou rapidního poklesu výkonnosti slovenské ekonomiky byla globální hospodářská krize, která způsobila značné snížení poptávky na zahraničních i domácích trzích. Negativní vliv eura nebyl potvrzen.</w:t>
      </w:r>
      <w:r>
        <w:rPr>
          <w:rStyle w:val="Znakapoznpodarou"/>
          <w:bCs/>
        </w:rPr>
        <w:footnoteReference w:id="43"/>
      </w:r>
      <w:r w:rsidRPr="00753322">
        <w:rPr>
          <w:bCs/>
        </w:rPr>
        <w:t xml:space="preserve"> </w:t>
      </w:r>
    </w:p>
    <w:p w:rsidR="00712E44" w:rsidRPr="00753322" w:rsidRDefault="00712E44" w:rsidP="00C25B70">
      <w:pPr>
        <w:spacing w:line="360" w:lineRule="auto"/>
        <w:jc w:val="both"/>
        <w:rPr>
          <w:bCs/>
        </w:rPr>
      </w:pPr>
    </w:p>
    <w:p w:rsidR="00712E44" w:rsidRPr="00753322" w:rsidRDefault="00712E44" w:rsidP="00C25B70">
      <w:pPr>
        <w:spacing w:line="360" w:lineRule="auto"/>
        <w:jc w:val="both"/>
        <w:rPr>
          <w:bCs/>
        </w:rPr>
      </w:pPr>
      <w:r w:rsidRPr="00753322">
        <w:rPr>
          <w:bCs/>
        </w:rPr>
        <w:t>Podle údajů Štatistického úradu SR index průmyslové produkce v roce 2010 meziročně vzrostl o 18,9 %. Z toho o 20,1 % v průmyslové výrobě, v dodávce plynu a elektřiny o 15,6 % a v těžbě a dobývání o 0,4 %.</w:t>
      </w:r>
      <w:r w:rsidRPr="00753322">
        <w:rPr>
          <w:rStyle w:val="Znakapoznpodarou"/>
          <w:bCs/>
        </w:rPr>
        <w:footnoteReference w:id="44"/>
      </w:r>
    </w:p>
    <w:p w:rsidR="00712E44" w:rsidRDefault="00712E44" w:rsidP="00C25B70">
      <w:pPr>
        <w:spacing w:line="360" w:lineRule="auto"/>
        <w:jc w:val="both"/>
        <w:rPr>
          <w:bCs/>
        </w:rPr>
      </w:pPr>
    </w:p>
    <w:p w:rsidR="00712E44" w:rsidRPr="00435135" w:rsidRDefault="00712E44" w:rsidP="00C25B70">
      <w:pPr>
        <w:spacing w:line="360" w:lineRule="auto"/>
        <w:jc w:val="both"/>
        <w:rPr>
          <w:bCs/>
        </w:rPr>
      </w:pPr>
      <w:r>
        <w:rPr>
          <w:bCs/>
        </w:rPr>
        <w:t xml:space="preserve"> </w:t>
      </w:r>
    </w:p>
    <w:p w:rsidR="00712E44" w:rsidRDefault="00712E44" w:rsidP="00C535FC">
      <w:pPr>
        <w:spacing w:line="360" w:lineRule="auto"/>
        <w:jc w:val="both"/>
        <w:rPr>
          <w:b/>
          <w:bCs/>
          <w:sz w:val="28"/>
          <w:szCs w:val="28"/>
        </w:rPr>
      </w:pPr>
      <w:r>
        <w:rPr>
          <w:b/>
          <w:bCs/>
          <w:sz w:val="28"/>
          <w:szCs w:val="28"/>
        </w:rPr>
        <w:t xml:space="preserve">4.5.3 Vliv zavedení eura na vývoj spotřebitelských cen (inflace) </w:t>
      </w:r>
    </w:p>
    <w:p w:rsidR="00712E44" w:rsidRPr="00D13EB4" w:rsidRDefault="00712E44" w:rsidP="00C535FC">
      <w:pPr>
        <w:spacing w:line="360" w:lineRule="auto"/>
        <w:jc w:val="both"/>
        <w:rPr>
          <w:bCs/>
        </w:rPr>
      </w:pPr>
    </w:p>
    <w:p w:rsidR="00712E44" w:rsidRDefault="00712E44" w:rsidP="00C535FC">
      <w:pPr>
        <w:spacing w:line="360" w:lineRule="auto"/>
        <w:jc w:val="both"/>
        <w:rPr>
          <w:bCs/>
        </w:rPr>
      </w:pPr>
      <w:r w:rsidRPr="00962940">
        <w:rPr>
          <w:bCs/>
          <w:i/>
        </w:rPr>
        <w:t xml:space="preserve">„Inflaci chápeme jako opakovaný růst cen v ekonomice. Ceny jednotlivých druhů zboží </w:t>
      </w:r>
      <w:r>
        <w:rPr>
          <w:bCs/>
          <w:i/>
        </w:rPr>
        <w:br/>
      </w:r>
      <w:r w:rsidRPr="00962940">
        <w:rPr>
          <w:bCs/>
          <w:i/>
        </w:rPr>
        <w:t>se v čase zvyšují (platí zákon nabídky a poptávky, tudíž se ceny mohou samozřejmě i snižovat) = cenová hladina roste.“</w:t>
      </w:r>
      <w:r>
        <w:rPr>
          <w:rStyle w:val="Znakapoznpodarou"/>
          <w:bCs/>
        </w:rPr>
        <w:footnoteReference w:id="45"/>
      </w:r>
      <w:r>
        <w:rPr>
          <w:bCs/>
        </w:rPr>
        <w:t xml:space="preserve">Jedná se tedy o zdražování spotřebního zboží a služeb. V důsledku </w:t>
      </w:r>
      <w:r>
        <w:rPr>
          <w:bCs/>
        </w:rPr>
        <w:lastRenderedPageBreak/>
        <w:t xml:space="preserve">inflace dochází k poklesu kupní síly, jelikož má negativní vliv na mzdy. V případě vysoké úrovně inflace dochází ke snížení poptávky, tím i celkového odbytu a v konečném důsledku </w:t>
      </w:r>
      <w:r>
        <w:rPr>
          <w:bCs/>
        </w:rPr>
        <w:br/>
        <w:t>k poklesu reálného produktu.</w:t>
      </w:r>
    </w:p>
    <w:p w:rsidR="00712E44" w:rsidRDefault="00712E44" w:rsidP="00C535FC">
      <w:pPr>
        <w:spacing w:line="360" w:lineRule="auto"/>
        <w:jc w:val="both"/>
        <w:rPr>
          <w:bCs/>
        </w:rPr>
      </w:pPr>
      <w:r>
        <w:rPr>
          <w:bCs/>
        </w:rPr>
        <w:t xml:space="preserve">Inflace spotřebitelských cen se v eurozóně měří harmonizovaným indexem spotřebitelských cen (HICP). Harmonizovaným proto, že všechny země Evropské unie používají stejnou metodiku výpočtu a díky tomu je možné výsledky jednotlivých států vzájemně porovnávat. </w:t>
      </w:r>
    </w:p>
    <w:p w:rsidR="00712E44" w:rsidRDefault="00712E44" w:rsidP="00C535FC">
      <w:pPr>
        <w:spacing w:line="360" w:lineRule="auto"/>
        <w:jc w:val="both"/>
      </w:pPr>
    </w:p>
    <w:p w:rsidR="00712E44" w:rsidRDefault="00712E44" w:rsidP="00C535FC">
      <w:pPr>
        <w:spacing w:line="360" w:lineRule="auto"/>
        <w:jc w:val="both"/>
        <w:rPr>
          <w:bCs/>
        </w:rPr>
      </w:pPr>
      <w:r>
        <w:t xml:space="preserve">Udržování cenové stability je hlavním úkolem ECB. Podle Evropské centrální banky </w:t>
      </w:r>
      <w:r>
        <w:br/>
        <w:t>lze za cenovou stabilitu považovat roční míru inflace měřenou harmonizovaným indexem spotřebitelských cen ve střednědobém horizontu na úrovni nižší, ale blízké 2 %.</w:t>
      </w:r>
      <w:r>
        <w:rPr>
          <w:rStyle w:val="Znakapoznpodarou"/>
        </w:rPr>
        <w:footnoteReference w:id="46"/>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Propočet cen na novou měnu může způsobit nárůst ceny, a to nejenom z důvodu zaokrouhlování. Jedná se o tzv. changeover efekt. Tento efekt pozorovala každá ze zemí zavádějících euro. Analýzy vývoje cen v jednotlivých zemích, které vstoupily do eurozóny v roce 2002, byly zpracovány a publikovány Eurostatem v roce 2003, který odhadl vliv zavedení eura na inflaci v těchto členských státech v rozmezí od 0,09 – 0,28 procentuálního bodu.  Dle odhadů Eurostatu, zavedení eura ve Slovinsku způsobilo zvýšení inflace </w:t>
      </w:r>
      <w:r>
        <w:rPr>
          <w:bCs/>
        </w:rPr>
        <w:br/>
        <w:t>o 0,3 p. b., na Maltě a Kypru 0,2 – 0,3 p.b. Nejvýraznější růst cen byl zaznamenán v restauracích, kavárnách, hotelech a ve službách osobní péče.</w:t>
      </w:r>
      <w:r>
        <w:rPr>
          <w:rStyle w:val="Znakapoznpodarou"/>
          <w:bCs/>
        </w:rPr>
        <w:footnoteReference w:id="47"/>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Rovněž v rámci zavedení eura na Slovensku vznikaly obavy z nárůstu spotřebitelských cen. Vliv na obavy z růstu inflace měla i postupná akcelerace cen směrem nahoru jako důsledek působení externího ekonomického prostředí na destabilizaci finančních trhů, a to hlavně komoditních. Pro zdůvodnění výše uvedených obav občanů slouží výsledky průměrné roční míry HICP inflace, kdy v roce 2007 byla tato míra na úrovni 1,9 % a v roce 2008 až 3,9 %. Avšak výsledky analýz </w:t>
      </w:r>
      <w:r w:rsidRPr="008350D4">
        <w:rPr>
          <w:bCs/>
          <w:i/>
        </w:rPr>
        <w:t>Vplyv zavedenia eura na infláciu v Slovenskej republike v januári 2009</w:t>
      </w:r>
      <w:r>
        <w:rPr>
          <w:bCs/>
        </w:rPr>
        <w:t xml:space="preserve"> (zpracovaná NBS), </w:t>
      </w:r>
      <w:r w:rsidRPr="008350D4">
        <w:rPr>
          <w:bCs/>
          <w:i/>
        </w:rPr>
        <w:t xml:space="preserve">Analýza a kvantifikácia vplyvu zavedenia eura </w:t>
      </w:r>
      <w:r w:rsidRPr="008350D4">
        <w:rPr>
          <w:bCs/>
          <w:i/>
        </w:rPr>
        <w:br/>
        <w:t>na cenový vývoj v Slovenskej republike</w:t>
      </w:r>
      <w:r>
        <w:rPr>
          <w:bCs/>
        </w:rPr>
        <w:t xml:space="preserve"> (zpracovaná Infostatem) a </w:t>
      </w:r>
      <w:r w:rsidRPr="008350D4">
        <w:rPr>
          <w:bCs/>
          <w:i/>
        </w:rPr>
        <w:t>Analýza vplyvu zavedenia eura na infláciu na Slovensku</w:t>
      </w:r>
      <w:r>
        <w:rPr>
          <w:bCs/>
          <w:i/>
        </w:rPr>
        <w:t xml:space="preserve"> </w:t>
      </w:r>
      <w:r>
        <w:rPr>
          <w:bCs/>
        </w:rPr>
        <w:t xml:space="preserve">(zpracovaná Inštitútom finančnej politiky </w:t>
      </w:r>
      <w:r>
        <w:rPr>
          <w:bCs/>
        </w:rPr>
        <w:br/>
        <w:t xml:space="preserve">pri MF SR) dokazují opak. Potvrzují, že nejpravděpodobnější rozsah vlivu zavedení nové </w:t>
      </w:r>
      <w:r>
        <w:rPr>
          <w:bCs/>
        </w:rPr>
        <w:lastRenderedPageBreak/>
        <w:t>měny na ceny v SR je 0,12 – 0,19 procentuálního bodu, což je 0,15 p.b., jako střed uvedeného intervalu.</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 případě posuzování výjimečných efektů v procesu tvorby ceny, jež jsou výsledkem změn v poptávce a v nabídce v době hospodářské krize, je střední hodnota intervalu na úrovni kolem 0,0 p.b. Z toho plyne, že celkový efekt zavedení eura v souvislosti s inflací </w:t>
      </w:r>
      <w:r>
        <w:rPr>
          <w:bCs/>
        </w:rPr>
        <w:br/>
        <w:t>byl na Slovensku v podstatě nulový.</w:t>
      </w:r>
      <w:r>
        <w:rPr>
          <w:rStyle w:val="Znakapoznpodarou"/>
          <w:bCs/>
        </w:rPr>
        <w:footnoteReference w:id="48"/>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Všechna tato zjištění vedou k závěru, že obavy obyvatel SR z hlediska vývoje cen </w:t>
      </w:r>
      <w:r>
        <w:rPr>
          <w:bCs/>
        </w:rPr>
        <w:br/>
        <w:t>po zavedení eura byly neopodstatněné.</w:t>
      </w:r>
    </w:p>
    <w:p w:rsidR="00712E44" w:rsidRDefault="00712E44" w:rsidP="00C535FC">
      <w:pPr>
        <w:spacing w:line="360" w:lineRule="auto"/>
        <w:jc w:val="both"/>
        <w:rPr>
          <w:bCs/>
        </w:rPr>
      </w:pPr>
    </w:p>
    <w:p w:rsidR="00712E44" w:rsidRPr="0042096B"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4.5.4 Vývoj inflace na Slovensku v roce 2009 a 2010</w:t>
      </w:r>
    </w:p>
    <w:p w:rsidR="00712E44" w:rsidRDefault="00712E44" w:rsidP="00C535FC">
      <w:pPr>
        <w:spacing w:line="360" w:lineRule="auto"/>
        <w:jc w:val="both"/>
        <w:rPr>
          <w:b/>
          <w:bCs/>
          <w:sz w:val="28"/>
          <w:szCs w:val="28"/>
        </w:rPr>
      </w:pPr>
    </w:p>
    <w:p w:rsidR="00712E44" w:rsidRDefault="00712E44" w:rsidP="00C535FC">
      <w:pPr>
        <w:spacing w:line="360" w:lineRule="auto"/>
        <w:jc w:val="both"/>
        <w:rPr>
          <w:bCs/>
        </w:rPr>
      </w:pPr>
      <w:r>
        <w:rPr>
          <w:bCs/>
        </w:rPr>
        <w:t>Vývoj míry inflace na Slovensku roce 2009 a 2010 nebyl poznamenán zavedením eura. Výrazněji ho ovlivnila hospodářská krize. Pro lepší představu ohledně změn ve vývoji spotřebitelských cen slouží následující graf (Obr. 6).</w:t>
      </w:r>
    </w:p>
    <w:p w:rsidR="00712E44" w:rsidRPr="00813CA3" w:rsidRDefault="00712E44" w:rsidP="00C535FC">
      <w:pPr>
        <w:spacing w:line="360" w:lineRule="auto"/>
        <w:jc w:val="both"/>
        <w:rPr>
          <w:bCs/>
        </w:rPr>
      </w:pPr>
      <w:r>
        <w:rPr>
          <w:bCs/>
        </w:rPr>
        <w:t xml:space="preserve"> </w:t>
      </w:r>
    </w:p>
    <w:p w:rsidR="00712E44" w:rsidRDefault="00DC4908" w:rsidP="00C535FC">
      <w:pPr>
        <w:widowControl/>
        <w:suppressAutoHyphens w:val="0"/>
        <w:spacing w:before="100" w:beforeAutospacing="1" w:after="100" w:afterAutospacing="1"/>
        <w:jc w:val="center"/>
        <w:rPr>
          <w:b/>
          <w:bCs/>
          <w:sz w:val="28"/>
          <w:szCs w:val="28"/>
        </w:rPr>
      </w:pPr>
      <w:r>
        <w:rPr>
          <w:b/>
          <w:noProof/>
          <w:sz w:val="28"/>
          <w:szCs w:val="28"/>
          <w:lang w:eastAsia="cs-CZ"/>
        </w:rPr>
        <w:drawing>
          <wp:inline distT="0" distB="0" distL="0" distR="0">
            <wp:extent cx="4124325" cy="1828800"/>
            <wp:effectExtent l="19050" t="0" r="9525" b="0"/>
            <wp:docPr id="7" name="obrázek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rrowheads="1"/>
                    </pic:cNvPicPr>
                  </pic:nvPicPr>
                  <pic:blipFill>
                    <a:blip r:embed="rId16"/>
                    <a:srcRect b="-139"/>
                    <a:stretch>
                      <a:fillRect/>
                    </a:stretch>
                  </pic:blipFill>
                  <pic:spPr bwMode="auto">
                    <a:xfrm>
                      <a:off x="0" y="0"/>
                      <a:ext cx="4124325" cy="1828800"/>
                    </a:xfrm>
                    <a:prstGeom prst="rect">
                      <a:avLst/>
                    </a:prstGeom>
                    <a:noFill/>
                    <a:ln w="9525">
                      <a:noFill/>
                      <a:miter lim="800000"/>
                      <a:headEnd/>
                      <a:tailEnd/>
                    </a:ln>
                  </pic:spPr>
                </pic:pic>
              </a:graphicData>
            </a:graphic>
          </wp:inline>
        </w:drawing>
      </w:r>
    </w:p>
    <w:p w:rsidR="00712E44" w:rsidRDefault="00712E44" w:rsidP="00C535FC">
      <w:pPr>
        <w:spacing w:line="360" w:lineRule="auto"/>
        <w:rPr>
          <w:b/>
          <w:sz w:val="20"/>
          <w:szCs w:val="20"/>
        </w:rPr>
      </w:pPr>
      <w:r>
        <w:rPr>
          <w:b/>
          <w:sz w:val="20"/>
          <w:szCs w:val="20"/>
        </w:rPr>
        <w:t xml:space="preserve">                          Obr. 6 Vývoj míry inflace na Slovensku v období 2008 – 2010 (měřeno národní metodikou)                                 </w:t>
      </w:r>
    </w:p>
    <w:p w:rsidR="00712E44" w:rsidRDefault="00712E44" w:rsidP="00C535FC">
      <w:pPr>
        <w:spacing w:line="360" w:lineRule="auto"/>
        <w:rPr>
          <w:bCs/>
        </w:rPr>
      </w:pPr>
      <w:r>
        <w:rPr>
          <w:b/>
          <w:sz w:val="20"/>
          <w:szCs w:val="20"/>
        </w:rPr>
        <w:t xml:space="preserve">                           </w:t>
      </w:r>
      <w:r w:rsidRPr="00811E67">
        <w:rPr>
          <w:i/>
          <w:sz w:val="20"/>
          <w:szCs w:val="20"/>
        </w:rPr>
        <w:t>Zdroj:</w:t>
      </w:r>
      <w:r>
        <w:rPr>
          <w:i/>
          <w:sz w:val="20"/>
          <w:szCs w:val="20"/>
        </w:rPr>
        <w:t xml:space="preserve"> vlastní zpracování na základě údajů zveřejněných Štatistickým úradom SR</w:t>
      </w:r>
      <w:r w:rsidRPr="00E67258">
        <w:rPr>
          <w:i/>
          <w:sz w:val="20"/>
          <w:szCs w:val="20"/>
        </w:rPr>
        <w:t xml:space="preserve">                                                                                                      </w:t>
      </w:r>
      <w:r>
        <w:rPr>
          <w:i/>
          <w:sz w:val="20"/>
          <w:szCs w:val="20"/>
        </w:rPr>
        <w:t xml:space="preserve"> </w:t>
      </w:r>
    </w:p>
    <w:p w:rsidR="00712E44" w:rsidRPr="00152AA1" w:rsidRDefault="00712E44" w:rsidP="00C535FC">
      <w:pPr>
        <w:spacing w:line="360" w:lineRule="auto"/>
        <w:jc w:val="both"/>
        <w:rPr>
          <w:bCs/>
        </w:rPr>
      </w:pPr>
    </w:p>
    <w:p w:rsidR="00712E44" w:rsidRDefault="00712E44" w:rsidP="00C535FC">
      <w:pPr>
        <w:spacing w:line="360" w:lineRule="auto"/>
        <w:jc w:val="both"/>
        <w:rPr>
          <w:bCs/>
        </w:rPr>
      </w:pPr>
      <w:r>
        <w:rPr>
          <w:bCs/>
        </w:rPr>
        <w:t xml:space="preserve">Z grafu je patrné, že se tempo růstu spotřebitelských cen na Slovensku poprvé od září 2008 zrychlilo až v prosinci 2009. Meziroční míra inflace měřená národní metodikou </w:t>
      </w:r>
      <w:r>
        <w:rPr>
          <w:bCs/>
        </w:rPr>
        <w:br/>
      </w:r>
      <w:r>
        <w:rPr>
          <w:bCs/>
        </w:rPr>
        <w:lastRenderedPageBreak/>
        <w:t>se v závěrečném měsíci roku 2009</w:t>
      </w:r>
      <w:r w:rsidRPr="00721EC6">
        <w:rPr>
          <w:bCs/>
        </w:rPr>
        <w:t xml:space="preserve"> </w:t>
      </w:r>
      <w:r>
        <w:rPr>
          <w:bCs/>
        </w:rPr>
        <w:t xml:space="preserve">dostala na úroveň 0,5 %.  Průměrná meziroční inflace </w:t>
      </w:r>
      <w:r>
        <w:rPr>
          <w:bCs/>
        </w:rPr>
        <w:br/>
        <w:t xml:space="preserve">za rok 2009 dosáhla historického minima 1,6 % a podle metodiky Eurostatu byl index HICP dokonce jen 0,9 %. Klesající trend vývoje inflace na Slovensku v roce 2009 způsobily hlavně důsledky celosvětové hospodářské krize. I přes deflační vliv globální krize si Slovensko zachovalo mírný kladný růst cen. V období únor – září 2009 SR neplnila inflační kritérium, ale vzhledem ke skutečnosti, že referenční hodnotu tvořili země, které se v daném čase ocitly v deflaci, porovnání slovenské inflace s referenční hodnotou nemá v době hospodářské krize význam. V závěrečném čtvrtletí 2009 Slovensko opět inflační kritérium plnilo.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Inflace na Slovensku se od září 2008 zpomalovala. Tento trend trval až do listopadu 2009. Propad průměrné meziroční inflace byl z 5,4 % na pouhých 0,4 %. V prosinci 2009 došlo k mírnému zrychlení na 0,6 %, ale už v lednu 2010 opět průměrná inflace klesla na 0,4 %. V roce 2010 kromě března a dubna, kdy měl index spotřebitelských cen rostoucí tendenci, </w:t>
      </w:r>
      <w:r>
        <w:rPr>
          <w:bCs/>
        </w:rPr>
        <w:br/>
        <w:t xml:space="preserve">se tento index pohyboval kolem 1 % až do jeho závěru, kdy nastalo opětovné mírné zrychlení. Celková průměrná meziroční hodnota inflace v roce 2010 dosáhla 1 %.  Dle metodiky Eurostatu byl HICP Slovenska na úrovni 0,7 %. Vliv na vývoj spotřebitelských cen měla opět z převážné části globální hospodářská krize.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Na základě údajů Štatistického úradu SR vypočítaných národní metodikou v roce 2009 sedm z dvanácti položek spotřebního koše zaznamenalo zvýšení cen. Nejvýraznější meziroční nárůst cen v roce 2009 měly alkoholické nápoje a tabák, celkem o 8 %, náklady na bydlení, vodu, elektřinu, plyn a jiná paliva vzrostly stejně jako ceny ve zdravotnictví o 6,6 %. Nejvíce meziročně poklesly ceny v dopravě o 6,4 %, dále potravin a nealkoholických nápojů o 3,2 %. V roce 2010 z dvanácti položek spotřebního koše zaznamenalo nárůst devět položek a tři položky pokles cen. K nejvýraznějšímu nárůstu cen stejně jako v roce 2009 došlo </w:t>
      </w:r>
      <w:r>
        <w:rPr>
          <w:bCs/>
        </w:rPr>
        <w:br/>
        <w:t>u alkoholických nápojů a tabáku, ale „jen“ o 5,7 %. Největší pokles cen byl v kategorii nábytek, vybavení domácnosti a běžná údržba o 3,5 %.</w:t>
      </w:r>
      <w:r>
        <w:rPr>
          <w:rStyle w:val="Znakapoznpodarou"/>
          <w:bCs/>
        </w:rPr>
        <w:footnoteReference w:id="49"/>
      </w:r>
    </w:p>
    <w:p w:rsidR="00712E44" w:rsidRDefault="00712E44" w:rsidP="00C535FC">
      <w:pPr>
        <w:spacing w:line="360" w:lineRule="auto"/>
        <w:jc w:val="both"/>
        <w:rPr>
          <w:bCs/>
        </w:rPr>
      </w:pPr>
      <w:r>
        <w:br/>
      </w:r>
      <w:r>
        <w:rPr>
          <w:bCs/>
        </w:rPr>
        <w:t xml:space="preserve">Klesající tendenci průměrné roční míry inflace podle metodiky Eurostatu je vidět v následujícím grafu (Obr. 7). </w:t>
      </w:r>
    </w:p>
    <w:p w:rsidR="00712E44" w:rsidRDefault="00712E44" w:rsidP="00C535FC">
      <w:pPr>
        <w:spacing w:line="360" w:lineRule="auto"/>
        <w:jc w:val="both"/>
        <w:rPr>
          <w:bCs/>
        </w:rPr>
      </w:pPr>
    </w:p>
    <w:p w:rsidR="00712E44" w:rsidRDefault="00712E44" w:rsidP="00F32177">
      <w:pPr>
        <w:spacing w:line="360" w:lineRule="auto"/>
        <w:jc w:val="both"/>
        <w:rPr>
          <w:bCs/>
        </w:rPr>
      </w:pPr>
      <w:r>
        <w:rPr>
          <w:bCs/>
        </w:rPr>
        <w:t xml:space="preserve">V roce 2010 byl celkový průměrný index HICP na Slovensku hluboce pod hodnotami </w:t>
      </w:r>
      <w:r>
        <w:rPr>
          <w:bCs/>
        </w:rPr>
        <w:lastRenderedPageBreak/>
        <w:t xml:space="preserve">harmonizované inflace v Eurozóně i v celé EU. S plněním inflačního cíle ECB, který </w:t>
      </w:r>
      <w:r>
        <w:rPr>
          <w:bCs/>
        </w:rPr>
        <w:br/>
        <w:t>je definován mírou inflace blízkou pod 2 %, v uvedeném roce nemělo Slovensko problém.</w:t>
      </w:r>
    </w:p>
    <w:p w:rsidR="00712E44" w:rsidRPr="00A4015F" w:rsidRDefault="00712E44" w:rsidP="00C535FC">
      <w:pPr>
        <w:spacing w:line="360" w:lineRule="auto"/>
        <w:jc w:val="both"/>
        <w:rPr>
          <w:bCs/>
        </w:rPr>
      </w:pPr>
    </w:p>
    <w:p w:rsidR="00712E44" w:rsidRDefault="00DC4908" w:rsidP="00C535FC">
      <w:pPr>
        <w:spacing w:line="360" w:lineRule="auto"/>
        <w:jc w:val="center"/>
        <w:rPr>
          <w:bCs/>
        </w:rPr>
      </w:pPr>
      <w:r>
        <w:rPr>
          <w:noProof/>
          <w:lang w:eastAsia="cs-CZ"/>
        </w:rPr>
        <w:drawing>
          <wp:inline distT="0" distB="0" distL="0" distR="0">
            <wp:extent cx="3686175" cy="1752600"/>
            <wp:effectExtent l="19050" t="0" r="9525" b="0"/>
            <wp:docPr id="8" name="Graf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2"/>
                    <pic:cNvPicPr>
                      <a:picLocks noChangeArrowheads="1"/>
                    </pic:cNvPicPr>
                  </pic:nvPicPr>
                  <pic:blipFill>
                    <a:blip r:embed="rId17"/>
                    <a:srcRect/>
                    <a:stretch>
                      <a:fillRect/>
                    </a:stretch>
                  </pic:blipFill>
                  <pic:spPr bwMode="auto">
                    <a:xfrm>
                      <a:off x="0" y="0"/>
                      <a:ext cx="3686175" cy="1752600"/>
                    </a:xfrm>
                    <a:prstGeom prst="rect">
                      <a:avLst/>
                    </a:prstGeom>
                    <a:noFill/>
                    <a:ln w="9525">
                      <a:noFill/>
                      <a:miter lim="800000"/>
                      <a:headEnd/>
                      <a:tailEnd/>
                    </a:ln>
                  </pic:spPr>
                </pic:pic>
              </a:graphicData>
            </a:graphic>
          </wp:inline>
        </w:drawing>
      </w:r>
    </w:p>
    <w:p w:rsidR="00712E44" w:rsidRDefault="00712E44" w:rsidP="00C535FC">
      <w:pPr>
        <w:spacing w:line="360" w:lineRule="auto"/>
        <w:rPr>
          <w:b/>
          <w:sz w:val="20"/>
          <w:szCs w:val="20"/>
        </w:rPr>
      </w:pPr>
      <w:r>
        <w:rPr>
          <w:bCs/>
        </w:rPr>
        <w:t xml:space="preserve">                            </w:t>
      </w:r>
      <w:r>
        <w:rPr>
          <w:b/>
          <w:sz w:val="20"/>
          <w:szCs w:val="20"/>
        </w:rPr>
        <w:t xml:space="preserve">Obr. 7 Vývoj průměrné roční míry HICP inflace v letech 2007 - 2010                          </w:t>
      </w:r>
    </w:p>
    <w:p w:rsidR="00712E44" w:rsidRPr="00E67258" w:rsidRDefault="00712E44" w:rsidP="00C535FC">
      <w:pPr>
        <w:spacing w:line="360" w:lineRule="auto"/>
        <w:rPr>
          <w:i/>
          <w:sz w:val="20"/>
          <w:szCs w:val="20"/>
        </w:rPr>
      </w:pPr>
      <w:r>
        <w:rPr>
          <w:b/>
          <w:sz w:val="20"/>
          <w:szCs w:val="20"/>
        </w:rPr>
        <w:t xml:space="preserve">                                  </w:t>
      </w:r>
      <w:r w:rsidRPr="00811E67">
        <w:rPr>
          <w:i/>
          <w:sz w:val="20"/>
          <w:szCs w:val="20"/>
        </w:rPr>
        <w:t>Zdroj:</w:t>
      </w:r>
      <w:r>
        <w:rPr>
          <w:i/>
          <w:sz w:val="20"/>
          <w:szCs w:val="20"/>
        </w:rPr>
        <w:t xml:space="preserve"> vlastní zpracování na základě údajů zveřejněných Eurostatem</w:t>
      </w:r>
      <w:r w:rsidRPr="00E67258">
        <w:rPr>
          <w:i/>
          <w:sz w:val="20"/>
          <w:szCs w:val="20"/>
        </w:rPr>
        <w:t xml:space="preserve">              </w:t>
      </w:r>
    </w:p>
    <w:p w:rsidR="00712E44" w:rsidRDefault="00712E44" w:rsidP="00C535FC">
      <w:pPr>
        <w:spacing w:line="360" w:lineRule="auto"/>
        <w:jc w:val="both"/>
        <w:rPr>
          <w:bCs/>
        </w:rPr>
      </w:pPr>
    </w:p>
    <w:p w:rsidR="00712E44" w:rsidRDefault="00712E44" w:rsidP="00C535FC">
      <w:pPr>
        <w:spacing w:line="360" w:lineRule="auto"/>
        <w:jc w:val="both"/>
      </w:pPr>
      <w:r>
        <w:rPr>
          <w:bCs/>
        </w:rPr>
        <w:t xml:space="preserve">Maastrichtská kritéria slouží hlavně k posouzení připravenosti kandidátských zemí na přijetí eura. Po přijetí eura podmínky členství definuje Pakt stability a růstu, především jeho kritérium ohledně deficitu veřejných financí. Analytik Všeobecnej úverovej banky Martin Lenko se vyjádřil, že </w:t>
      </w:r>
      <w:r>
        <w:rPr>
          <w:bCs/>
          <w:i/>
        </w:rPr>
        <w:t>„j</w:t>
      </w:r>
      <w:r w:rsidRPr="000A676F">
        <w:rPr>
          <w:bCs/>
          <w:i/>
        </w:rPr>
        <w:t>e rozdielne porovnávať cenový vývoj v krajine, ktorej ekonomika dobieha vývoj v rozvinutých ekonomikách s krajinami, kde je ekonomický rast sk</w:t>
      </w:r>
      <w:r w:rsidRPr="000A676F">
        <w:rPr>
          <w:i/>
        </w:rPr>
        <w:t xml:space="preserve">ôr mierny </w:t>
      </w:r>
      <w:r>
        <w:rPr>
          <w:i/>
        </w:rPr>
        <w:br/>
      </w:r>
      <w:r w:rsidRPr="000A676F">
        <w:rPr>
          <w:i/>
        </w:rPr>
        <w:t>a tým aj rast cien pozvoľný“</w:t>
      </w:r>
      <w:r>
        <w:t>.</w:t>
      </w:r>
      <w:r>
        <w:rPr>
          <w:rStyle w:val="Znakapoznpodarou"/>
        </w:rPr>
        <w:footnoteReference w:id="50"/>
      </w:r>
      <w:r>
        <w:t xml:space="preserve"> Problém inflačního kritéria vidí hlavně v tom, že nezohledňuje tempo ekonomického růstu jednotlivých členských zemí a současně zahrnuje i země Evropské unie, které ještě nejsou součástí eurozóny. </w:t>
      </w:r>
    </w:p>
    <w:p w:rsidR="00712E44" w:rsidRDefault="00712E44" w:rsidP="00C535FC">
      <w:pPr>
        <w:spacing w:line="360" w:lineRule="auto"/>
        <w:jc w:val="both"/>
      </w:pPr>
    </w:p>
    <w:p w:rsidR="00712E44" w:rsidRDefault="00712E44" w:rsidP="00C535FC">
      <w:pPr>
        <w:spacing w:line="360" w:lineRule="auto"/>
        <w:jc w:val="both"/>
      </w:pPr>
      <w:r>
        <w:t>Podle slov analytika Volksbank Slovensko Vladimíra Vaňa „</w:t>
      </w:r>
      <w:r w:rsidRPr="000A676F">
        <w:rPr>
          <w:i/>
        </w:rPr>
        <w:t>Netreba zabúdať na to, že vyššia inflácia, najmä v období, kedy je pre recesiu rast príjmov značne obmezený, znamená zdražovanie životných nákladov a bez adekvátnej valorizácie miezd teda aj zhoršovanie životnej úrovne</w:t>
      </w:r>
      <w:r>
        <w:t xml:space="preserve">“ je pomalejší růstový trend inflace v čase hospodářské krize důležitý. Současně konstatuje, že zpomalení inflace pomáhá předcházet i zvýšeným nárokům </w:t>
      </w:r>
      <w:r>
        <w:br/>
        <w:t>na veřejný rozpočet, konkrétně v kategorii výdajů, jež jsou automaticky navázány na růst spotřebitelských cen.</w:t>
      </w:r>
      <w:r>
        <w:rPr>
          <w:rStyle w:val="Znakapoznpodarou"/>
        </w:rPr>
        <w:footnoteReference w:id="51"/>
      </w:r>
    </w:p>
    <w:p w:rsidR="00712E44" w:rsidRDefault="00712E44" w:rsidP="00C535FC">
      <w:pPr>
        <w:spacing w:line="360" w:lineRule="auto"/>
        <w:jc w:val="both"/>
      </w:pPr>
    </w:p>
    <w:p w:rsidR="00712E44" w:rsidRDefault="00712E44" w:rsidP="00C535FC">
      <w:pPr>
        <w:spacing w:line="360" w:lineRule="auto"/>
        <w:jc w:val="both"/>
        <w:rPr>
          <w:bCs/>
        </w:rPr>
      </w:pPr>
      <w:r>
        <w:rPr>
          <w:bCs/>
        </w:rPr>
        <w:lastRenderedPageBreak/>
        <w:t xml:space="preserve">Dobíhání životní úrovně na úroveň rozvinutých zemí eurozóny s růstem inflace souvisí. </w:t>
      </w:r>
      <w:r>
        <w:rPr>
          <w:bCs/>
        </w:rPr>
        <w:br/>
        <w:t>Ke zvyšování cenové úrovně na Slovensku a přibližování se k cenám vyspělejších členů eurozóny by měl vést hospodářský růst. Jak se Slovenská republika vypořádá s důsledky globální hospodářské krize, ukáže až její budoucí ekonomický vývoj. Zdali budou využity veškeré výhody zavedené evropské měny ku prospěchu a hospodářskému růstu Slovenska, záleží na všech ekonomických subjektech celé krajiny.</w:t>
      </w:r>
    </w:p>
    <w:p w:rsidR="00712E44" w:rsidRDefault="00712E44" w:rsidP="00C535FC">
      <w:pPr>
        <w:spacing w:line="360" w:lineRule="auto"/>
        <w:jc w:val="both"/>
        <w:rPr>
          <w:bCs/>
        </w:rPr>
      </w:pPr>
    </w:p>
    <w:p w:rsidR="00712E44" w:rsidRPr="007F5799"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4.5.5 Vliv zavedení eura na dosažení vyrovnaného veřejného rozpočtu</w:t>
      </w:r>
    </w:p>
    <w:p w:rsidR="00712E44" w:rsidRPr="007F5799" w:rsidRDefault="00712E44" w:rsidP="00C535FC">
      <w:pPr>
        <w:spacing w:line="360" w:lineRule="auto"/>
        <w:jc w:val="both"/>
        <w:rPr>
          <w:bCs/>
        </w:rPr>
      </w:pPr>
    </w:p>
    <w:p w:rsidR="00712E44" w:rsidRDefault="00712E44" w:rsidP="00C535FC">
      <w:pPr>
        <w:spacing w:line="360" w:lineRule="auto"/>
        <w:jc w:val="both"/>
      </w:pPr>
      <w:r>
        <w:rPr>
          <w:bCs/>
        </w:rPr>
        <w:t xml:space="preserve">Na základě předběžných údajů MF SR veřejná správa v roce 2010 hospodařila </w:t>
      </w:r>
      <w:r>
        <w:t>s deficitem veřejných financí na úrovni 7,8 % HDP.</w:t>
      </w:r>
      <w:r>
        <w:rPr>
          <w:rStyle w:val="Znakapoznpodarou"/>
        </w:rPr>
        <w:footnoteReference w:id="52"/>
      </w:r>
      <w:r>
        <w:t xml:space="preserve"> Schodek veřejných financí se meziročně mírně snížil, jelikož v roce 2009 představoval hodnotu 7,9 % HDP.</w:t>
      </w:r>
      <w:r>
        <w:rPr>
          <w:rStyle w:val="Znakapoznpodarou"/>
        </w:rPr>
        <w:footnoteReference w:id="53"/>
      </w:r>
      <w:r>
        <w:t xml:space="preserve"> Veřejný dluh za rok 2009 vzrostl na 35,4 % HDP z původních 27,8 % HDP</w:t>
      </w:r>
      <w:r>
        <w:rPr>
          <w:rStyle w:val="Znakapoznpodarou"/>
        </w:rPr>
        <w:footnoteReference w:id="54"/>
      </w:r>
      <w:r>
        <w:t xml:space="preserve"> za rok 2008 a v roce 2010 se jeho nárůst předpokládá až na 43,8 % HDP.</w:t>
      </w:r>
      <w:r>
        <w:rPr>
          <w:rStyle w:val="Znakapoznpodarou"/>
        </w:rPr>
        <w:footnoteReference w:id="55"/>
      </w:r>
      <w:r>
        <w:t xml:space="preserve"> Uvedené údaje za rok 2010 budou prověřeny Eurostatem. Evropský statistický úřad zveřejní konečné výsledky dne 26. dubna 2011.</w:t>
      </w:r>
    </w:p>
    <w:p w:rsidR="00712E44" w:rsidRDefault="00712E44" w:rsidP="00C535FC">
      <w:pPr>
        <w:spacing w:line="360" w:lineRule="auto"/>
        <w:jc w:val="both"/>
      </w:pPr>
    </w:p>
    <w:p w:rsidR="00712E44" w:rsidRDefault="00712E44" w:rsidP="00C535FC">
      <w:pPr>
        <w:spacing w:line="360" w:lineRule="auto"/>
        <w:jc w:val="both"/>
        <w:rPr>
          <w:bCs/>
        </w:rPr>
      </w:pPr>
      <w:r>
        <w:rPr>
          <w:bCs/>
        </w:rPr>
        <w:t xml:space="preserve">I když měla vláda Slovenské republiky na základě vlivu zavedení eura plán dosažení vyrovnaných veřejných financí ke konci roku 2011, působení globální krize na Slovensku </w:t>
      </w:r>
      <w:r>
        <w:rPr>
          <w:bCs/>
        </w:rPr>
        <w:br/>
        <w:t xml:space="preserve">od roku 2008 a současně nedostatečná opatření fiskální politiky tento cíl oddálily. </w:t>
      </w:r>
    </w:p>
    <w:p w:rsidR="00712E44" w:rsidRDefault="00712E44" w:rsidP="00C535FC">
      <w:pPr>
        <w:spacing w:line="360" w:lineRule="auto"/>
        <w:jc w:val="both"/>
        <w:rPr>
          <w:bCs/>
        </w:rPr>
      </w:pPr>
    </w:p>
    <w:p w:rsidR="00712E44" w:rsidRDefault="00712E44" w:rsidP="00C535FC">
      <w:pPr>
        <w:spacing w:line="360" w:lineRule="auto"/>
        <w:jc w:val="both"/>
        <w:rPr>
          <w:i/>
          <w:sz w:val="22"/>
          <w:szCs w:val="22"/>
        </w:rPr>
      </w:pPr>
      <w:r>
        <w:rPr>
          <w:sz w:val="22"/>
          <w:szCs w:val="22"/>
        </w:rPr>
        <w:t xml:space="preserve">V programovém vyhlášení vlády je uvedeno </w:t>
      </w:r>
      <w:r>
        <w:rPr>
          <w:i/>
          <w:sz w:val="22"/>
          <w:szCs w:val="22"/>
        </w:rPr>
        <w:t>„</w:t>
      </w:r>
      <w:r w:rsidRPr="005A3F1D">
        <w:rPr>
          <w:i/>
          <w:sz w:val="22"/>
          <w:szCs w:val="22"/>
        </w:rPr>
        <w:t>Zásadným cieľom vlády SR je zn</w:t>
      </w:r>
      <w:r>
        <w:rPr>
          <w:i/>
          <w:sz w:val="22"/>
          <w:szCs w:val="22"/>
        </w:rPr>
        <w:t>íž</w:t>
      </w:r>
      <w:r w:rsidRPr="005A3F1D">
        <w:rPr>
          <w:i/>
          <w:sz w:val="22"/>
          <w:szCs w:val="22"/>
        </w:rPr>
        <w:t>enie deficitu verejných financií pod úroveň 3 % hrubého domáceho produktu v roku 2013 tak, aby Slovensko dodr</w:t>
      </w:r>
      <w:r>
        <w:rPr>
          <w:i/>
          <w:sz w:val="22"/>
          <w:szCs w:val="22"/>
        </w:rPr>
        <w:t>ž</w:t>
      </w:r>
      <w:r w:rsidRPr="005A3F1D">
        <w:rPr>
          <w:i/>
          <w:sz w:val="22"/>
          <w:szCs w:val="22"/>
        </w:rPr>
        <w:t xml:space="preserve">alo svoje záväzky voči Európskej únii vyplývajúce z Paktu stability a rastu. Vláda SR prijme väčšinu opatrení </w:t>
      </w:r>
      <w:r w:rsidRPr="005A3F1D">
        <w:rPr>
          <w:i/>
          <w:sz w:val="22"/>
          <w:szCs w:val="22"/>
        </w:rPr>
        <w:lastRenderedPageBreak/>
        <w:t>potrebných na zn</w:t>
      </w:r>
      <w:r>
        <w:rPr>
          <w:i/>
          <w:sz w:val="22"/>
          <w:szCs w:val="22"/>
        </w:rPr>
        <w:t>íž</w:t>
      </w:r>
      <w:r w:rsidRPr="005A3F1D">
        <w:rPr>
          <w:i/>
          <w:sz w:val="22"/>
          <w:szCs w:val="22"/>
        </w:rPr>
        <w:t>enie deficitu s účinnosťou od roku 2011</w:t>
      </w:r>
      <w:r>
        <w:rPr>
          <w:i/>
          <w:sz w:val="22"/>
          <w:szCs w:val="22"/>
        </w:rPr>
        <w:t>.“</w:t>
      </w:r>
      <w:r>
        <w:rPr>
          <w:rStyle w:val="Znakapoznpodarou"/>
          <w:i/>
          <w:sz w:val="22"/>
          <w:szCs w:val="22"/>
        </w:rPr>
        <w:footnoteReference w:id="56"/>
      </w:r>
    </w:p>
    <w:p w:rsidR="00712E44" w:rsidRDefault="00712E44" w:rsidP="00C535FC">
      <w:pPr>
        <w:spacing w:line="360" w:lineRule="auto"/>
        <w:jc w:val="both"/>
        <w:rPr>
          <w:bCs/>
        </w:rPr>
      </w:pPr>
    </w:p>
    <w:p w:rsidR="00712E44" w:rsidRDefault="00712E44" w:rsidP="00C535FC">
      <w:pPr>
        <w:spacing w:line="360" w:lineRule="auto"/>
        <w:jc w:val="both"/>
        <w:rPr>
          <w:b/>
          <w:bCs/>
          <w:sz w:val="28"/>
          <w:szCs w:val="28"/>
        </w:rPr>
      </w:pPr>
    </w:p>
    <w:p w:rsidR="00712E44" w:rsidRDefault="00712E44" w:rsidP="00C535FC">
      <w:pPr>
        <w:spacing w:line="360" w:lineRule="auto"/>
        <w:jc w:val="both"/>
        <w:rPr>
          <w:b/>
          <w:bCs/>
          <w:sz w:val="28"/>
          <w:szCs w:val="28"/>
        </w:rPr>
      </w:pPr>
      <w:r>
        <w:rPr>
          <w:b/>
          <w:bCs/>
          <w:sz w:val="28"/>
          <w:szCs w:val="28"/>
        </w:rPr>
        <w:t xml:space="preserve">4.5.6 Vývoj míry nezaměstnanosti na Slovensku v průběhu členství </w:t>
      </w:r>
      <w:r>
        <w:rPr>
          <w:b/>
          <w:bCs/>
          <w:sz w:val="28"/>
          <w:szCs w:val="28"/>
        </w:rPr>
        <w:br/>
        <w:t>v eurozóně</w:t>
      </w:r>
    </w:p>
    <w:p w:rsidR="00712E44" w:rsidRPr="007500BE" w:rsidRDefault="00712E44" w:rsidP="00C535FC">
      <w:pPr>
        <w:spacing w:line="360" w:lineRule="auto"/>
        <w:jc w:val="both"/>
        <w:rPr>
          <w:bCs/>
        </w:rPr>
      </w:pPr>
    </w:p>
    <w:p w:rsidR="00712E44" w:rsidRDefault="00712E44" w:rsidP="00C535FC">
      <w:pPr>
        <w:spacing w:line="360" w:lineRule="auto"/>
        <w:jc w:val="both"/>
        <w:rPr>
          <w:bCs/>
        </w:rPr>
      </w:pPr>
      <w:r>
        <w:rPr>
          <w:bCs/>
        </w:rPr>
        <w:t xml:space="preserve">Negativní celosvětový ekonomický vývoj se během roku 2009 projevil, jak už bylo několikrát zmíněno, na celé výkonnosti slovenského hospodářství. Vysoká otevřenost slovenské ekonomiky a struktura domácího průmyslu způsobily její výraznější zranitelnost. Pokles výkonnosti byl poměrně výrazný, což se projevilo i na růstu nezaměstnanosti. </w:t>
      </w:r>
      <w:r>
        <w:rPr>
          <w:bCs/>
        </w:rPr>
        <w:br/>
        <w:t xml:space="preserve">Pro nastartování udržitelného ekonomického růstu je důležitá aktivní účast všech ekonomických subjektů, především podniků a domácností. Svůj podíl na pomalé tvorbě nových pracovních míst měla hlavně nejistota a slabá důvěra v podnikovém sektoru.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Vývoj růstu zaměstnanosti a pokles míry nezaměstnanosti se v prvním čtvrtletí 2009 oproti poslednímu čtvrtletí 2008, kdy došlo pouze k zastavení pozitivního trendu, výrazně zhoršil. Podle metodiky výběrového zjišťování pracovních sil (VZPS) se počet zaměstnaných </w:t>
      </w:r>
      <w:r>
        <w:rPr>
          <w:bCs/>
        </w:rPr>
        <w:br/>
        <w:t>v roce 2009 ve srovnání s rokem 2008 snížil o 2,8 %. Rok 2010 ve srovnání s rokem 2009 zaznamenal pokles o další 2 %.</w:t>
      </w:r>
      <w:r>
        <w:rPr>
          <w:rStyle w:val="Znakapoznpodarou"/>
          <w:bCs/>
        </w:rPr>
        <w:footnoteReference w:id="57"/>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Snížení zaměstnanosti zákonitě způsobilo růst míry nezaměstnanosti, která na Slovensku v roce 2009 dosáhla 12,1 % a v roce 2010 to bylo až 14,4 %.</w:t>
      </w:r>
      <w:r>
        <w:rPr>
          <w:rStyle w:val="Znakapoznpodarou"/>
          <w:bCs/>
        </w:rPr>
        <w:footnoteReference w:id="58"/>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Trh</w:t>
      </w:r>
      <w:r w:rsidRPr="00C3342D">
        <w:rPr>
          <w:bCs/>
        </w:rPr>
        <w:t xml:space="preserve"> práce v SR zatěžují i některé strukturální problémy, které se však v rámci krajů liší. Jedním z hlavních problémů je vysoký a pořád rostoucí podíl dlouhodobé nezaměstnanosti </w:t>
      </w:r>
      <w:r>
        <w:rPr>
          <w:bCs/>
        </w:rPr>
        <w:br/>
      </w:r>
      <w:r w:rsidRPr="00C3342D">
        <w:rPr>
          <w:bCs/>
        </w:rPr>
        <w:t xml:space="preserve">na celkové nezaměstnanosti. Značný počet dlouhodobě nezaměstnaných souvisle prodlužuje svou ekonomickou nečinnost a tím se stávají velkou mírou </w:t>
      </w:r>
      <w:r>
        <w:rPr>
          <w:bCs/>
        </w:rPr>
        <w:t xml:space="preserve">i </w:t>
      </w:r>
      <w:r w:rsidRPr="00C3342D">
        <w:rPr>
          <w:bCs/>
        </w:rPr>
        <w:t xml:space="preserve">nezaměstnatelnými. Jak uvádí </w:t>
      </w:r>
      <w:r w:rsidRPr="00C3342D">
        <w:rPr>
          <w:bCs/>
        </w:rPr>
        <w:lastRenderedPageBreak/>
        <w:t xml:space="preserve">následující </w:t>
      </w:r>
      <w:r>
        <w:rPr>
          <w:bCs/>
        </w:rPr>
        <w:t>graf</w:t>
      </w:r>
      <w:r w:rsidRPr="00C3342D">
        <w:rPr>
          <w:bCs/>
        </w:rPr>
        <w:t xml:space="preserve"> </w:t>
      </w:r>
      <w:r>
        <w:rPr>
          <w:bCs/>
        </w:rPr>
        <w:t>(</w:t>
      </w:r>
      <w:r w:rsidRPr="009660B5">
        <w:rPr>
          <w:bCs/>
        </w:rPr>
        <w:t xml:space="preserve">Obr. </w:t>
      </w:r>
      <w:r>
        <w:rPr>
          <w:bCs/>
        </w:rPr>
        <w:t>8</w:t>
      </w:r>
      <w:r w:rsidRPr="009660B5">
        <w:rPr>
          <w:bCs/>
        </w:rPr>
        <w:t>)</w:t>
      </w:r>
      <w:r w:rsidRPr="00C3342D">
        <w:rPr>
          <w:bCs/>
        </w:rPr>
        <w:t xml:space="preserve"> </w:t>
      </w:r>
      <w:r>
        <w:rPr>
          <w:bCs/>
        </w:rPr>
        <w:t>vytvořen na základě</w:t>
      </w:r>
      <w:r w:rsidRPr="00C3342D">
        <w:rPr>
          <w:bCs/>
        </w:rPr>
        <w:t> údajů zveřejněných slovenským Ústredím práce, sociálnych vecí a rodiny, tato čísla nejsou až tak zanedbatelná.</w:t>
      </w:r>
      <w:r w:rsidRPr="00962F3E">
        <w:rPr>
          <w:bCs/>
        </w:rPr>
        <w:t xml:space="preserve"> </w:t>
      </w:r>
      <w:r>
        <w:rPr>
          <w:bCs/>
        </w:rPr>
        <w:t>Graf potvrzuje již vzpomínaný vysoký a pořád rostoucí podíl dlouhodobě nezaměstnaných.</w:t>
      </w:r>
    </w:p>
    <w:p w:rsidR="00712E44" w:rsidRDefault="00712E44" w:rsidP="00C535FC">
      <w:pPr>
        <w:spacing w:line="360" w:lineRule="auto"/>
        <w:jc w:val="both"/>
        <w:rPr>
          <w:bCs/>
        </w:rPr>
      </w:pPr>
    </w:p>
    <w:p w:rsidR="00712E44" w:rsidRDefault="00DC4908" w:rsidP="00C535FC">
      <w:pPr>
        <w:spacing w:line="360" w:lineRule="auto"/>
        <w:jc w:val="center"/>
        <w:rPr>
          <w:bCs/>
        </w:rPr>
      </w:pPr>
      <w:r>
        <w:rPr>
          <w:noProof/>
          <w:lang w:eastAsia="cs-CZ"/>
        </w:rPr>
        <w:drawing>
          <wp:inline distT="0" distB="0" distL="0" distR="0">
            <wp:extent cx="4000500" cy="1876425"/>
            <wp:effectExtent l="19050" t="0" r="0" b="0"/>
            <wp:docPr id="9" name="Graf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4"/>
                    <pic:cNvPicPr>
                      <a:picLocks noChangeArrowheads="1"/>
                    </pic:cNvPicPr>
                  </pic:nvPicPr>
                  <pic:blipFill>
                    <a:blip r:embed="rId18"/>
                    <a:srcRect b="-67"/>
                    <a:stretch>
                      <a:fillRect/>
                    </a:stretch>
                  </pic:blipFill>
                  <pic:spPr bwMode="auto">
                    <a:xfrm>
                      <a:off x="0" y="0"/>
                      <a:ext cx="4000500" cy="1876425"/>
                    </a:xfrm>
                    <a:prstGeom prst="rect">
                      <a:avLst/>
                    </a:prstGeom>
                    <a:noFill/>
                    <a:ln w="9525">
                      <a:noFill/>
                      <a:miter lim="800000"/>
                      <a:headEnd/>
                      <a:tailEnd/>
                    </a:ln>
                  </pic:spPr>
                </pic:pic>
              </a:graphicData>
            </a:graphic>
          </wp:inline>
        </w:drawing>
      </w:r>
    </w:p>
    <w:p w:rsidR="00712E44" w:rsidRDefault="00712E44" w:rsidP="00C535FC">
      <w:pPr>
        <w:spacing w:line="360" w:lineRule="auto"/>
        <w:rPr>
          <w:b/>
          <w:sz w:val="20"/>
          <w:szCs w:val="20"/>
        </w:rPr>
      </w:pPr>
      <w:r>
        <w:rPr>
          <w:b/>
          <w:sz w:val="20"/>
          <w:szCs w:val="20"/>
        </w:rPr>
        <w:t xml:space="preserve">                            Obr. 8 Počet uchazečů o zaměstnání déle než 12 měsíců (vždy k prosinci)          </w:t>
      </w:r>
    </w:p>
    <w:p w:rsidR="00712E44" w:rsidRDefault="00712E44" w:rsidP="00C535FC">
      <w:pPr>
        <w:spacing w:line="360" w:lineRule="auto"/>
        <w:rPr>
          <w:bCs/>
        </w:rPr>
      </w:pPr>
      <w:r>
        <w:rPr>
          <w:b/>
          <w:sz w:val="20"/>
          <w:szCs w:val="20"/>
        </w:rPr>
        <w:t xml:space="preserve">                            </w:t>
      </w:r>
      <w:r w:rsidRPr="00811E67">
        <w:rPr>
          <w:i/>
          <w:sz w:val="20"/>
          <w:szCs w:val="20"/>
        </w:rPr>
        <w:t>Zdroj:</w:t>
      </w:r>
      <w:r>
        <w:rPr>
          <w:i/>
          <w:sz w:val="20"/>
          <w:szCs w:val="20"/>
        </w:rPr>
        <w:t xml:space="preserve"> vlastní zpracování na základě údajů zveřejněných Ústredím práce, sociálnych </w:t>
      </w:r>
      <w:r w:rsidRPr="00E67258">
        <w:rPr>
          <w:i/>
          <w:sz w:val="20"/>
          <w:szCs w:val="20"/>
        </w:rPr>
        <w:t xml:space="preserve">                                                                                                     </w:t>
      </w:r>
      <w:r>
        <w:rPr>
          <w:i/>
          <w:sz w:val="20"/>
          <w:szCs w:val="20"/>
        </w:rPr>
        <w:t xml:space="preserve"> </w:t>
      </w:r>
    </w:p>
    <w:p w:rsidR="00712E44" w:rsidRPr="00262A61" w:rsidRDefault="00712E44" w:rsidP="00C535FC">
      <w:pPr>
        <w:spacing w:line="360" w:lineRule="auto"/>
        <w:jc w:val="both"/>
        <w:rPr>
          <w:bCs/>
          <w:i/>
          <w:sz w:val="20"/>
          <w:szCs w:val="20"/>
        </w:rPr>
      </w:pPr>
      <w:r>
        <w:rPr>
          <w:bCs/>
        </w:rPr>
        <w:t xml:space="preserve">                       </w:t>
      </w:r>
      <w:r>
        <w:rPr>
          <w:bCs/>
          <w:i/>
          <w:sz w:val="20"/>
          <w:szCs w:val="20"/>
        </w:rPr>
        <w:t>vecí a rodiny</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Na následujícím obrázku (Obr. 9</w:t>
      </w:r>
      <w:r w:rsidRPr="009660B5">
        <w:rPr>
          <w:bCs/>
        </w:rPr>
        <w:t>)</w:t>
      </w:r>
      <w:r>
        <w:rPr>
          <w:bCs/>
          <w:color w:val="FF0000"/>
        </w:rPr>
        <w:t xml:space="preserve"> </w:t>
      </w:r>
      <w:r>
        <w:rPr>
          <w:bCs/>
        </w:rPr>
        <w:t xml:space="preserve">je výsečový graf znázorňující podíl jednotlivých krajů </w:t>
      </w:r>
      <w:r>
        <w:rPr>
          <w:bCs/>
        </w:rPr>
        <w:br/>
        <w:t xml:space="preserve">na celkové dlouhodobé nezaměstnanosti. Jak je vidět, ne všechny regiony jsou na tom stejně. Pouze v ekonomicky vyspělejších regionech je kapacita pohotově disponibilních uchazečů </w:t>
      </w:r>
      <w:r>
        <w:rPr>
          <w:bCs/>
        </w:rPr>
        <w:br/>
        <w:t>o zaměstnání nízká. V </w:t>
      </w:r>
      <w:r w:rsidRPr="00EB4377">
        <w:rPr>
          <w:bCs/>
        </w:rPr>
        <w:t xml:space="preserve">Příloze </w:t>
      </w:r>
      <w:r>
        <w:rPr>
          <w:bCs/>
        </w:rPr>
        <w:t>D se nachází tabulka s vyčíslenými údaji struktury dlouhodobě se ucházejících o zaměstnání v prosinci 2010 podle krajů.</w:t>
      </w:r>
    </w:p>
    <w:p w:rsidR="00712E44" w:rsidRDefault="00712E44" w:rsidP="00C535FC">
      <w:pPr>
        <w:spacing w:line="360" w:lineRule="auto"/>
        <w:jc w:val="both"/>
        <w:rPr>
          <w:bCs/>
        </w:rPr>
      </w:pPr>
    </w:p>
    <w:p w:rsidR="00712E44" w:rsidRPr="00C13DA5" w:rsidRDefault="00DC4908" w:rsidP="00C535FC">
      <w:pPr>
        <w:spacing w:line="360" w:lineRule="auto"/>
        <w:jc w:val="center"/>
        <w:rPr>
          <w:bCs/>
        </w:rPr>
      </w:pPr>
      <w:r>
        <w:rPr>
          <w:noProof/>
          <w:lang w:eastAsia="cs-CZ"/>
        </w:rPr>
        <w:drawing>
          <wp:inline distT="0" distB="0" distL="0" distR="0">
            <wp:extent cx="4648200" cy="2705100"/>
            <wp:effectExtent l="19050" t="0" r="0" b="0"/>
            <wp:docPr id="10" name="Graf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3"/>
                    <pic:cNvPicPr>
                      <a:picLocks noChangeArrowheads="1"/>
                    </pic:cNvPicPr>
                  </pic:nvPicPr>
                  <pic:blipFill>
                    <a:blip r:embed="rId19"/>
                    <a:srcRect b="-47"/>
                    <a:stretch>
                      <a:fillRect/>
                    </a:stretch>
                  </pic:blipFill>
                  <pic:spPr bwMode="auto">
                    <a:xfrm>
                      <a:off x="0" y="0"/>
                      <a:ext cx="4648200" cy="2705100"/>
                    </a:xfrm>
                    <a:prstGeom prst="rect">
                      <a:avLst/>
                    </a:prstGeom>
                    <a:noFill/>
                    <a:ln w="9525">
                      <a:noFill/>
                      <a:miter lim="800000"/>
                      <a:headEnd/>
                      <a:tailEnd/>
                    </a:ln>
                  </pic:spPr>
                </pic:pic>
              </a:graphicData>
            </a:graphic>
          </wp:inline>
        </w:drawing>
      </w:r>
    </w:p>
    <w:p w:rsidR="00712E44" w:rsidRDefault="00712E44" w:rsidP="00C535FC">
      <w:pPr>
        <w:spacing w:line="360" w:lineRule="auto"/>
        <w:rPr>
          <w:i/>
          <w:sz w:val="20"/>
          <w:szCs w:val="20"/>
        </w:rPr>
      </w:pPr>
      <w:r>
        <w:rPr>
          <w:b/>
          <w:sz w:val="20"/>
          <w:szCs w:val="20"/>
        </w:rPr>
        <w:t xml:space="preserve">                     Obr. 9 Struktura dlouhodobě se ucházejících o zaměstnání v prosinci 2010 podle krajů</w:t>
      </w:r>
      <w:r>
        <w:rPr>
          <w:i/>
          <w:sz w:val="20"/>
          <w:szCs w:val="20"/>
        </w:rPr>
        <w:t xml:space="preserve">    </w:t>
      </w:r>
    </w:p>
    <w:p w:rsidR="00712E44" w:rsidRPr="00E67258" w:rsidRDefault="00712E44" w:rsidP="00C535FC">
      <w:pPr>
        <w:spacing w:line="360" w:lineRule="auto"/>
        <w:rPr>
          <w:i/>
          <w:sz w:val="20"/>
          <w:szCs w:val="20"/>
        </w:rPr>
      </w:pPr>
      <w:r>
        <w:rPr>
          <w:i/>
          <w:sz w:val="20"/>
          <w:szCs w:val="20"/>
        </w:rPr>
        <w:t xml:space="preserve">                     </w:t>
      </w:r>
      <w:r w:rsidRPr="00811E67">
        <w:rPr>
          <w:i/>
          <w:sz w:val="20"/>
          <w:szCs w:val="20"/>
        </w:rPr>
        <w:t>Zdroj:</w:t>
      </w:r>
      <w:r>
        <w:rPr>
          <w:i/>
          <w:sz w:val="20"/>
          <w:szCs w:val="20"/>
        </w:rPr>
        <w:t xml:space="preserve"> vlastní zpracování na základě údajů zveřejněných Ústredím práce, sociálnych vecí a rodiny </w:t>
      </w:r>
      <w:r w:rsidRPr="00E67258">
        <w:rPr>
          <w:i/>
          <w:sz w:val="20"/>
          <w:szCs w:val="20"/>
        </w:rPr>
        <w:t xml:space="preserve">   </w:t>
      </w:r>
    </w:p>
    <w:p w:rsidR="00712E44" w:rsidRPr="00E67258" w:rsidRDefault="00712E44" w:rsidP="00C535FC">
      <w:pPr>
        <w:spacing w:line="360" w:lineRule="auto"/>
        <w:rPr>
          <w:i/>
          <w:sz w:val="20"/>
          <w:szCs w:val="20"/>
        </w:rPr>
      </w:pPr>
      <w:r w:rsidRPr="00E67258">
        <w:rPr>
          <w:i/>
          <w:sz w:val="20"/>
          <w:szCs w:val="20"/>
        </w:rPr>
        <w:t xml:space="preserve">      </w:t>
      </w:r>
    </w:p>
    <w:p w:rsidR="00712E44" w:rsidRDefault="00712E44" w:rsidP="00C535FC">
      <w:pPr>
        <w:spacing w:line="360" w:lineRule="auto"/>
        <w:jc w:val="both"/>
        <w:rPr>
          <w:bCs/>
        </w:rPr>
      </w:pPr>
      <w:r>
        <w:rPr>
          <w:bCs/>
        </w:rPr>
        <w:lastRenderedPageBreak/>
        <w:t xml:space="preserve">Každá hospodářská nestabilita negativně působí na vývoj zaměstnanosti a ani členství Slovenské republiky v eurozóně nezabránilo růstu míry nezaměstnanosti, který je důsledkem probíhající celosvětové hospodářské krize. Nezaměstnanost způsobená cyklickými hospodářskými šoky se může zčásti změnit na nezaměstnanost strukturální. I když </w:t>
      </w:r>
      <w:r>
        <w:rPr>
          <w:bCs/>
        </w:rPr>
        <w:br/>
        <w:t xml:space="preserve">se očekávalo, že zavedení eura povede k poklesu nezaměstnaných, není to úplně reálné tvrzení. Je to z důvodu, že současná strukturální nezaměstnanost není přímo závislá od míry inflace. Rekordně nízká úroveň inflace není důsledkem výrazného růstu míry nezaměstnanosti, nýbrž souvisí se snížením cen komodit na světových trzích a výrazným poklesem poptávky. Větší vliv na nepříznivý vývoj nezaměstnanosti mají jiné faktory, </w:t>
      </w:r>
      <w:r>
        <w:rPr>
          <w:bCs/>
        </w:rPr>
        <w:br/>
        <w:t xml:space="preserve">jež působí na tvorbu cen a mezd. Jedná se především o tyto činitele: </w:t>
      </w:r>
    </w:p>
    <w:p w:rsidR="00712E44" w:rsidRDefault="00712E44" w:rsidP="00C535FC">
      <w:pPr>
        <w:pStyle w:val="Odstavecseseznamem"/>
        <w:numPr>
          <w:ilvl w:val="0"/>
          <w:numId w:val="13"/>
        </w:numPr>
        <w:spacing w:line="360" w:lineRule="auto"/>
        <w:jc w:val="both"/>
        <w:rPr>
          <w:bCs/>
        </w:rPr>
      </w:pPr>
      <w:r w:rsidRPr="00C3342D">
        <w:rPr>
          <w:bCs/>
        </w:rPr>
        <w:t>mobilita pracovní síly,</w:t>
      </w:r>
    </w:p>
    <w:p w:rsidR="00712E44" w:rsidRDefault="00712E44" w:rsidP="00C535FC">
      <w:pPr>
        <w:pStyle w:val="Odstavecseseznamem"/>
        <w:numPr>
          <w:ilvl w:val="0"/>
          <w:numId w:val="13"/>
        </w:numPr>
        <w:spacing w:line="360" w:lineRule="auto"/>
        <w:jc w:val="both"/>
        <w:rPr>
          <w:bCs/>
        </w:rPr>
      </w:pPr>
      <w:r>
        <w:rPr>
          <w:bCs/>
        </w:rPr>
        <w:t>příspěvky státu (podpora v nezaměstnanosti, sociální dávky, příspěvky na bydlení),</w:t>
      </w:r>
    </w:p>
    <w:p w:rsidR="00712E44" w:rsidRDefault="00712E44" w:rsidP="00C535FC">
      <w:pPr>
        <w:pStyle w:val="Odstavecseseznamem"/>
        <w:numPr>
          <w:ilvl w:val="0"/>
          <w:numId w:val="13"/>
        </w:numPr>
        <w:spacing w:line="360" w:lineRule="auto"/>
        <w:jc w:val="both"/>
        <w:rPr>
          <w:bCs/>
        </w:rPr>
      </w:pPr>
      <w:r>
        <w:rPr>
          <w:bCs/>
        </w:rPr>
        <w:t>působení konkurenčního boje,</w:t>
      </w:r>
    </w:p>
    <w:p w:rsidR="00712E44" w:rsidRDefault="00712E44" w:rsidP="00C535FC">
      <w:pPr>
        <w:pStyle w:val="Odstavecseseznamem"/>
        <w:numPr>
          <w:ilvl w:val="0"/>
          <w:numId w:val="13"/>
        </w:numPr>
        <w:spacing w:line="360" w:lineRule="auto"/>
        <w:jc w:val="both"/>
        <w:rPr>
          <w:bCs/>
        </w:rPr>
      </w:pPr>
      <w:r w:rsidRPr="00C3342D">
        <w:rPr>
          <w:bCs/>
        </w:rPr>
        <w:t xml:space="preserve">daňový systém.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Tímto lze dospět k závěru, že členství v eurozóně prozatím Slovenské republice nepřineslo pokles míry nezaměstnanosti a v důsledku globální </w:t>
      </w:r>
      <w:r w:rsidRPr="00753322">
        <w:rPr>
          <w:bCs/>
        </w:rPr>
        <w:t>krize došlo</w:t>
      </w:r>
      <w:r>
        <w:rPr>
          <w:bCs/>
        </w:rPr>
        <w:t xml:space="preserve"> dokonce k jejímu poměrně výraznému nárůstu.</w:t>
      </w:r>
    </w:p>
    <w:p w:rsidR="00712E44" w:rsidRDefault="00712E44" w:rsidP="00C535FC">
      <w:pPr>
        <w:spacing w:line="360" w:lineRule="auto"/>
        <w:jc w:val="both"/>
        <w:rPr>
          <w:bCs/>
        </w:rPr>
      </w:pPr>
    </w:p>
    <w:p w:rsidR="00712E44" w:rsidRPr="002F2101" w:rsidRDefault="00712E44" w:rsidP="00C535FC">
      <w:pPr>
        <w:spacing w:line="360" w:lineRule="auto"/>
        <w:jc w:val="both"/>
        <w:rPr>
          <w:bCs/>
        </w:rPr>
      </w:pPr>
    </w:p>
    <w:p w:rsidR="00712E44" w:rsidRDefault="00712E44" w:rsidP="00C535FC">
      <w:pPr>
        <w:spacing w:line="360" w:lineRule="auto"/>
        <w:jc w:val="both"/>
        <w:rPr>
          <w:bCs/>
        </w:rPr>
      </w:pPr>
      <w:r>
        <w:rPr>
          <w:b/>
          <w:bCs/>
          <w:sz w:val="28"/>
          <w:szCs w:val="28"/>
        </w:rPr>
        <w:t>4.5.7 Vliv zavedení eura na příliv zahraničních investic</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Světová krizová deformace se začala projevovat postupným poklesem mezinárodního obchodu a nižším zájmem zahraničních investorů. Slovenská ekonomika se v roce 2009 </w:t>
      </w:r>
      <w:r>
        <w:rPr>
          <w:bCs/>
        </w:rPr>
        <w:br/>
        <w:t xml:space="preserve">pod vlivem globální krize výrazně zpomalila. Až rok 2010 byl charakteristický oživením, </w:t>
      </w:r>
      <w:r>
        <w:rPr>
          <w:bCs/>
        </w:rPr>
        <w:br/>
        <w:t xml:space="preserve">a to i v rámci přílivu přímých zahraničních investic.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Vedoucí makroanalytik </w:t>
      </w:r>
      <w:r w:rsidRPr="00B75F50">
        <w:rPr>
          <w:bCs/>
          <w:i/>
        </w:rPr>
        <w:t>Erste Group pre strednú a východnú Európu</w:t>
      </w:r>
      <w:r>
        <w:rPr>
          <w:bCs/>
        </w:rPr>
        <w:t xml:space="preserve"> Juraj Kotian se vyjádřil, že </w:t>
      </w:r>
      <w:r w:rsidRPr="00B75F50">
        <w:rPr>
          <w:bCs/>
          <w:i/>
        </w:rPr>
        <w:t>„</w:t>
      </w:r>
      <w:r>
        <w:rPr>
          <w:rStyle w:val="Zvraznn"/>
        </w:rPr>
        <w:t xml:space="preserve">Po masívnom prepade v roku 2009 (- 45 % v porovnaní s predchádzajúcim rokom), začali priame zahraničné investície opäť voľne prúdiť (nárast približne o 9 % v porovnaní </w:t>
      </w:r>
      <w:r>
        <w:rPr>
          <w:rStyle w:val="Zvraznn"/>
        </w:rPr>
        <w:br/>
        <w:t>s minulým rokom).“</w:t>
      </w:r>
      <w:r>
        <w:rPr>
          <w:rStyle w:val="Znakapoznpodarou"/>
          <w:i/>
          <w:iCs/>
        </w:rPr>
        <w:footnoteReference w:id="59"/>
      </w:r>
    </w:p>
    <w:p w:rsidR="00712E44" w:rsidRDefault="00712E44" w:rsidP="00C535FC">
      <w:pPr>
        <w:spacing w:line="360" w:lineRule="auto"/>
        <w:jc w:val="both"/>
        <w:rPr>
          <w:bCs/>
        </w:rPr>
      </w:pPr>
      <w:r>
        <w:rPr>
          <w:bCs/>
        </w:rPr>
        <w:lastRenderedPageBreak/>
        <w:t>Na Slovensku byl v roce 2010 příliv PZI na úrovni 1 % HDP. Na základě informací Slovenskej sporiteľne zpomalení v roce 2009 měl na svědomí čistý odliv ostatního kapitálu. Důvodem tohoto odlivu byla globální krize a pravděpodobně i vstup Slovenska do EMU. Přijetí eura mohlo způsobit přesun části likvidity dceřiných společností zahraničních skupin do jiných zahraničních zemí.</w:t>
      </w:r>
      <w:r>
        <w:rPr>
          <w:rStyle w:val="Znakapoznpodarou"/>
          <w:bCs/>
        </w:rPr>
        <w:footnoteReference w:id="60"/>
      </w:r>
      <w:r>
        <w:rPr>
          <w:bCs/>
        </w:rPr>
        <w:t xml:space="preserve"> </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4.5.8 Vliv zavedení eura na úrokové míry</w:t>
      </w:r>
    </w:p>
    <w:p w:rsidR="00712E44" w:rsidRDefault="00712E44" w:rsidP="00C535FC">
      <w:pPr>
        <w:spacing w:line="360" w:lineRule="auto"/>
        <w:jc w:val="both"/>
      </w:pPr>
    </w:p>
    <w:p w:rsidR="00712E44" w:rsidRDefault="00712E44" w:rsidP="00C535FC">
      <w:pPr>
        <w:spacing w:line="360" w:lineRule="auto"/>
        <w:jc w:val="both"/>
      </w:pPr>
      <w:r>
        <w:t xml:space="preserve">Posledním ukazatelem, jímž se práce zabývá, jsou úrokové míry. Po vstupu Slovenska </w:t>
      </w:r>
      <w:r>
        <w:br/>
        <w:t>do eurozóny se předpokládal pokles úrokových sazeb, především z důvodu zvýšení konkurence na finančním trhu.</w:t>
      </w:r>
    </w:p>
    <w:p w:rsidR="00712E44" w:rsidRDefault="00712E44" w:rsidP="00C535FC">
      <w:pPr>
        <w:spacing w:line="360" w:lineRule="auto"/>
        <w:jc w:val="both"/>
      </w:pPr>
    </w:p>
    <w:p w:rsidR="00712E44" w:rsidRDefault="00712E44" w:rsidP="00C535FC">
      <w:pPr>
        <w:spacing w:line="360" w:lineRule="auto"/>
        <w:jc w:val="both"/>
      </w:pPr>
      <w:r>
        <w:t xml:space="preserve">Následující grafické znázornění (Obr. 10) představuje vývoj úrokových sazeb na bydlení </w:t>
      </w:r>
      <w:r>
        <w:br/>
        <w:t xml:space="preserve">ve srovnání s průměrnými úrokovými sazbami EMU. </w:t>
      </w:r>
    </w:p>
    <w:p w:rsidR="00712E44" w:rsidRDefault="00712E44" w:rsidP="00C535FC">
      <w:pPr>
        <w:spacing w:line="360" w:lineRule="auto"/>
        <w:jc w:val="both"/>
      </w:pPr>
    </w:p>
    <w:p w:rsidR="00712E44" w:rsidRDefault="00DC4908" w:rsidP="00C535FC">
      <w:pPr>
        <w:spacing w:line="360" w:lineRule="auto"/>
        <w:jc w:val="center"/>
      </w:pPr>
      <w:r>
        <w:rPr>
          <w:noProof/>
          <w:lang w:eastAsia="cs-CZ"/>
        </w:rPr>
        <w:drawing>
          <wp:inline distT="0" distB="0" distL="0" distR="0">
            <wp:extent cx="4486275" cy="1971675"/>
            <wp:effectExtent l="19050" t="0" r="9525" b="0"/>
            <wp:docPr id="11" name="Graf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6"/>
                    <pic:cNvPicPr>
                      <a:picLocks noChangeArrowheads="1"/>
                    </pic:cNvPicPr>
                  </pic:nvPicPr>
                  <pic:blipFill>
                    <a:blip r:embed="rId20"/>
                    <a:srcRect/>
                    <a:stretch>
                      <a:fillRect/>
                    </a:stretch>
                  </pic:blipFill>
                  <pic:spPr bwMode="auto">
                    <a:xfrm>
                      <a:off x="0" y="0"/>
                      <a:ext cx="4486275" cy="1971675"/>
                    </a:xfrm>
                    <a:prstGeom prst="rect">
                      <a:avLst/>
                    </a:prstGeom>
                    <a:noFill/>
                    <a:ln w="9525">
                      <a:noFill/>
                      <a:miter lim="800000"/>
                      <a:headEnd/>
                      <a:tailEnd/>
                    </a:ln>
                  </pic:spPr>
                </pic:pic>
              </a:graphicData>
            </a:graphic>
          </wp:inline>
        </w:drawing>
      </w:r>
    </w:p>
    <w:p w:rsidR="00712E44" w:rsidRDefault="00712E44" w:rsidP="00C535FC">
      <w:pPr>
        <w:spacing w:line="360" w:lineRule="auto"/>
        <w:rPr>
          <w:i/>
          <w:sz w:val="20"/>
          <w:szCs w:val="20"/>
        </w:rPr>
      </w:pPr>
      <w:r>
        <w:rPr>
          <w:b/>
          <w:sz w:val="20"/>
          <w:szCs w:val="20"/>
        </w:rPr>
        <w:t xml:space="preserve">                     Obr. 10 Vývoj úrokových sazeb nových úvěrů na bydlení</w:t>
      </w:r>
      <w:r>
        <w:rPr>
          <w:i/>
          <w:sz w:val="20"/>
          <w:szCs w:val="20"/>
        </w:rPr>
        <w:t xml:space="preserve">   </w:t>
      </w:r>
    </w:p>
    <w:p w:rsidR="00712E44" w:rsidRDefault="00712E44" w:rsidP="00C535FC">
      <w:pPr>
        <w:spacing w:line="360" w:lineRule="auto"/>
        <w:rPr>
          <w:bCs/>
        </w:rPr>
      </w:pPr>
      <w:r>
        <w:rPr>
          <w:i/>
          <w:sz w:val="20"/>
          <w:szCs w:val="20"/>
        </w:rPr>
        <w:t xml:space="preserve">                      </w:t>
      </w:r>
      <w:r w:rsidRPr="00811E67">
        <w:rPr>
          <w:i/>
          <w:sz w:val="20"/>
          <w:szCs w:val="20"/>
        </w:rPr>
        <w:t>Zdroj:</w:t>
      </w:r>
      <w:r>
        <w:rPr>
          <w:i/>
          <w:sz w:val="20"/>
          <w:szCs w:val="20"/>
        </w:rPr>
        <w:t xml:space="preserve"> vlastní zpracování na základě údajů zveřejněných Národní bankou Slovenska</w:t>
      </w:r>
      <w:r w:rsidRPr="00E67258">
        <w:rPr>
          <w:i/>
          <w:sz w:val="20"/>
          <w:szCs w:val="20"/>
        </w:rPr>
        <w:t xml:space="preserve">    </w:t>
      </w:r>
      <w:r>
        <w:rPr>
          <w:i/>
          <w:sz w:val="20"/>
          <w:szCs w:val="20"/>
        </w:rPr>
        <w:t xml:space="preserve"> </w:t>
      </w:r>
    </w:p>
    <w:p w:rsidR="00712E44" w:rsidRDefault="00712E44" w:rsidP="00C535FC">
      <w:pPr>
        <w:spacing w:line="360" w:lineRule="auto"/>
        <w:jc w:val="both"/>
      </w:pPr>
      <w:r>
        <w:rPr>
          <w:bCs/>
        </w:rPr>
        <w:t xml:space="preserve">                        </w:t>
      </w:r>
    </w:p>
    <w:p w:rsidR="00712E44" w:rsidRDefault="00712E44" w:rsidP="00C535FC">
      <w:pPr>
        <w:spacing w:line="360" w:lineRule="auto"/>
        <w:jc w:val="both"/>
      </w:pPr>
      <w:r>
        <w:t xml:space="preserve">Z grafu je patrné, že úrokové sazby na bydlení na Slovensku mírně klesaly, ale stejně byly průměru eurozóny značně vzdáleny. Jak je vidět, rozdíly v úročení úvěrů mezi zeměmi přetrvaly i po zavedení jednotné měny. Ani stejná měnová politika ECB a operace na silně propojeném finančním trhu nepřinesly změnu. </w:t>
      </w:r>
    </w:p>
    <w:p w:rsidR="00712E44" w:rsidRDefault="00712E44" w:rsidP="00C535FC">
      <w:pPr>
        <w:spacing w:line="360" w:lineRule="auto"/>
        <w:jc w:val="both"/>
      </w:pPr>
    </w:p>
    <w:p w:rsidR="00712E44" w:rsidRDefault="00712E44" w:rsidP="00C535FC">
      <w:pPr>
        <w:spacing w:line="360" w:lineRule="auto"/>
        <w:jc w:val="both"/>
      </w:pPr>
      <w:r>
        <w:lastRenderedPageBreak/>
        <w:t xml:space="preserve">Pro vysvětlení těchto rozdílů nestačí pouze argumenty bank, že obchodují na menším </w:t>
      </w:r>
      <w:r>
        <w:br/>
        <w:t xml:space="preserve">a rizikovějším trhu a mají vyšší náklady na refinancování. Jedním z podstatnějších důvodů </w:t>
      </w:r>
      <w:r>
        <w:br/>
        <w:t>je skutečnost, že si to mohou díky malé konkurenci na slovenském trhu dovolit. Euro sice nabízelo rozšíření konkurenčního prostředí, ale realita napovídá, že obyvatelé Slovenska s žádostí o hypotéku v zahraničí nepochodí, takže nemají jinou možnost.</w:t>
      </w:r>
    </w:p>
    <w:p w:rsidR="00712E44" w:rsidRDefault="00712E44" w:rsidP="00C535FC">
      <w:pPr>
        <w:spacing w:line="360" w:lineRule="auto"/>
        <w:jc w:val="both"/>
      </w:pPr>
    </w:p>
    <w:p w:rsidR="00712E44" w:rsidRDefault="00712E44" w:rsidP="00C535FC">
      <w:pPr>
        <w:spacing w:line="360" w:lineRule="auto"/>
        <w:jc w:val="both"/>
      </w:pPr>
      <w:r>
        <w:t>Následující část této subkapitoly má za úkol načrtnout rozdíly v úvěrových sazbách k úvěrům a vkladům. I když by mělo platit, že vyšší úroky úvěrů znamenají i vyšší úroky vkladů, další graf (Obr. 11) vypovídá o něčem jiném.</w:t>
      </w:r>
    </w:p>
    <w:p w:rsidR="00712E44" w:rsidRDefault="00712E44" w:rsidP="00C535FC">
      <w:pPr>
        <w:spacing w:line="360" w:lineRule="auto"/>
        <w:jc w:val="both"/>
      </w:pPr>
    </w:p>
    <w:p w:rsidR="00712E44" w:rsidRDefault="00DC4908" w:rsidP="00C535FC">
      <w:pPr>
        <w:spacing w:line="360" w:lineRule="auto"/>
        <w:jc w:val="center"/>
      </w:pPr>
      <w:r>
        <w:rPr>
          <w:noProof/>
          <w:lang w:eastAsia="cs-CZ"/>
        </w:rPr>
        <w:drawing>
          <wp:inline distT="0" distB="0" distL="0" distR="0">
            <wp:extent cx="4486275" cy="1971675"/>
            <wp:effectExtent l="19050" t="0" r="9525" b="0"/>
            <wp:docPr id="12" name="obrázek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rrowheads="1"/>
                    </pic:cNvPicPr>
                  </pic:nvPicPr>
                  <pic:blipFill>
                    <a:blip r:embed="rId21"/>
                    <a:srcRect/>
                    <a:stretch>
                      <a:fillRect/>
                    </a:stretch>
                  </pic:blipFill>
                  <pic:spPr bwMode="auto">
                    <a:xfrm>
                      <a:off x="0" y="0"/>
                      <a:ext cx="4486275" cy="1971675"/>
                    </a:xfrm>
                    <a:prstGeom prst="rect">
                      <a:avLst/>
                    </a:prstGeom>
                    <a:noFill/>
                    <a:ln w="9525">
                      <a:noFill/>
                      <a:miter lim="800000"/>
                      <a:headEnd/>
                      <a:tailEnd/>
                    </a:ln>
                  </pic:spPr>
                </pic:pic>
              </a:graphicData>
            </a:graphic>
          </wp:inline>
        </w:drawing>
      </w:r>
    </w:p>
    <w:p w:rsidR="00712E44" w:rsidRDefault="00712E44" w:rsidP="00C535FC">
      <w:pPr>
        <w:spacing w:line="360" w:lineRule="auto"/>
        <w:rPr>
          <w:i/>
          <w:sz w:val="20"/>
          <w:szCs w:val="20"/>
        </w:rPr>
      </w:pPr>
      <w:r>
        <w:t xml:space="preserve">                 </w:t>
      </w:r>
      <w:r>
        <w:rPr>
          <w:b/>
          <w:sz w:val="20"/>
          <w:szCs w:val="20"/>
        </w:rPr>
        <w:t>Obr. 11 Vývoj úrokových sazeb nových úvěrů na bydlení a vkladů se splatností do 1 roku</w:t>
      </w:r>
      <w:r>
        <w:rPr>
          <w:i/>
          <w:sz w:val="20"/>
          <w:szCs w:val="20"/>
        </w:rPr>
        <w:t xml:space="preserve">   </w:t>
      </w:r>
    </w:p>
    <w:p w:rsidR="00712E44" w:rsidRDefault="00712E44" w:rsidP="00C535FC">
      <w:pPr>
        <w:spacing w:line="360" w:lineRule="auto"/>
        <w:rPr>
          <w:bCs/>
        </w:rPr>
      </w:pPr>
      <w:r>
        <w:rPr>
          <w:i/>
          <w:sz w:val="20"/>
          <w:szCs w:val="20"/>
        </w:rPr>
        <w:t xml:space="preserve">                     </w:t>
      </w:r>
      <w:r w:rsidRPr="00811E67">
        <w:rPr>
          <w:i/>
          <w:sz w:val="20"/>
          <w:szCs w:val="20"/>
        </w:rPr>
        <w:t>Zdroj:</w:t>
      </w:r>
      <w:r>
        <w:rPr>
          <w:i/>
          <w:sz w:val="20"/>
          <w:szCs w:val="20"/>
        </w:rPr>
        <w:t xml:space="preserve"> vlastní zpracování na základě údajů zveřejněných Národní bankou Slovenska</w:t>
      </w:r>
      <w:r w:rsidRPr="00E67258">
        <w:rPr>
          <w:i/>
          <w:sz w:val="20"/>
          <w:szCs w:val="20"/>
        </w:rPr>
        <w:t xml:space="preserve">    </w:t>
      </w:r>
      <w:r>
        <w:rPr>
          <w:i/>
          <w:sz w:val="20"/>
          <w:szCs w:val="20"/>
        </w:rPr>
        <w:t xml:space="preserve"> </w:t>
      </w:r>
    </w:p>
    <w:p w:rsidR="00712E44" w:rsidRDefault="00712E44" w:rsidP="00C535FC">
      <w:pPr>
        <w:spacing w:line="360" w:lineRule="auto"/>
        <w:jc w:val="both"/>
      </w:pPr>
    </w:p>
    <w:p w:rsidR="00712E44" w:rsidRDefault="00712E44" w:rsidP="00C535FC">
      <w:pPr>
        <w:spacing w:line="360" w:lineRule="auto"/>
        <w:jc w:val="both"/>
      </w:pPr>
      <w:r>
        <w:t>Graf dokazuje značné rozdíly v úročení úvěrů a vkladů. Rovněž potvrzuje výše uvedenou příčinu, že je na slovenském finančním trhu malá konkurence. Z tohoto důvodu si banky mohou dovolit vysoké úroky z úvěrů a nízké</w:t>
      </w:r>
      <w:r w:rsidRPr="00FB21CB">
        <w:t xml:space="preserve"> </w:t>
      </w:r>
      <w:r>
        <w:t>úrokové sazby z vkladů, které aktuálním úrokům z úvěrů zdaleka neodpovídají.</w:t>
      </w:r>
    </w:p>
    <w:p w:rsidR="00712E44" w:rsidRDefault="00712E44" w:rsidP="00C535FC">
      <w:pPr>
        <w:spacing w:line="360" w:lineRule="auto"/>
        <w:jc w:val="both"/>
      </w:pPr>
    </w:p>
    <w:p w:rsidR="00712E44" w:rsidRDefault="00712E44" w:rsidP="00C535FC">
      <w:pPr>
        <w:spacing w:line="360" w:lineRule="auto"/>
        <w:jc w:val="both"/>
      </w:pPr>
    </w:p>
    <w:p w:rsidR="00712E44" w:rsidRDefault="00712E44" w:rsidP="00C535FC">
      <w:pPr>
        <w:spacing w:line="360" w:lineRule="auto"/>
        <w:jc w:val="both"/>
        <w:rPr>
          <w:b/>
          <w:bCs/>
          <w:sz w:val="28"/>
          <w:szCs w:val="28"/>
        </w:rPr>
      </w:pPr>
      <w:r>
        <w:rPr>
          <w:b/>
          <w:bCs/>
          <w:sz w:val="28"/>
          <w:szCs w:val="28"/>
        </w:rPr>
        <w:t>4.6 Náklady a nevýhody zavedení eura</w:t>
      </w:r>
    </w:p>
    <w:p w:rsidR="00712E44" w:rsidRDefault="00712E44" w:rsidP="00C535FC">
      <w:pPr>
        <w:spacing w:line="360" w:lineRule="auto"/>
        <w:jc w:val="both"/>
        <w:rPr>
          <w:bCs/>
        </w:rPr>
      </w:pPr>
    </w:p>
    <w:p w:rsidR="00712E44" w:rsidRPr="00753322" w:rsidRDefault="00712E44" w:rsidP="00C535FC">
      <w:pPr>
        <w:spacing w:line="360" w:lineRule="auto"/>
        <w:jc w:val="both"/>
        <w:rPr>
          <w:bCs/>
        </w:rPr>
      </w:pPr>
      <w:r w:rsidRPr="00753322">
        <w:rPr>
          <w:bCs/>
        </w:rPr>
        <w:t xml:space="preserve">Přijetí nové - stabilnější měny na Slovensku však má i své negativní stránky. V následujících částech práce jsou popsány náklady, nevýhody a rizika zavedení evropského platidla. </w:t>
      </w:r>
      <w:r w:rsidRPr="00753322">
        <w:rPr>
          <w:bCs/>
        </w:rPr>
        <w:br/>
        <w:t xml:space="preserve">Pro potřeby těchto kapitol byla jako podklad použita studie NBS </w:t>
      </w:r>
      <w:r w:rsidRPr="00753322">
        <w:rPr>
          <w:bCs/>
          <w:i/>
        </w:rPr>
        <w:t xml:space="preserve">Vplyv zavedenia eura </w:t>
      </w:r>
      <w:r w:rsidRPr="00753322">
        <w:rPr>
          <w:bCs/>
          <w:i/>
        </w:rPr>
        <w:br/>
        <w:t xml:space="preserve">na slovenské hospodárstvo, </w:t>
      </w:r>
      <w:r w:rsidRPr="00753322">
        <w:rPr>
          <w:bCs/>
        </w:rPr>
        <w:t>která k nákladům a nevýhodám řadí:</w:t>
      </w:r>
    </w:p>
    <w:p w:rsidR="00712E44" w:rsidRDefault="00712E44" w:rsidP="00C535FC">
      <w:pPr>
        <w:pStyle w:val="Odstavecseseznamem"/>
        <w:numPr>
          <w:ilvl w:val="0"/>
          <w:numId w:val="13"/>
        </w:numPr>
        <w:spacing w:line="360" w:lineRule="auto"/>
        <w:jc w:val="both"/>
        <w:rPr>
          <w:bCs/>
        </w:rPr>
      </w:pPr>
      <w:r w:rsidRPr="00E86BE0">
        <w:rPr>
          <w:bCs/>
        </w:rPr>
        <w:t>jednorázové náklady na zavedení eura</w:t>
      </w:r>
      <w:r>
        <w:rPr>
          <w:bCs/>
        </w:rPr>
        <w:t>,</w:t>
      </w:r>
    </w:p>
    <w:p w:rsidR="00712E44" w:rsidRDefault="00712E44" w:rsidP="00C535FC">
      <w:pPr>
        <w:pStyle w:val="Odstavecseseznamem"/>
        <w:numPr>
          <w:ilvl w:val="0"/>
          <w:numId w:val="13"/>
        </w:numPr>
        <w:spacing w:line="360" w:lineRule="auto"/>
        <w:jc w:val="both"/>
        <w:rPr>
          <w:bCs/>
        </w:rPr>
      </w:pPr>
      <w:r>
        <w:rPr>
          <w:bCs/>
        </w:rPr>
        <w:lastRenderedPageBreak/>
        <w:t>specifické náklady sektoru bank a pokles jeho výnosů,</w:t>
      </w:r>
    </w:p>
    <w:p w:rsidR="00712E44" w:rsidRDefault="00712E44" w:rsidP="00C535FC">
      <w:pPr>
        <w:pStyle w:val="Odstavecseseznamem"/>
        <w:numPr>
          <w:ilvl w:val="0"/>
          <w:numId w:val="13"/>
        </w:numPr>
        <w:spacing w:line="360" w:lineRule="auto"/>
        <w:jc w:val="both"/>
        <w:rPr>
          <w:bCs/>
        </w:rPr>
      </w:pPr>
      <w:r>
        <w:rPr>
          <w:bCs/>
        </w:rPr>
        <w:t>ztrátu nezávislé měnové politiky,</w:t>
      </w:r>
    </w:p>
    <w:p w:rsidR="00712E44" w:rsidRDefault="00712E44" w:rsidP="00C535FC">
      <w:pPr>
        <w:pStyle w:val="Odstavecseseznamem"/>
        <w:numPr>
          <w:ilvl w:val="0"/>
          <w:numId w:val="13"/>
        </w:numPr>
        <w:spacing w:line="360" w:lineRule="auto"/>
        <w:jc w:val="both"/>
        <w:rPr>
          <w:bCs/>
        </w:rPr>
      </w:pPr>
      <w:r>
        <w:rPr>
          <w:bCs/>
        </w:rPr>
        <w:t>a asymetrii šoků na Slovensku a v eurozóně.</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Jednorázové náklady na zavedení eura si hradil každý podnikatelský subjekt sám. Minimalizace těchto nákladů byla závislá na vhodné a včasné organizaci přípravných prací. Součástí těchto vícenákladů byly</w:t>
      </w:r>
      <w:r w:rsidRPr="00896982">
        <w:rPr>
          <w:bCs/>
        </w:rPr>
        <w:t xml:space="preserve"> </w:t>
      </w:r>
      <w:r>
        <w:rPr>
          <w:bCs/>
        </w:rPr>
        <w:t>náklady:</w:t>
      </w:r>
    </w:p>
    <w:p w:rsidR="00712E44" w:rsidRDefault="00712E44" w:rsidP="00C535FC">
      <w:pPr>
        <w:pStyle w:val="Odstavecseseznamem"/>
        <w:numPr>
          <w:ilvl w:val="0"/>
          <w:numId w:val="13"/>
        </w:numPr>
        <w:spacing w:line="360" w:lineRule="auto"/>
        <w:jc w:val="both"/>
        <w:rPr>
          <w:bCs/>
        </w:rPr>
      </w:pPr>
      <w:r>
        <w:rPr>
          <w:bCs/>
        </w:rPr>
        <w:t>spojené se změnou softvérů a informačních systémů,</w:t>
      </w:r>
    </w:p>
    <w:p w:rsidR="00712E44" w:rsidRDefault="00712E44" w:rsidP="00C535FC">
      <w:pPr>
        <w:pStyle w:val="Odstavecseseznamem"/>
        <w:numPr>
          <w:ilvl w:val="0"/>
          <w:numId w:val="13"/>
        </w:numPr>
        <w:spacing w:line="360" w:lineRule="auto"/>
        <w:jc w:val="both"/>
        <w:rPr>
          <w:bCs/>
        </w:rPr>
      </w:pPr>
      <w:r>
        <w:rPr>
          <w:bCs/>
        </w:rPr>
        <w:t xml:space="preserve">spojené s duálním oceňováním a duálním oběhem, </w:t>
      </w:r>
    </w:p>
    <w:p w:rsidR="00712E44" w:rsidRDefault="00712E44" w:rsidP="00C535FC">
      <w:pPr>
        <w:pStyle w:val="Odstavecseseznamem"/>
        <w:numPr>
          <w:ilvl w:val="0"/>
          <w:numId w:val="13"/>
        </w:numPr>
        <w:spacing w:line="360" w:lineRule="auto"/>
        <w:jc w:val="both"/>
        <w:rPr>
          <w:bCs/>
        </w:rPr>
      </w:pPr>
      <w:r>
        <w:rPr>
          <w:bCs/>
        </w:rPr>
        <w:t>na vzdělávání pracovníků, a to především v bankách a velkých podnicích.</w:t>
      </w:r>
    </w:p>
    <w:p w:rsidR="00712E44" w:rsidRDefault="00712E44" w:rsidP="00C535FC">
      <w:pPr>
        <w:spacing w:line="360" w:lineRule="auto"/>
        <w:jc w:val="both"/>
        <w:rPr>
          <w:bCs/>
        </w:rPr>
      </w:pPr>
      <w:r>
        <w:rPr>
          <w:bCs/>
        </w:rPr>
        <w:t xml:space="preserve">Tyto náklady jednorázového charakteru lze však považovat za investice, jež se budou dlouhodoběji odepisovat.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Údaje NBS uvádí odhad celkových jednorázových nákladů v hodnotě 0,3 % HDP.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Specifickými náklady, které bankovnímu sektoru vznikly v souvislosti se zavedením eura, byly:</w:t>
      </w:r>
    </w:p>
    <w:p w:rsidR="00712E44" w:rsidRDefault="00712E44" w:rsidP="00C535FC">
      <w:pPr>
        <w:pStyle w:val="Odstavecseseznamem"/>
        <w:numPr>
          <w:ilvl w:val="0"/>
          <w:numId w:val="13"/>
        </w:numPr>
        <w:spacing w:line="360" w:lineRule="auto"/>
        <w:jc w:val="both"/>
        <w:rPr>
          <w:bCs/>
        </w:rPr>
      </w:pPr>
      <w:r>
        <w:rPr>
          <w:bCs/>
        </w:rPr>
        <w:t>náklady spojené se zajištěním bezplatné konverze koruny na euro,</w:t>
      </w:r>
    </w:p>
    <w:p w:rsidR="00712E44" w:rsidRDefault="00712E44" w:rsidP="00C535FC">
      <w:pPr>
        <w:pStyle w:val="Odstavecseseznamem"/>
        <w:numPr>
          <w:ilvl w:val="0"/>
          <w:numId w:val="13"/>
        </w:numPr>
        <w:spacing w:line="360" w:lineRule="auto"/>
        <w:jc w:val="both"/>
        <w:rPr>
          <w:bCs/>
        </w:rPr>
      </w:pPr>
      <w:r>
        <w:rPr>
          <w:bCs/>
        </w:rPr>
        <w:t>náklady spojené s úpravou informačních systémů.</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Centrální banka Slovenska se vstupem do eurozóny musela vzdát nástroje na zmírňování asymetrických šoků – nezávislé měnové politiky. Ztráta nezávislosti měnové politiky byla bodově ohodnocená přibližně na 0,04 % HDP.</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Přijetí společné měny, a tím i fixace výměnného kurzu je pro zemi výhodné v případě, když její hospodářský cyklus co nejvíce odpovídá hospodářskému cyklu zbylé části unie. Současně se předpokládá i konvergence hospodářských cyklů v rámci budoucího vývoje.</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Jelikož se struktura slovenské ekonomiky přibližuje struktuře eurozóny, lze předpokládat postupný růst symetrie a následně i synchronizace Slovenska s centrem měnové unie.</w:t>
      </w:r>
      <w:r>
        <w:rPr>
          <w:rStyle w:val="Znakapoznpodarou"/>
          <w:bCs/>
        </w:rPr>
        <w:footnoteReference w:id="61"/>
      </w:r>
    </w:p>
    <w:p w:rsidR="00712E44" w:rsidRDefault="00712E44" w:rsidP="00C535FC">
      <w:pPr>
        <w:spacing w:line="360" w:lineRule="auto"/>
        <w:jc w:val="both"/>
        <w:rPr>
          <w:bCs/>
        </w:rPr>
      </w:pPr>
    </w:p>
    <w:p w:rsidR="00712E44" w:rsidRPr="00896982" w:rsidRDefault="00712E44" w:rsidP="00C535FC">
      <w:pPr>
        <w:spacing w:line="360" w:lineRule="auto"/>
        <w:jc w:val="both"/>
        <w:rPr>
          <w:b/>
          <w:bCs/>
          <w:sz w:val="28"/>
          <w:szCs w:val="28"/>
        </w:rPr>
      </w:pPr>
      <w:r>
        <w:rPr>
          <w:b/>
          <w:bCs/>
          <w:sz w:val="28"/>
          <w:szCs w:val="28"/>
        </w:rPr>
        <w:lastRenderedPageBreak/>
        <w:t>4.7 Rizika a obavy ze</w:t>
      </w:r>
      <w:r w:rsidRPr="00896982">
        <w:rPr>
          <w:b/>
          <w:bCs/>
          <w:sz w:val="28"/>
          <w:szCs w:val="28"/>
        </w:rPr>
        <w:t xml:space="preserve"> zavedení eura</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Studie NBS </w:t>
      </w:r>
      <w:r>
        <w:rPr>
          <w:bCs/>
          <w:i/>
        </w:rPr>
        <w:t>Vplyv zavedenia eura na slovenské hospodárstvo</w:t>
      </w:r>
      <w:r>
        <w:rPr>
          <w:bCs/>
        </w:rPr>
        <w:t xml:space="preserve"> současně definuje i rizika </w:t>
      </w:r>
      <w:r>
        <w:rPr>
          <w:bCs/>
        </w:rPr>
        <w:br/>
        <w:t xml:space="preserve">a obavy ze zavedení eura, které lze rovněž připočítat k nevýhodám. K těmto rizikům </w:t>
      </w:r>
      <w:r>
        <w:rPr>
          <w:bCs/>
        </w:rPr>
        <w:br/>
        <w:t>a obavám patří:</w:t>
      </w:r>
    </w:p>
    <w:p w:rsidR="00712E44" w:rsidRDefault="00712E44" w:rsidP="00C535FC">
      <w:pPr>
        <w:pStyle w:val="Odstavecseseznamem"/>
        <w:numPr>
          <w:ilvl w:val="0"/>
          <w:numId w:val="13"/>
        </w:numPr>
        <w:spacing w:line="360" w:lineRule="auto"/>
        <w:jc w:val="both"/>
        <w:rPr>
          <w:bCs/>
        </w:rPr>
      </w:pPr>
      <w:r>
        <w:rPr>
          <w:bCs/>
        </w:rPr>
        <w:t>obavy z bezprostředního zvýšení cen při zavedení eura,</w:t>
      </w:r>
    </w:p>
    <w:p w:rsidR="00712E44" w:rsidRDefault="00712E44" w:rsidP="00C535FC">
      <w:pPr>
        <w:pStyle w:val="Odstavecseseznamem"/>
        <w:numPr>
          <w:ilvl w:val="0"/>
          <w:numId w:val="13"/>
        </w:numPr>
        <w:spacing w:line="360" w:lineRule="auto"/>
        <w:jc w:val="both"/>
        <w:rPr>
          <w:bCs/>
        </w:rPr>
      </w:pPr>
      <w:r>
        <w:rPr>
          <w:bCs/>
        </w:rPr>
        <w:t>obavy z dlouhodobého vývoje inflace po vstupu do eurozóny,</w:t>
      </w:r>
    </w:p>
    <w:p w:rsidR="00712E44" w:rsidRDefault="00712E44" w:rsidP="00C535FC">
      <w:pPr>
        <w:pStyle w:val="Odstavecseseznamem"/>
        <w:numPr>
          <w:ilvl w:val="0"/>
          <w:numId w:val="13"/>
        </w:numPr>
        <w:spacing w:line="360" w:lineRule="auto"/>
        <w:jc w:val="both"/>
        <w:rPr>
          <w:bCs/>
        </w:rPr>
      </w:pPr>
      <w:r>
        <w:rPr>
          <w:bCs/>
        </w:rPr>
        <w:t>obavy ze znehodnocení úspor,</w:t>
      </w:r>
    </w:p>
    <w:p w:rsidR="00712E44" w:rsidRDefault="00712E44" w:rsidP="00C535FC">
      <w:pPr>
        <w:pStyle w:val="Odstavecseseznamem"/>
        <w:numPr>
          <w:ilvl w:val="0"/>
          <w:numId w:val="13"/>
        </w:numPr>
        <w:spacing w:line="360" w:lineRule="auto"/>
        <w:jc w:val="both"/>
        <w:rPr>
          <w:bCs/>
        </w:rPr>
      </w:pPr>
      <w:r>
        <w:rPr>
          <w:bCs/>
        </w:rPr>
        <w:t>obavy ze snížení hodnoty důchodů,</w:t>
      </w:r>
    </w:p>
    <w:p w:rsidR="00712E44" w:rsidRDefault="00712E44" w:rsidP="00C535FC">
      <w:pPr>
        <w:pStyle w:val="Odstavecseseznamem"/>
        <w:numPr>
          <w:ilvl w:val="0"/>
          <w:numId w:val="13"/>
        </w:numPr>
        <w:spacing w:line="360" w:lineRule="auto"/>
        <w:jc w:val="both"/>
        <w:rPr>
          <w:bCs/>
        </w:rPr>
      </w:pPr>
      <w:r>
        <w:rPr>
          <w:bCs/>
        </w:rPr>
        <w:t>obavy z překážek pro plnohodnotné využití výhod z existence společné měny,</w:t>
      </w:r>
    </w:p>
    <w:p w:rsidR="00712E44" w:rsidRDefault="00712E44" w:rsidP="00C535FC">
      <w:pPr>
        <w:pStyle w:val="Odstavecseseznamem"/>
        <w:numPr>
          <w:ilvl w:val="0"/>
          <w:numId w:val="13"/>
        </w:numPr>
        <w:spacing w:line="360" w:lineRule="auto"/>
        <w:jc w:val="both"/>
        <w:rPr>
          <w:bCs/>
        </w:rPr>
      </w:pPr>
      <w:r>
        <w:rPr>
          <w:bCs/>
        </w:rPr>
        <w:t>a obavy ze společné měnové politiky při decentralizované fiskální politice.</w:t>
      </w:r>
    </w:p>
    <w:p w:rsidR="00712E44" w:rsidRDefault="00712E44" w:rsidP="00945E92">
      <w:pPr>
        <w:spacing w:line="360" w:lineRule="auto"/>
        <w:jc w:val="both"/>
        <w:rPr>
          <w:bCs/>
        </w:rPr>
      </w:pPr>
    </w:p>
    <w:p w:rsidR="00712E44" w:rsidRPr="00753322" w:rsidRDefault="00712E44" w:rsidP="00945E92">
      <w:pPr>
        <w:spacing w:line="360" w:lineRule="auto"/>
        <w:jc w:val="both"/>
        <w:rPr>
          <w:bCs/>
        </w:rPr>
      </w:pPr>
      <w:r w:rsidRPr="00753322">
        <w:rPr>
          <w:bCs/>
        </w:rPr>
        <w:t xml:space="preserve">V předešlých subkapitolách bylo zjištěno, že obavy z bezprostředního zvýšení cen byly neopodstatněné. Současně ani mírný růstový trend vývoje průměrné inflace neměl vliv </w:t>
      </w:r>
      <w:r w:rsidRPr="00753322">
        <w:rPr>
          <w:bCs/>
        </w:rPr>
        <w:br/>
        <w:t xml:space="preserve">na snižování životní úrovně. </w:t>
      </w:r>
    </w:p>
    <w:p w:rsidR="00712E44" w:rsidRPr="00753322" w:rsidRDefault="00712E44" w:rsidP="00945E92">
      <w:pPr>
        <w:spacing w:line="360" w:lineRule="auto"/>
        <w:jc w:val="both"/>
        <w:rPr>
          <w:bCs/>
        </w:rPr>
      </w:pPr>
    </w:p>
    <w:p w:rsidR="00712E44" w:rsidRPr="00753322" w:rsidRDefault="00712E44" w:rsidP="00945E92">
      <w:pPr>
        <w:spacing w:line="360" w:lineRule="auto"/>
        <w:jc w:val="both"/>
        <w:rPr>
          <w:bCs/>
        </w:rPr>
      </w:pPr>
      <w:r w:rsidRPr="00753322">
        <w:rPr>
          <w:bCs/>
        </w:rPr>
        <w:t xml:space="preserve">Znehodnocení úspor a snížení hodnoty důchodů v době zavedení eura měly za úkol zabránit právní normy týkající se zaokrouhlování při konverzi slovenské koruny na euro.  </w:t>
      </w:r>
    </w:p>
    <w:p w:rsidR="00712E44" w:rsidRPr="00753322" w:rsidRDefault="00712E44" w:rsidP="00945E92">
      <w:pPr>
        <w:spacing w:line="360" w:lineRule="auto"/>
        <w:jc w:val="both"/>
        <w:rPr>
          <w:bCs/>
        </w:rPr>
      </w:pPr>
    </w:p>
    <w:p w:rsidR="00712E44" w:rsidRPr="00753322" w:rsidRDefault="00712E44" w:rsidP="00945E92">
      <w:pPr>
        <w:spacing w:line="360" w:lineRule="auto"/>
        <w:jc w:val="both"/>
        <w:rPr>
          <w:bCs/>
        </w:rPr>
      </w:pPr>
      <w:r w:rsidRPr="00753322">
        <w:rPr>
          <w:bCs/>
        </w:rPr>
        <w:t xml:space="preserve">Obavy z překážek pro plnohodnotné využití výhod z existence společné měny a také obavy </w:t>
      </w:r>
      <w:r w:rsidRPr="00753322">
        <w:rPr>
          <w:bCs/>
        </w:rPr>
        <w:br/>
        <w:t xml:space="preserve">ze společné měnové politiky při decentralizované fiskální politice mohou být opodstatněné. </w:t>
      </w:r>
      <w:r w:rsidRPr="00753322">
        <w:rPr>
          <w:bCs/>
        </w:rPr>
        <w:br/>
        <w:t xml:space="preserve">Je to především z důvodu působení externích vlivů, kterým je v současnosti hospodářská krize a v případě poslední jmenované obavy, fiskální nekázeň. </w:t>
      </w:r>
    </w:p>
    <w:p w:rsidR="00712E44" w:rsidRPr="00753322"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Pr>
          <w:b/>
          <w:bCs/>
          <w:sz w:val="28"/>
          <w:szCs w:val="28"/>
        </w:rPr>
        <w:t>4.8 Kvantifikace výhod a nevýhod zavedení eura na základě studie NBS</w:t>
      </w:r>
    </w:p>
    <w:p w:rsidR="00712E44" w:rsidRPr="00F04F76" w:rsidRDefault="00712E44" w:rsidP="00C535FC">
      <w:pPr>
        <w:spacing w:line="360" w:lineRule="auto"/>
        <w:jc w:val="both"/>
        <w:rPr>
          <w:bCs/>
        </w:rPr>
      </w:pPr>
    </w:p>
    <w:p w:rsidR="00712E44" w:rsidRDefault="00712E44" w:rsidP="00C535FC">
      <w:pPr>
        <w:spacing w:line="360" w:lineRule="auto"/>
        <w:jc w:val="both"/>
        <w:rPr>
          <w:bCs/>
        </w:rPr>
      </w:pPr>
      <w:r>
        <w:rPr>
          <w:bCs/>
        </w:rPr>
        <w:t xml:space="preserve">Výše uvedené výhody a nevýhody zavedení eura na Slovensku vypovídají, že výhody jasně převyšují nevýhody. Souhrn kvantifikovaných výhod a nevýhod se nachází v následující </w:t>
      </w:r>
      <w:r w:rsidRPr="00037623">
        <w:rPr>
          <w:bCs/>
        </w:rPr>
        <w:t>tabulce (Tab. 2).</w:t>
      </w:r>
      <w:r>
        <w:rPr>
          <w:bCs/>
        </w:rPr>
        <w:t xml:space="preserve"> </w:t>
      </w:r>
    </w:p>
    <w:p w:rsidR="00712E44" w:rsidRDefault="00712E44" w:rsidP="00C535FC">
      <w:pPr>
        <w:spacing w:line="360" w:lineRule="auto"/>
        <w:jc w:val="both"/>
        <w:rPr>
          <w:b/>
          <w:bCs/>
        </w:rPr>
      </w:pPr>
      <w:r>
        <w:rPr>
          <w:b/>
          <w:bCs/>
        </w:rPr>
        <w:t xml:space="preserve">         </w:t>
      </w:r>
    </w:p>
    <w:p w:rsidR="00712E44" w:rsidRDefault="00712E44" w:rsidP="00C535FC">
      <w:pPr>
        <w:spacing w:line="360" w:lineRule="auto"/>
        <w:jc w:val="both"/>
        <w:rPr>
          <w:b/>
          <w:bCs/>
        </w:rPr>
      </w:pPr>
      <w:r>
        <w:rPr>
          <w:b/>
          <w:bCs/>
        </w:rPr>
        <w:t xml:space="preserve">        </w:t>
      </w:r>
    </w:p>
    <w:p w:rsidR="00712E44" w:rsidRDefault="00712E44" w:rsidP="00C535FC">
      <w:pPr>
        <w:spacing w:line="360" w:lineRule="auto"/>
        <w:jc w:val="both"/>
        <w:rPr>
          <w:b/>
          <w:bCs/>
        </w:rPr>
      </w:pPr>
    </w:p>
    <w:p w:rsidR="00712E44" w:rsidRPr="00F04F76" w:rsidRDefault="00712E44" w:rsidP="00C535FC">
      <w:pPr>
        <w:spacing w:line="360" w:lineRule="auto"/>
        <w:jc w:val="both"/>
        <w:rPr>
          <w:b/>
          <w:bCs/>
        </w:rPr>
      </w:pPr>
      <w:r>
        <w:rPr>
          <w:b/>
          <w:bCs/>
        </w:rPr>
        <w:lastRenderedPageBreak/>
        <w:t xml:space="preserve">         Tab. 2 Číselný odhad některých přínosů a nákladů zavedení eura v SR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62"/>
        <w:gridCol w:w="2662"/>
        <w:gridCol w:w="2662"/>
      </w:tblGrid>
      <w:tr w:rsidR="00712E44" w:rsidTr="00045547">
        <w:trPr>
          <w:trHeight w:val="179"/>
          <w:jc w:val="center"/>
        </w:trPr>
        <w:tc>
          <w:tcPr>
            <w:tcW w:w="2662" w:type="dxa"/>
            <w:shd w:val="clear" w:color="auto" w:fill="B6DDE8"/>
          </w:tcPr>
          <w:p w:rsidR="00712E44" w:rsidRPr="00045547" w:rsidRDefault="00712E44" w:rsidP="00045547">
            <w:pPr>
              <w:spacing w:line="360" w:lineRule="auto"/>
              <w:jc w:val="both"/>
              <w:rPr>
                <w:b/>
                <w:bCs/>
              </w:rPr>
            </w:pPr>
            <w:r w:rsidRPr="00045547">
              <w:rPr>
                <w:b/>
                <w:bCs/>
                <w:sz w:val="22"/>
                <w:szCs w:val="22"/>
              </w:rPr>
              <w:t xml:space="preserve">Vlivy zavedení eura </w:t>
            </w:r>
          </w:p>
          <w:p w:rsidR="00712E44" w:rsidRPr="00045547" w:rsidRDefault="00712E44" w:rsidP="00045547">
            <w:pPr>
              <w:spacing w:line="360" w:lineRule="auto"/>
              <w:jc w:val="both"/>
              <w:rPr>
                <w:b/>
                <w:bCs/>
              </w:rPr>
            </w:pPr>
            <w:r w:rsidRPr="00045547">
              <w:rPr>
                <w:b/>
                <w:bCs/>
                <w:sz w:val="22"/>
                <w:szCs w:val="22"/>
              </w:rPr>
              <w:t>(% HDP)</w:t>
            </w:r>
          </w:p>
        </w:tc>
        <w:tc>
          <w:tcPr>
            <w:tcW w:w="2662" w:type="dxa"/>
            <w:shd w:val="clear" w:color="auto" w:fill="B6DDE8"/>
            <w:vAlign w:val="center"/>
          </w:tcPr>
          <w:p w:rsidR="00712E44" w:rsidRPr="00045547" w:rsidRDefault="00712E44" w:rsidP="00045547">
            <w:pPr>
              <w:spacing w:line="360" w:lineRule="auto"/>
              <w:jc w:val="center"/>
              <w:rPr>
                <w:b/>
                <w:bCs/>
              </w:rPr>
            </w:pPr>
            <w:r w:rsidRPr="00045547">
              <w:rPr>
                <w:b/>
                <w:bCs/>
                <w:sz w:val="22"/>
                <w:szCs w:val="22"/>
              </w:rPr>
              <w:t>Jednorázové</w:t>
            </w:r>
          </w:p>
        </w:tc>
        <w:tc>
          <w:tcPr>
            <w:tcW w:w="2662" w:type="dxa"/>
            <w:shd w:val="clear" w:color="auto" w:fill="B6DDE8"/>
            <w:vAlign w:val="center"/>
          </w:tcPr>
          <w:p w:rsidR="00712E44" w:rsidRPr="00045547" w:rsidRDefault="00712E44" w:rsidP="00045547">
            <w:pPr>
              <w:spacing w:line="360" w:lineRule="auto"/>
              <w:jc w:val="center"/>
              <w:rPr>
                <w:b/>
                <w:bCs/>
              </w:rPr>
            </w:pPr>
            <w:r w:rsidRPr="00045547">
              <w:rPr>
                <w:b/>
                <w:bCs/>
                <w:sz w:val="22"/>
                <w:szCs w:val="22"/>
              </w:rPr>
              <w:t>Trvalé (ročně)</w:t>
            </w:r>
          </w:p>
        </w:tc>
      </w:tr>
      <w:tr w:rsidR="00712E44" w:rsidTr="00045547">
        <w:trPr>
          <w:trHeight w:val="172"/>
          <w:jc w:val="center"/>
        </w:trPr>
        <w:tc>
          <w:tcPr>
            <w:tcW w:w="7985" w:type="dxa"/>
            <w:gridSpan w:val="3"/>
            <w:shd w:val="clear" w:color="auto" w:fill="4BACC6"/>
          </w:tcPr>
          <w:p w:rsidR="00712E44" w:rsidRPr="00045547" w:rsidRDefault="00712E44" w:rsidP="00045547">
            <w:pPr>
              <w:spacing w:line="360" w:lineRule="auto"/>
              <w:jc w:val="both"/>
              <w:rPr>
                <w:bCs/>
              </w:rPr>
            </w:pPr>
            <w:r w:rsidRPr="00045547">
              <w:rPr>
                <w:b/>
                <w:bCs/>
                <w:sz w:val="22"/>
                <w:szCs w:val="22"/>
              </w:rPr>
              <w:t>Výhody</w:t>
            </w:r>
          </w:p>
        </w:tc>
      </w:tr>
      <w:tr w:rsidR="00712E44" w:rsidTr="00045547">
        <w:trPr>
          <w:trHeight w:val="367"/>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Úspora finančních transakčních nákladů</w:t>
            </w:r>
          </w:p>
        </w:tc>
        <w:tc>
          <w:tcPr>
            <w:tcW w:w="2662" w:type="dxa"/>
            <w:shd w:val="clear" w:color="auto" w:fill="EAF1DD"/>
          </w:tcPr>
          <w:p w:rsidR="00712E44" w:rsidRPr="00045547" w:rsidRDefault="00712E44" w:rsidP="00045547">
            <w:pPr>
              <w:spacing w:line="360" w:lineRule="auto"/>
              <w:jc w:val="both"/>
              <w:rPr>
                <w:bCs/>
              </w:rPr>
            </w:pP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0,3</w:t>
            </w:r>
          </w:p>
        </w:tc>
      </w:tr>
      <w:tr w:rsidR="00712E44" w:rsidTr="00045547">
        <w:trPr>
          <w:trHeight w:val="359"/>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Úspora administrativních nákladů</w:t>
            </w:r>
          </w:p>
        </w:tc>
        <w:tc>
          <w:tcPr>
            <w:tcW w:w="2662" w:type="dxa"/>
            <w:shd w:val="clear" w:color="auto" w:fill="EAF1DD"/>
          </w:tcPr>
          <w:p w:rsidR="00712E44" w:rsidRPr="00045547" w:rsidRDefault="00712E44" w:rsidP="00045547">
            <w:pPr>
              <w:spacing w:line="360" w:lineRule="auto"/>
              <w:jc w:val="both"/>
              <w:rPr>
                <w:bCs/>
              </w:rPr>
            </w:pP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0,06</w:t>
            </w:r>
          </w:p>
        </w:tc>
      </w:tr>
      <w:tr w:rsidR="00712E44" w:rsidTr="00045547">
        <w:trPr>
          <w:trHeight w:val="367"/>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Odstranění kurzového rizika vůči euru</w:t>
            </w:r>
          </w:p>
        </w:tc>
        <w:tc>
          <w:tcPr>
            <w:tcW w:w="2662" w:type="dxa"/>
            <w:shd w:val="clear" w:color="auto" w:fill="EAF1DD"/>
          </w:tcPr>
          <w:p w:rsidR="00712E44" w:rsidRPr="00045547" w:rsidRDefault="00712E44" w:rsidP="00045547">
            <w:pPr>
              <w:spacing w:line="360" w:lineRule="auto"/>
              <w:jc w:val="both"/>
              <w:rPr>
                <w:bCs/>
              </w:rPr>
            </w:pP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0,02 (rozsah 0,01 – 0,08)</w:t>
            </w:r>
          </w:p>
        </w:tc>
      </w:tr>
      <w:tr w:rsidR="00712E44" w:rsidTr="00045547">
        <w:trPr>
          <w:trHeight w:val="539"/>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Úroveň, resp. růst HDP v závislosti na růstu zahraničního obchodu a PZI</w:t>
            </w:r>
          </w:p>
        </w:tc>
        <w:tc>
          <w:tcPr>
            <w:tcW w:w="2662" w:type="dxa"/>
            <w:shd w:val="clear" w:color="auto" w:fill="EAF1DD"/>
          </w:tcPr>
          <w:p w:rsidR="00712E44" w:rsidRPr="00045547" w:rsidRDefault="00712E44" w:rsidP="00045547">
            <w:pPr>
              <w:spacing w:line="360" w:lineRule="auto"/>
              <w:jc w:val="both"/>
              <w:rPr>
                <w:bCs/>
              </w:rPr>
            </w:pP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Úroveň celkem 7 – 20, vyšší růst HDP o 0,4 – 1 % ročně</w:t>
            </w:r>
          </w:p>
        </w:tc>
      </w:tr>
      <w:tr w:rsidR="00712E44" w:rsidTr="00045547">
        <w:trPr>
          <w:trHeight w:val="179"/>
          <w:jc w:val="center"/>
        </w:trPr>
        <w:tc>
          <w:tcPr>
            <w:tcW w:w="7985" w:type="dxa"/>
            <w:gridSpan w:val="3"/>
            <w:shd w:val="clear" w:color="auto" w:fill="4BACC6"/>
          </w:tcPr>
          <w:p w:rsidR="00712E44" w:rsidRPr="00045547" w:rsidRDefault="00712E44" w:rsidP="00045547">
            <w:pPr>
              <w:spacing w:line="360" w:lineRule="auto"/>
              <w:jc w:val="both"/>
              <w:rPr>
                <w:bCs/>
              </w:rPr>
            </w:pPr>
            <w:r w:rsidRPr="00045547">
              <w:rPr>
                <w:b/>
                <w:bCs/>
                <w:sz w:val="22"/>
                <w:szCs w:val="22"/>
              </w:rPr>
              <w:t>Nevýhody</w:t>
            </w:r>
          </w:p>
        </w:tc>
      </w:tr>
      <w:tr w:rsidR="00712E44" w:rsidTr="00045547">
        <w:trPr>
          <w:trHeight w:val="359"/>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Technické a organizační náklady na měnovou konverzi</w:t>
            </w: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0,3</w:t>
            </w:r>
          </w:p>
        </w:tc>
        <w:tc>
          <w:tcPr>
            <w:tcW w:w="2662" w:type="dxa"/>
            <w:shd w:val="clear" w:color="auto" w:fill="EAF1DD"/>
            <w:vAlign w:val="center"/>
          </w:tcPr>
          <w:p w:rsidR="00712E44" w:rsidRPr="00045547" w:rsidRDefault="00712E44" w:rsidP="00045547">
            <w:pPr>
              <w:spacing w:line="360" w:lineRule="auto"/>
              <w:jc w:val="center"/>
              <w:rPr>
                <w:bCs/>
              </w:rPr>
            </w:pPr>
          </w:p>
        </w:tc>
      </w:tr>
      <w:tr w:rsidR="00712E44" w:rsidTr="00045547">
        <w:trPr>
          <w:trHeight w:val="359"/>
          <w:jc w:val="center"/>
        </w:trPr>
        <w:tc>
          <w:tcPr>
            <w:tcW w:w="2662" w:type="dxa"/>
            <w:shd w:val="clear" w:color="auto" w:fill="C6D9F1"/>
          </w:tcPr>
          <w:p w:rsidR="00712E44" w:rsidRPr="00045547" w:rsidRDefault="00712E44" w:rsidP="00045547">
            <w:pPr>
              <w:spacing w:line="360" w:lineRule="auto"/>
              <w:rPr>
                <w:bCs/>
              </w:rPr>
            </w:pPr>
            <w:r w:rsidRPr="00045547">
              <w:rPr>
                <w:bCs/>
                <w:sz w:val="22"/>
                <w:szCs w:val="22"/>
              </w:rPr>
              <w:t>Ztráta nezávislé měnové politiky</w:t>
            </w:r>
          </w:p>
        </w:tc>
        <w:tc>
          <w:tcPr>
            <w:tcW w:w="2662" w:type="dxa"/>
            <w:shd w:val="clear" w:color="auto" w:fill="EAF1DD"/>
          </w:tcPr>
          <w:p w:rsidR="00712E44" w:rsidRPr="00045547" w:rsidRDefault="00712E44" w:rsidP="00045547">
            <w:pPr>
              <w:spacing w:line="360" w:lineRule="auto"/>
              <w:jc w:val="both"/>
              <w:rPr>
                <w:bCs/>
              </w:rPr>
            </w:pPr>
          </w:p>
        </w:tc>
        <w:tc>
          <w:tcPr>
            <w:tcW w:w="2662" w:type="dxa"/>
            <w:shd w:val="clear" w:color="auto" w:fill="EAF1DD"/>
            <w:vAlign w:val="center"/>
          </w:tcPr>
          <w:p w:rsidR="00712E44" w:rsidRPr="00045547" w:rsidRDefault="00712E44" w:rsidP="00045547">
            <w:pPr>
              <w:spacing w:line="360" w:lineRule="auto"/>
              <w:jc w:val="center"/>
              <w:rPr>
                <w:bCs/>
              </w:rPr>
            </w:pPr>
            <w:r w:rsidRPr="00045547">
              <w:rPr>
                <w:bCs/>
                <w:sz w:val="22"/>
                <w:szCs w:val="22"/>
              </w:rPr>
              <w:t>0,04 (rozsah 0,02 - 0,06)</w:t>
            </w:r>
          </w:p>
        </w:tc>
      </w:tr>
    </w:tbl>
    <w:p w:rsidR="00712E44" w:rsidRPr="00E67258" w:rsidRDefault="00712E44" w:rsidP="00C535FC">
      <w:pPr>
        <w:spacing w:line="360" w:lineRule="auto"/>
        <w:rPr>
          <w:i/>
          <w:sz w:val="20"/>
          <w:szCs w:val="20"/>
        </w:rPr>
      </w:pPr>
      <w:r>
        <w:rPr>
          <w:bCs/>
        </w:rPr>
        <w:t xml:space="preserve">         </w:t>
      </w:r>
      <w:r>
        <w:rPr>
          <w:bCs/>
          <w:i/>
          <w:sz w:val="20"/>
          <w:szCs w:val="20"/>
        </w:rPr>
        <w:t>Zdroj:</w:t>
      </w:r>
      <w:r w:rsidRPr="00F04F76">
        <w:rPr>
          <w:i/>
          <w:sz w:val="20"/>
          <w:szCs w:val="20"/>
        </w:rPr>
        <w:t xml:space="preserve"> </w:t>
      </w:r>
      <w:r>
        <w:rPr>
          <w:i/>
          <w:sz w:val="20"/>
          <w:szCs w:val="20"/>
        </w:rPr>
        <w:t>Vplyv zavedenia eura na slovenské hospodárstvo</w:t>
      </w:r>
      <w:r w:rsidRPr="00476B84">
        <w:rPr>
          <w:i/>
          <w:sz w:val="20"/>
          <w:szCs w:val="20"/>
        </w:rPr>
        <w:t>. [online]. [cit. 201</w:t>
      </w:r>
      <w:r>
        <w:rPr>
          <w:i/>
          <w:sz w:val="20"/>
          <w:szCs w:val="20"/>
        </w:rPr>
        <w:t>1</w:t>
      </w:r>
      <w:r w:rsidRPr="00476B84">
        <w:rPr>
          <w:i/>
          <w:sz w:val="20"/>
          <w:szCs w:val="20"/>
        </w:rPr>
        <w:t>-0</w:t>
      </w:r>
      <w:r>
        <w:rPr>
          <w:i/>
          <w:sz w:val="20"/>
          <w:szCs w:val="20"/>
        </w:rPr>
        <w:t>4</w:t>
      </w:r>
      <w:r w:rsidRPr="00476B84">
        <w:rPr>
          <w:i/>
          <w:sz w:val="20"/>
          <w:szCs w:val="20"/>
        </w:rPr>
        <w:t>-1</w:t>
      </w:r>
      <w:r>
        <w:rPr>
          <w:i/>
          <w:sz w:val="20"/>
          <w:szCs w:val="20"/>
        </w:rPr>
        <w:t>6</w:t>
      </w:r>
      <w:r w:rsidRPr="00476B84">
        <w:rPr>
          <w:i/>
          <w:sz w:val="20"/>
          <w:szCs w:val="20"/>
        </w:rPr>
        <w:t>] Dostupné z WWW:</w:t>
      </w:r>
      <w:r w:rsidRPr="00E67258">
        <w:rPr>
          <w:i/>
          <w:sz w:val="20"/>
          <w:szCs w:val="20"/>
        </w:rPr>
        <w:t xml:space="preserve"> </w:t>
      </w:r>
    </w:p>
    <w:p w:rsidR="00712E44" w:rsidRPr="00476B84" w:rsidRDefault="00712E44" w:rsidP="00C535FC">
      <w:pPr>
        <w:spacing w:line="360" w:lineRule="auto"/>
        <w:rPr>
          <w:i/>
          <w:sz w:val="20"/>
          <w:szCs w:val="20"/>
        </w:rPr>
      </w:pPr>
      <w:r w:rsidRPr="00E67258">
        <w:rPr>
          <w:i/>
          <w:sz w:val="20"/>
          <w:szCs w:val="20"/>
        </w:rPr>
        <w:t xml:space="preserve">          &lt;http://www.nbs.sk/_img/Documents/PUBLIK/06_kol1.pdf</w:t>
      </w:r>
      <w:r w:rsidRPr="00476B84">
        <w:rPr>
          <w:i/>
          <w:sz w:val="20"/>
          <w:szCs w:val="20"/>
        </w:rPr>
        <w:t>&gt;</w:t>
      </w:r>
    </w:p>
    <w:p w:rsidR="00712E44" w:rsidRPr="00F04F76" w:rsidRDefault="00712E44" w:rsidP="00C535FC">
      <w:pPr>
        <w:spacing w:line="360" w:lineRule="auto"/>
        <w:jc w:val="both"/>
        <w:rPr>
          <w:bCs/>
          <w:i/>
          <w:sz w:val="20"/>
          <w:szCs w:val="20"/>
        </w:rPr>
      </w:pPr>
    </w:p>
    <w:p w:rsidR="00712E44" w:rsidRPr="00753322" w:rsidRDefault="00712E44" w:rsidP="00C535FC">
      <w:pPr>
        <w:spacing w:line="360" w:lineRule="auto"/>
        <w:jc w:val="both"/>
        <w:rPr>
          <w:bCs/>
        </w:rPr>
      </w:pPr>
      <w:r>
        <w:rPr>
          <w:bCs/>
        </w:rPr>
        <w:t xml:space="preserve">Uvedená kvantifikace byla vypracovaná Národní bankou Slovenska v roce 2006. Její vypovídací schopnost měla význam v případě vstupu Slovenské republiky do eurozóny ke dni 1. ledna 2009. </w:t>
      </w:r>
      <w:r w:rsidRPr="00753322">
        <w:rPr>
          <w:bCs/>
        </w:rPr>
        <w:t xml:space="preserve">Jelikož byl uvedený den vstupu Slovenska do eurozóny dodržen, lze údaje v tabulce považovat za věrohodná.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Důsledky, které s sebou hospodářská krize přinesla slovenské ekonomice, však neumožnily nové měně, aby své výhody mohla projevit v plné míře.  </w:t>
      </w:r>
    </w:p>
    <w:p w:rsidR="00712E44" w:rsidRPr="009A41F2"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DD55D3"/>
    <w:p w:rsidR="00712E44" w:rsidRDefault="00712E44" w:rsidP="00DD55D3"/>
    <w:p w:rsidR="00712E44" w:rsidRDefault="00712E44" w:rsidP="00C535FC">
      <w:pPr>
        <w:spacing w:line="360" w:lineRule="auto"/>
        <w:jc w:val="both"/>
        <w:rPr>
          <w:b/>
          <w:bCs/>
          <w:sz w:val="32"/>
          <w:szCs w:val="32"/>
        </w:rPr>
      </w:pPr>
    </w:p>
    <w:p w:rsidR="00712E44" w:rsidRDefault="00712E44" w:rsidP="00C535FC">
      <w:pPr>
        <w:spacing w:line="360" w:lineRule="auto"/>
        <w:jc w:val="both"/>
        <w:rPr>
          <w:b/>
          <w:bCs/>
          <w:sz w:val="32"/>
          <w:szCs w:val="32"/>
        </w:rPr>
      </w:pPr>
    </w:p>
    <w:p w:rsidR="00712E44" w:rsidRDefault="00712E44" w:rsidP="00C535FC">
      <w:pPr>
        <w:spacing w:line="360" w:lineRule="auto"/>
        <w:jc w:val="both"/>
        <w:rPr>
          <w:bCs/>
        </w:rPr>
      </w:pPr>
      <w:r w:rsidRPr="0098203D">
        <w:rPr>
          <w:b/>
          <w:bCs/>
          <w:sz w:val="32"/>
          <w:szCs w:val="32"/>
        </w:rPr>
        <w:lastRenderedPageBreak/>
        <w:t>5 Postoj obyvatel Slovenska ke vstupu do eurozóny</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Pátá kapitola je věnovaná psychologickým změnám občanů v souvislosti s přechodem </w:t>
      </w:r>
      <w:r>
        <w:rPr>
          <w:bCs/>
        </w:rPr>
        <w:br/>
        <w:t>na novou měnu, ale především rozebírá názory obyvatel Slovenska, které změna národní měny na měnu nadnárodní nejvíce ovlivnila. Lze konstatovat, že vstoupila do jejich životů takřka ze dne na den a stala se jejich součástí.</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Default="00712E44" w:rsidP="00C535FC">
      <w:pPr>
        <w:spacing w:line="360" w:lineRule="auto"/>
        <w:jc w:val="both"/>
        <w:rPr>
          <w:b/>
          <w:bCs/>
          <w:sz w:val="28"/>
          <w:szCs w:val="28"/>
        </w:rPr>
      </w:pPr>
      <w:r>
        <w:rPr>
          <w:b/>
          <w:bCs/>
          <w:sz w:val="28"/>
          <w:szCs w:val="28"/>
        </w:rPr>
        <w:t xml:space="preserve">5.1 </w:t>
      </w:r>
      <w:r w:rsidRPr="00D4246C">
        <w:rPr>
          <w:b/>
          <w:bCs/>
          <w:sz w:val="28"/>
          <w:szCs w:val="28"/>
        </w:rPr>
        <w:t>Euro jako psychologická změna</w:t>
      </w:r>
      <w:r>
        <w:rPr>
          <w:b/>
          <w:bCs/>
          <w:sz w:val="28"/>
          <w:szCs w:val="28"/>
        </w:rPr>
        <w:t xml:space="preserve"> pro slovenské obyvatele</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Zpravidla se ohledně zavedení eura rozebírají přínosy a náklady z hlediska ekonomického. Jedná se především o vliv na hospodářství země nebo na soukromý sektor. V tomto případě </w:t>
      </w:r>
      <w:r>
        <w:rPr>
          <w:bCs/>
        </w:rPr>
        <w:br/>
        <w:t xml:space="preserve">se zapomíná na sektor, který je touto změnou ovlivněn i z pohledu psychologického, </w:t>
      </w:r>
      <w:r>
        <w:rPr>
          <w:bCs/>
        </w:rPr>
        <w:br/>
        <w:t xml:space="preserve">a to na obyvatelstvo. Z hlediska psychologie museli Slováci zvládnout novou zvláštní situaci, kdy bylo nutné si zvyknout na používání nominálně mnohem nižších platebních jednotek, </w:t>
      </w:r>
      <w:r>
        <w:rPr>
          <w:bCs/>
        </w:rPr>
        <w:br/>
        <w:t xml:space="preserve">než byla slovenská koruna. Například pracovník, jehož mzda činila před 1. lednem 2009 </w:t>
      </w:r>
      <w:r>
        <w:rPr>
          <w:bCs/>
        </w:rPr>
        <w:br/>
        <w:t xml:space="preserve">15 000 SKK, v současné době, při nezměněné výši platu, dostane přibližně „pouhých“ </w:t>
      </w:r>
      <w:r>
        <w:rPr>
          <w:bCs/>
        </w:rPr>
        <w:br/>
        <w:t xml:space="preserve">497,91 eur. Stejně tak to vypadá při platbách za zboží a služby, u kterých nominální hodnota poklesla o 30,126 násobek. Proti zneužití ze strany prodávajících stát chránil spotřebitele prostřednictvím duálního zobrazování cen, což mělo za úkol pomoci občanům postupně </w:t>
      </w:r>
      <w:r>
        <w:rPr>
          <w:bCs/>
        </w:rPr>
        <w:br/>
        <w:t>si zvyknout na novou měnu a zorientovat se v nových cenových údajích.</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Jelikož je nejmenším papírovým platidlem pět eur, což je v přepočtu přibližně 150 SKK, v současné době mají pro Slováky větší důležitost eurové mince. </w:t>
      </w:r>
    </w:p>
    <w:p w:rsidR="00712E44" w:rsidRPr="00A6637A" w:rsidRDefault="00712E44" w:rsidP="00C535FC">
      <w:pPr>
        <w:spacing w:line="360" w:lineRule="auto"/>
        <w:jc w:val="both"/>
        <w:rPr>
          <w:bCs/>
        </w:rPr>
      </w:pPr>
    </w:p>
    <w:p w:rsidR="00712E44" w:rsidRPr="00A6637A" w:rsidRDefault="00712E44" w:rsidP="00C535FC">
      <w:pPr>
        <w:spacing w:line="360" w:lineRule="auto"/>
        <w:jc w:val="both"/>
        <w:rPr>
          <w:bCs/>
        </w:rPr>
      </w:pPr>
    </w:p>
    <w:p w:rsidR="00712E44" w:rsidRPr="00B969D9" w:rsidRDefault="00712E44" w:rsidP="00C535FC">
      <w:pPr>
        <w:spacing w:line="360" w:lineRule="auto"/>
        <w:jc w:val="both"/>
        <w:rPr>
          <w:b/>
          <w:bCs/>
          <w:sz w:val="28"/>
          <w:szCs w:val="28"/>
        </w:rPr>
      </w:pPr>
      <w:r>
        <w:rPr>
          <w:b/>
          <w:bCs/>
          <w:sz w:val="28"/>
          <w:szCs w:val="28"/>
        </w:rPr>
        <w:t>5.2 Dotazníkové šetření</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Jako nástroj zjišťování názorů a zkušeností slovenských obyvatel slouží Dotazník k diplomové práci (Příloha 1). Sesbíraná data byla zpracována a sestavena do tabulek, které jsou součástí této kapitoly.</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lastRenderedPageBreak/>
        <w:t>Dotazníkového šetření se zúčastnilo 100 respondentů. Z toho:</w:t>
      </w:r>
    </w:p>
    <w:p w:rsidR="00712E44" w:rsidRPr="003F23A4" w:rsidRDefault="00712E44" w:rsidP="00C535FC">
      <w:pPr>
        <w:pStyle w:val="Odstavecseseznamem"/>
        <w:numPr>
          <w:ilvl w:val="0"/>
          <w:numId w:val="16"/>
        </w:numPr>
        <w:spacing w:line="360" w:lineRule="auto"/>
        <w:jc w:val="both"/>
        <w:rPr>
          <w:bCs/>
        </w:rPr>
      </w:pPr>
      <w:r>
        <w:rPr>
          <w:bCs/>
        </w:rPr>
        <w:t xml:space="preserve">z </w:t>
      </w:r>
      <w:r w:rsidRPr="003F23A4">
        <w:rPr>
          <w:bCs/>
        </w:rPr>
        <w:t> hlediska pohlaví:</w:t>
      </w:r>
    </w:p>
    <w:p w:rsidR="00712E44" w:rsidRDefault="00712E44" w:rsidP="00C535FC">
      <w:pPr>
        <w:pStyle w:val="Odstavecseseznamem"/>
        <w:numPr>
          <w:ilvl w:val="0"/>
          <w:numId w:val="13"/>
        </w:numPr>
        <w:spacing w:line="360" w:lineRule="auto"/>
        <w:jc w:val="both"/>
        <w:rPr>
          <w:bCs/>
        </w:rPr>
      </w:pPr>
      <w:r>
        <w:rPr>
          <w:bCs/>
        </w:rPr>
        <w:t>37 mužů,</w:t>
      </w:r>
    </w:p>
    <w:p w:rsidR="00712E44" w:rsidRDefault="00712E44" w:rsidP="00C535FC">
      <w:pPr>
        <w:pStyle w:val="Odstavecseseznamem"/>
        <w:numPr>
          <w:ilvl w:val="0"/>
          <w:numId w:val="13"/>
        </w:numPr>
        <w:spacing w:line="360" w:lineRule="auto"/>
        <w:jc w:val="both"/>
        <w:rPr>
          <w:bCs/>
        </w:rPr>
      </w:pPr>
      <w:r>
        <w:rPr>
          <w:bCs/>
        </w:rPr>
        <w:t>63 žen.</w:t>
      </w:r>
    </w:p>
    <w:p w:rsidR="00712E44" w:rsidRPr="003F23A4" w:rsidRDefault="00712E44" w:rsidP="00C535FC">
      <w:pPr>
        <w:pStyle w:val="Odstavecseseznamem"/>
        <w:numPr>
          <w:ilvl w:val="0"/>
          <w:numId w:val="16"/>
        </w:numPr>
        <w:spacing w:line="360" w:lineRule="auto"/>
        <w:jc w:val="both"/>
        <w:rPr>
          <w:bCs/>
        </w:rPr>
      </w:pPr>
      <w:r>
        <w:rPr>
          <w:bCs/>
        </w:rPr>
        <w:t>z</w:t>
      </w:r>
      <w:r w:rsidRPr="003F23A4">
        <w:rPr>
          <w:bCs/>
        </w:rPr>
        <w:t> hlediska věku:</w:t>
      </w:r>
    </w:p>
    <w:p w:rsidR="00712E44" w:rsidRDefault="00712E44" w:rsidP="00C535FC">
      <w:pPr>
        <w:pStyle w:val="Odstavecseseznamem"/>
        <w:numPr>
          <w:ilvl w:val="0"/>
          <w:numId w:val="13"/>
        </w:numPr>
        <w:spacing w:line="360" w:lineRule="auto"/>
        <w:jc w:val="both"/>
        <w:rPr>
          <w:bCs/>
        </w:rPr>
      </w:pPr>
      <w:r>
        <w:rPr>
          <w:bCs/>
        </w:rPr>
        <w:t>18 – 30 let – 37 respondentů,</w:t>
      </w:r>
    </w:p>
    <w:p w:rsidR="00712E44" w:rsidRDefault="00712E44" w:rsidP="00C535FC">
      <w:pPr>
        <w:pStyle w:val="Odstavecseseznamem"/>
        <w:numPr>
          <w:ilvl w:val="0"/>
          <w:numId w:val="13"/>
        </w:numPr>
        <w:spacing w:line="360" w:lineRule="auto"/>
        <w:jc w:val="both"/>
        <w:rPr>
          <w:bCs/>
        </w:rPr>
      </w:pPr>
      <w:r>
        <w:rPr>
          <w:bCs/>
        </w:rPr>
        <w:t>31 – 40 let – 24 respondentů,</w:t>
      </w:r>
    </w:p>
    <w:p w:rsidR="00712E44" w:rsidRDefault="00712E44" w:rsidP="00C535FC">
      <w:pPr>
        <w:pStyle w:val="Odstavecseseznamem"/>
        <w:numPr>
          <w:ilvl w:val="0"/>
          <w:numId w:val="13"/>
        </w:numPr>
        <w:spacing w:line="360" w:lineRule="auto"/>
        <w:jc w:val="both"/>
        <w:rPr>
          <w:bCs/>
        </w:rPr>
      </w:pPr>
      <w:r>
        <w:rPr>
          <w:bCs/>
        </w:rPr>
        <w:t>41 – 50 let – 12 respondentů,</w:t>
      </w:r>
    </w:p>
    <w:p w:rsidR="00712E44" w:rsidRDefault="00712E44" w:rsidP="00C535FC">
      <w:pPr>
        <w:pStyle w:val="Odstavecseseznamem"/>
        <w:numPr>
          <w:ilvl w:val="0"/>
          <w:numId w:val="13"/>
        </w:numPr>
        <w:spacing w:line="360" w:lineRule="auto"/>
        <w:jc w:val="both"/>
        <w:rPr>
          <w:bCs/>
        </w:rPr>
      </w:pPr>
      <w:r>
        <w:rPr>
          <w:bCs/>
        </w:rPr>
        <w:t>51 – 60 let – 18 respondentů,</w:t>
      </w:r>
    </w:p>
    <w:p w:rsidR="00712E44" w:rsidRDefault="00712E44" w:rsidP="00C535FC">
      <w:pPr>
        <w:pStyle w:val="Odstavecseseznamem"/>
        <w:numPr>
          <w:ilvl w:val="0"/>
          <w:numId w:val="13"/>
        </w:numPr>
        <w:spacing w:line="360" w:lineRule="auto"/>
        <w:jc w:val="both"/>
        <w:rPr>
          <w:bCs/>
        </w:rPr>
      </w:pPr>
      <w:r>
        <w:rPr>
          <w:bCs/>
        </w:rPr>
        <w:t>61 a více let – 9 respondentů.</w:t>
      </w:r>
    </w:p>
    <w:p w:rsidR="00712E44" w:rsidRPr="003F23A4" w:rsidRDefault="00712E44" w:rsidP="00C535FC">
      <w:pPr>
        <w:pStyle w:val="Odstavecseseznamem"/>
        <w:numPr>
          <w:ilvl w:val="0"/>
          <w:numId w:val="16"/>
        </w:numPr>
        <w:spacing w:line="360" w:lineRule="auto"/>
        <w:jc w:val="both"/>
        <w:rPr>
          <w:bCs/>
        </w:rPr>
      </w:pPr>
      <w:r>
        <w:rPr>
          <w:bCs/>
        </w:rPr>
        <w:t>z</w:t>
      </w:r>
      <w:r w:rsidRPr="003F23A4">
        <w:rPr>
          <w:bCs/>
        </w:rPr>
        <w:t> hlediska zaměstnanosti:</w:t>
      </w:r>
    </w:p>
    <w:p w:rsidR="00712E44" w:rsidRDefault="00712E44" w:rsidP="00C535FC">
      <w:pPr>
        <w:pStyle w:val="Odstavecseseznamem"/>
        <w:numPr>
          <w:ilvl w:val="0"/>
          <w:numId w:val="13"/>
        </w:numPr>
        <w:spacing w:line="360" w:lineRule="auto"/>
        <w:jc w:val="both"/>
        <w:rPr>
          <w:bCs/>
        </w:rPr>
      </w:pPr>
      <w:r>
        <w:rPr>
          <w:bCs/>
        </w:rPr>
        <w:t>4 studenti,</w:t>
      </w:r>
    </w:p>
    <w:p w:rsidR="00712E44" w:rsidRDefault="00712E44" w:rsidP="00C535FC">
      <w:pPr>
        <w:pStyle w:val="Odstavecseseznamem"/>
        <w:numPr>
          <w:ilvl w:val="0"/>
          <w:numId w:val="13"/>
        </w:numPr>
        <w:spacing w:line="360" w:lineRule="auto"/>
        <w:jc w:val="both"/>
        <w:rPr>
          <w:bCs/>
        </w:rPr>
      </w:pPr>
      <w:r>
        <w:rPr>
          <w:bCs/>
        </w:rPr>
        <w:t>72 zaměstnaných,</w:t>
      </w:r>
    </w:p>
    <w:p w:rsidR="00712E44" w:rsidRDefault="00712E44" w:rsidP="00C535FC">
      <w:pPr>
        <w:pStyle w:val="Odstavecseseznamem"/>
        <w:numPr>
          <w:ilvl w:val="0"/>
          <w:numId w:val="13"/>
        </w:numPr>
        <w:spacing w:line="360" w:lineRule="auto"/>
        <w:jc w:val="both"/>
        <w:rPr>
          <w:bCs/>
        </w:rPr>
      </w:pPr>
      <w:r>
        <w:rPr>
          <w:bCs/>
        </w:rPr>
        <w:t>7 nezaměstnaných,</w:t>
      </w:r>
    </w:p>
    <w:p w:rsidR="00712E44" w:rsidRDefault="00712E44" w:rsidP="00C535FC">
      <w:pPr>
        <w:pStyle w:val="Odstavecseseznamem"/>
        <w:numPr>
          <w:ilvl w:val="0"/>
          <w:numId w:val="13"/>
        </w:numPr>
        <w:spacing w:line="360" w:lineRule="auto"/>
        <w:jc w:val="both"/>
        <w:rPr>
          <w:bCs/>
        </w:rPr>
      </w:pPr>
      <w:r>
        <w:rPr>
          <w:bCs/>
        </w:rPr>
        <w:t>5 podnikatelů,</w:t>
      </w:r>
    </w:p>
    <w:p w:rsidR="00712E44" w:rsidRPr="00731698" w:rsidRDefault="00712E44" w:rsidP="00C535FC">
      <w:pPr>
        <w:pStyle w:val="Odstavecseseznamem"/>
        <w:numPr>
          <w:ilvl w:val="0"/>
          <w:numId w:val="13"/>
        </w:numPr>
        <w:spacing w:line="360" w:lineRule="auto"/>
        <w:jc w:val="both"/>
        <w:rPr>
          <w:bCs/>
        </w:rPr>
      </w:pPr>
      <w:r>
        <w:rPr>
          <w:bCs/>
        </w:rPr>
        <w:t>12 důchodců.</w:t>
      </w:r>
    </w:p>
    <w:p w:rsidR="00712E44" w:rsidRPr="00A6637A" w:rsidRDefault="00712E44" w:rsidP="00C535FC">
      <w:pPr>
        <w:spacing w:line="360" w:lineRule="auto"/>
        <w:jc w:val="both"/>
        <w:rPr>
          <w:b/>
          <w:bCs/>
        </w:rPr>
      </w:pPr>
    </w:p>
    <w:p w:rsidR="00712E44" w:rsidRPr="00A6637A" w:rsidRDefault="00712E44" w:rsidP="00C535FC">
      <w:pPr>
        <w:spacing w:line="360" w:lineRule="auto"/>
        <w:jc w:val="both"/>
        <w:rPr>
          <w:b/>
          <w:bCs/>
        </w:rPr>
      </w:pPr>
    </w:p>
    <w:p w:rsidR="00712E44" w:rsidRDefault="00712E44" w:rsidP="00C535FC">
      <w:pPr>
        <w:spacing w:line="360" w:lineRule="auto"/>
        <w:jc w:val="both"/>
        <w:rPr>
          <w:b/>
          <w:bCs/>
          <w:sz w:val="28"/>
          <w:szCs w:val="28"/>
        </w:rPr>
      </w:pPr>
      <w:r>
        <w:rPr>
          <w:b/>
          <w:bCs/>
          <w:sz w:val="28"/>
          <w:szCs w:val="28"/>
        </w:rPr>
        <w:t>5.2.1 Výsledky dotazníkového šetření</w:t>
      </w:r>
    </w:p>
    <w:p w:rsidR="00712E44" w:rsidRDefault="00712E44" w:rsidP="00C535FC">
      <w:pPr>
        <w:spacing w:line="360" w:lineRule="auto"/>
        <w:jc w:val="both"/>
        <w:rPr>
          <w:b/>
          <w:bCs/>
        </w:rPr>
      </w:pPr>
    </w:p>
    <w:p w:rsidR="00712E44" w:rsidRDefault="00712E44" w:rsidP="00C535FC">
      <w:pPr>
        <w:spacing w:line="360" w:lineRule="auto"/>
        <w:jc w:val="both"/>
        <w:rPr>
          <w:b/>
          <w:bCs/>
          <w:color w:val="FF0000"/>
          <w:sz w:val="28"/>
          <w:szCs w:val="28"/>
        </w:rPr>
      </w:pPr>
      <w:r>
        <w:rPr>
          <w:bCs/>
        </w:rPr>
        <w:t xml:space="preserve">Výsledky dotazníkového šetření jsou sestaveny do tabulek dle jednotlivých otázek. Shromažďování dat, v tomto případě vyplňování dotazníků jednotlivými respondenty, trvalo přibližně měsíc a uskutečnilo se během ledna 2010. Mohlo by se zdát, že data již nejsou aktuální, ale není tomu úplně tak, protože hlavním smyslem a významem dotazníku bylo zjistit názory občanů ohledně nové měny po prvním roce jejího používání a také názory </w:t>
      </w:r>
      <w:r>
        <w:rPr>
          <w:bCs/>
        </w:rPr>
        <w:br/>
        <w:t xml:space="preserve">na podstatnou změnu hodnoty jejich každodenního platidla. Dotazník obsahuje 6 otázek, přičemž na otázku č. 2  a č. 3 bylo možné zaškrtnout 1 nebo 2 odpovědi a na ostatní otázky pouze odpověď 1. </w:t>
      </w:r>
    </w:p>
    <w:p w:rsidR="00712E44" w:rsidRDefault="00712E44" w:rsidP="00C535FC"/>
    <w:p w:rsidR="00712E44" w:rsidRDefault="00712E44" w:rsidP="00C535FC">
      <w:pPr>
        <w:spacing w:line="360" w:lineRule="auto"/>
        <w:jc w:val="both"/>
        <w:rPr>
          <w:b/>
          <w:bCs/>
        </w:rPr>
      </w:pPr>
      <w:r w:rsidRPr="002536F2">
        <w:rPr>
          <w:bCs/>
        </w:rPr>
        <w:t xml:space="preserve">Otázka č. 1: </w:t>
      </w:r>
      <w:r>
        <w:rPr>
          <w:b/>
          <w:bCs/>
        </w:rPr>
        <w:t>„Súhlasil(a) ste so zmenou slovenskej meny z koruny na euro?“</w:t>
      </w:r>
    </w:p>
    <w:p w:rsidR="00712E44" w:rsidRDefault="00712E44" w:rsidP="00C535FC">
      <w:pPr>
        <w:pStyle w:val="Odstavecseseznamem"/>
        <w:numPr>
          <w:ilvl w:val="0"/>
          <w:numId w:val="17"/>
        </w:numPr>
        <w:spacing w:line="360" w:lineRule="auto"/>
        <w:jc w:val="both"/>
        <w:rPr>
          <w:b/>
          <w:bCs/>
        </w:rPr>
      </w:pPr>
      <w:r>
        <w:rPr>
          <w:b/>
          <w:bCs/>
        </w:rPr>
        <w:t>áno, súhlasil(a)</w:t>
      </w:r>
    </w:p>
    <w:p w:rsidR="00712E44" w:rsidRDefault="00712E44" w:rsidP="00C535FC">
      <w:pPr>
        <w:pStyle w:val="Odstavecseseznamem"/>
        <w:numPr>
          <w:ilvl w:val="0"/>
          <w:numId w:val="17"/>
        </w:numPr>
        <w:spacing w:line="360" w:lineRule="auto"/>
        <w:jc w:val="both"/>
        <w:rPr>
          <w:b/>
          <w:bCs/>
        </w:rPr>
      </w:pPr>
      <w:r>
        <w:rPr>
          <w:b/>
          <w:bCs/>
        </w:rPr>
        <w:t>nie, nesúhlasil(a)</w:t>
      </w:r>
    </w:p>
    <w:p w:rsidR="00712E44" w:rsidRPr="00073046" w:rsidRDefault="00712E44" w:rsidP="00C535FC">
      <w:pPr>
        <w:pStyle w:val="Odstavecseseznamem"/>
        <w:numPr>
          <w:ilvl w:val="0"/>
          <w:numId w:val="17"/>
        </w:numPr>
        <w:spacing w:line="360" w:lineRule="auto"/>
        <w:jc w:val="both"/>
        <w:rPr>
          <w:b/>
          <w:bCs/>
        </w:rPr>
      </w:pPr>
      <w:r>
        <w:rPr>
          <w:b/>
          <w:bCs/>
        </w:rPr>
        <w:t>bolo mi to jedno</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lastRenderedPageBreak/>
        <w:t xml:space="preserve">Na tuto otázku odpovědělo 65 respondentů kladně, 13 záporně a 22 optaným bylo jedno, jakou měnu budou používat. Podle výsledků průzkumu (Tab. 3) lze konstatovat, že se většina obyvatel přikláněla k nové měně pozitivně. Z hlediska negativních odpovědí překvapivě převažovali zejména názory mladých lidí ve věku 18 – 40 let, kterých bylo celkem 9. Převážná většina důchodců, a to 10 z 12, souhlasila s přijetím nové měny. Pouze 1 důchodce měl negativní názor a 1 se vyjádřil, že je mu jedno, jakou měnu používá. Tato skutečnost vyvrací názory ohledně nepřizpůsobivosti starších občanů novým věcem. V tomto případě </w:t>
      </w:r>
      <w:r>
        <w:rPr>
          <w:bCs/>
        </w:rPr>
        <w:br/>
        <w:t xml:space="preserve">se jedná dokonce o velkou náročnost v souvislosti každodenního používání nové měny, </w:t>
      </w:r>
      <w:r>
        <w:rPr>
          <w:bCs/>
        </w:rPr>
        <w:br/>
        <w:t xml:space="preserve">ale je s největší pravděpodobností zjevné, že jim státní podpůrné prostředky tuto náročnou změnu pomáhaly překonávat. V konečném důsledku je možné tvrdit, že převážná většina dotázaných euro vítala. </w:t>
      </w:r>
    </w:p>
    <w:p w:rsidR="00712E44" w:rsidRDefault="00712E44" w:rsidP="00C535FC">
      <w:pPr>
        <w:spacing w:line="360" w:lineRule="auto"/>
        <w:jc w:val="center"/>
        <w:rPr>
          <w:b/>
          <w:bCs/>
        </w:rPr>
      </w:pPr>
    </w:p>
    <w:p w:rsidR="00712E44" w:rsidRDefault="00712E44" w:rsidP="00C535FC">
      <w:pPr>
        <w:spacing w:line="360" w:lineRule="auto"/>
        <w:jc w:val="center"/>
        <w:rPr>
          <w:b/>
          <w:bCs/>
        </w:rPr>
      </w:pPr>
      <w:r>
        <w:rPr>
          <w:b/>
          <w:bCs/>
        </w:rPr>
        <w:t xml:space="preserve"> Tab. 3 Výsledky týkající se otázky č. 1: „Súhlasil(a) ste so </w:t>
      </w:r>
    </w:p>
    <w:p w:rsidR="00712E44" w:rsidRPr="009A6E22" w:rsidRDefault="00712E44" w:rsidP="00C535FC">
      <w:pPr>
        <w:spacing w:line="360" w:lineRule="auto"/>
        <w:rPr>
          <w:b/>
          <w:bCs/>
        </w:rPr>
      </w:pPr>
      <w:r>
        <w:rPr>
          <w:b/>
          <w:bCs/>
        </w:rPr>
        <w:t xml:space="preserve">                            zmenou slovenskej meny z koruny na euro?“</w:t>
      </w:r>
    </w:p>
    <w:tbl>
      <w:tblPr>
        <w:tblW w:w="0" w:type="auto"/>
        <w:jc w:val="center"/>
        <w:tblInd w:w="-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15"/>
        <w:gridCol w:w="1271"/>
        <w:gridCol w:w="1442"/>
        <w:gridCol w:w="1409"/>
      </w:tblGrid>
      <w:tr w:rsidR="00712E44" w:rsidTr="00045547">
        <w:trPr>
          <w:trHeight w:val="332"/>
          <w:jc w:val="center"/>
        </w:trPr>
        <w:tc>
          <w:tcPr>
            <w:tcW w:w="1615"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4122" w:type="dxa"/>
            <w:gridSpan w:val="3"/>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1</w:t>
            </w:r>
          </w:p>
        </w:tc>
      </w:tr>
      <w:tr w:rsidR="00712E44" w:rsidTr="00045547">
        <w:trPr>
          <w:trHeight w:val="128"/>
          <w:jc w:val="center"/>
        </w:trPr>
        <w:tc>
          <w:tcPr>
            <w:tcW w:w="1615" w:type="dxa"/>
            <w:vMerge/>
            <w:vAlign w:val="center"/>
          </w:tcPr>
          <w:p w:rsidR="00712E44" w:rsidRPr="00045547" w:rsidRDefault="00712E44" w:rsidP="00045547">
            <w:pPr>
              <w:spacing w:line="360" w:lineRule="auto"/>
              <w:jc w:val="center"/>
              <w:rPr>
                <w:bCs/>
                <w:sz w:val="16"/>
                <w:szCs w:val="16"/>
              </w:rPr>
            </w:pPr>
          </w:p>
        </w:tc>
        <w:tc>
          <w:tcPr>
            <w:tcW w:w="127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r w:rsidRPr="00045547">
              <w:rPr>
                <w:b/>
                <w:bCs/>
                <w:i/>
                <w:color w:val="C00000"/>
                <w:sz w:val="16"/>
                <w:szCs w:val="16"/>
              </w:rPr>
              <w:t>ano</w:t>
            </w:r>
          </w:p>
        </w:tc>
        <w:tc>
          <w:tcPr>
            <w:tcW w:w="144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ne</w:t>
            </w:r>
          </w:p>
        </w:tc>
        <w:tc>
          <w:tcPr>
            <w:tcW w:w="140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bylo mi to jedno</w:t>
            </w:r>
          </w:p>
        </w:tc>
      </w:tr>
      <w:tr w:rsidR="00712E44" w:rsidTr="00045547">
        <w:trPr>
          <w:trHeight w:val="332"/>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27</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6</w:t>
            </w:r>
          </w:p>
        </w:tc>
      </w:tr>
      <w:tr w:rsidR="00712E44" w:rsidTr="00045547">
        <w:trPr>
          <w:trHeight w:val="332"/>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38</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9</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16</w:t>
            </w:r>
          </w:p>
        </w:tc>
      </w:tr>
      <w:tr w:rsidR="00712E44" w:rsidTr="00045547">
        <w:trPr>
          <w:trHeight w:val="34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271" w:type="dxa"/>
            <w:vAlign w:val="center"/>
          </w:tcPr>
          <w:p w:rsidR="00712E44" w:rsidRPr="00045547" w:rsidRDefault="00712E44" w:rsidP="00045547">
            <w:pPr>
              <w:spacing w:line="360" w:lineRule="auto"/>
              <w:jc w:val="center"/>
              <w:rPr>
                <w:b/>
                <w:bCs/>
                <w:sz w:val="16"/>
                <w:szCs w:val="16"/>
              </w:rPr>
            </w:pPr>
            <w:r w:rsidRPr="00045547">
              <w:rPr>
                <w:b/>
                <w:bCs/>
                <w:sz w:val="16"/>
                <w:szCs w:val="16"/>
              </w:rPr>
              <w:t>65</w:t>
            </w:r>
          </w:p>
        </w:tc>
        <w:tc>
          <w:tcPr>
            <w:tcW w:w="1442" w:type="dxa"/>
            <w:vAlign w:val="center"/>
          </w:tcPr>
          <w:p w:rsidR="00712E44" w:rsidRPr="00045547" w:rsidRDefault="00712E44" w:rsidP="00045547">
            <w:pPr>
              <w:spacing w:line="360" w:lineRule="auto"/>
              <w:jc w:val="center"/>
              <w:rPr>
                <w:b/>
                <w:bCs/>
                <w:sz w:val="16"/>
                <w:szCs w:val="16"/>
              </w:rPr>
            </w:pPr>
            <w:r w:rsidRPr="00045547">
              <w:rPr>
                <w:b/>
                <w:bCs/>
                <w:sz w:val="16"/>
                <w:szCs w:val="16"/>
              </w:rPr>
              <w:t>13</w:t>
            </w:r>
          </w:p>
        </w:tc>
        <w:tc>
          <w:tcPr>
            <w:tcW w:w="1409" w:type="dxa"/>
            <w:vAlign w:val="center"/>
          </w:tcPr>
          <w:p w:rsidR="00712E44" w:rsidRPr="00045547" w:rsidRDefault="00712E44" w:rsidP="00045547">
            <w:pPr>
              <w:spacing w:line="360" w:lineRule="auto"/>
              <w:jc w:val="center"/>
              <w:rPr>
                <w:b/>
                <w:bCs/>
                <w:sz w:val="16"/>
                <w:szCs w:val="16"/>
              </w:rPr>
            </w:pPr>
            <w:r w:rsidRPr="00045547">
              <w:rPr>
                <w:b/>
                <w:bCs/>
                <w:sz w:val="16"/>
                <w:szCs w:val="16"/>
              </w:rPr>
              <w:t>22</w:t>
            </w:r>
          </w:p>
        </w:tc>
      </w:tr>
      <w:tr w:rsidR="00712E44" w:rsidRPr="00255A8D" w:rsidTr="00045547">
        <w:trPr>
          <w:trHeight w:val="325"/>
          <w:jc w:val="center"/>
        </w:trPr>
        <w:tc>
          <w:tcPr>
            <w:tcW w:w="1615"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4122" w:type="dxa"/>
            <w:gridSpan w:val="3"/>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1</w:t>
            </w:r>
          </w:p>
        </w:tc>
      </w:tr>
      <w:tr w:rsidR="00712E44" w:rsidRPr="00F730F2" w:rsidTr="00045547">
        <w:trPr>
          <w:trHeight w:val="127"/>
          <w:jc w:val="center"/>
        </w:trPr>
        <w:tc>
          <w:tcPr>
            <w:tcW w:w="1615" w:type="dxa"/>
            <w:vMerge/>
          </w:tcPr>
          <w:p w:rsidR="00712E44" w:rsidRPr="00045547" w:rsidRDefault="00712E44" w:rsidP="00045547">
            <w:pPr>
              <w:spacing w:line="360" w:lineRule="auto"/>
              <w:jc w:val="center"/>
              <w:rPr>
                <w:bCs/>
                <w:sz w:val="16"/>
                <w:szCs w:val="16"/>
              </w:rPr>
            </w:pPr>
          </w:p>
        </w:tc>
        <w:tc>
          <w:tcPr>
            <w:tcW w:w="127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p>
        </w:tc>
        <w:tc>
          <w:tcPr>
            <w:tcW w:w="144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p>
        </w:tc>
        <w:tc>
          <w:tcPr>
            <w:tcW w:w="140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p>
        </w:tc>
      </w:tr>
      <w:tr w:rsidR="00712E44" w:rsidRPr="00255A8D" w:rsidTr="00045547">
        <w:trPr>
          <w:trHeight w:val="32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21</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6</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10</w:t>
            </w:r>
          </w:p>
        </w:tc>
      </w:tr>
      <w:tr w:rsidR="00712E44" w:rsidRPr="00255A8D" w:rsidTr="00045547">
        <w:trPr>
          <w:trHeight w:val="32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16</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r>
      <w:tr w:rsidR="00712E44" w:rsidRPr="00255A8D" w:rsidTr="00045547">
        <w:trPr>
          <w:trHeight w:val="32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255A8D" w:rsidTr="00045547">
        <w:trPr>
          <w:trHeight w:val="32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13</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255A8D" w:rsidTr="00045547">
        <w:trPr>
          <w:trHeight w:val="325"/>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338"/>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271" w:type="dxa"/>
            <w:vAlign w:val="center"/>
          </w:tcPr>
          <w:p w:rsidR="00712E44" w:rsidRPr="00045547" w:rsidRDefault="00712E44" w:rsidP="00045547">
            <w:pPr>
              <w:spacing w:line="360" w:lineRule="auto"/>
              <w:jc w:val="center"/>
              <w:rPr>
                <w:b/>
                <w:bCs/>
                <w:sz w:val="16"/>
                <w:szCs w:val="16"/>
              </w:rPr>
            </w:pPr>
            <w:r w:rsidRPr="00045547">
              <w:rPr>
                <w:b/>
                <w:bCs/>
                <w:sz w:val="16"/>
                <w:szCs w:val="16"/>
              </w:rPr>
              <w:t>65</w:t>
            </w:r>
          </w:p>
        </w:tc>
        <w:tc>
          <w:tcPr>
            <w:tcW w:w="1442" w:type="dxa"/>
            <w:vAlign w:val="center"/>
          </w:tcPr>
          <w:p w:rsidR="00712E44" w:rsidRPr="00045547" w:rsidRDefault="00712E44" w:rsidP="00045547">
            <w:pPr>
              <w:spacing w:line="360" w:lineRule="auto"/>
              <w:jc w:val="center"/>
              <w:rPr>
                <w:b/>
                <w:bCs/>
                <w:sz w:val="16"/>
                <w:szCs w:val="16"/>
              </w:rPr>
            </w:pPr>
            <w:r w:rsidRPr="00045547">
              <w:rPr>
                <w:b/>
                <w:bCs/>
                <w:sz w:val="16"/>
                <w:szCs w:val="16"/>
              </w:rPr>
              <w:t>13</w:t>
            </w:r>
          </w:p>
        </w:tc>
        <w:tc>
          <w:tcPr>
            <w:tcW w:w="1409" w:type="dxa"/>
            <w:vAlign w:val="center"/>
          </w:tcPr>
          <w:p w:rsidR="00712E44" w:rsidRPr="00045547" w:rsidRDefault="00712E44" w:rsidP="00045547">
            <w:pPr>
              <w:spacing w:line="360" w:lineRule="auto"/>
              <w:jc w:val="center"/>
              <w:rPr>
                <w:b/>
                <w:bCs/>
                <w:sz w:val="16"/>
                <w:szCs w:val="16"/>
              </w:rPr>
            </w:pPr>
            <w:r w:rsidRPr="00045547">
              <w:rPr>
                <w:b/>
                <w:bCs/>
                <w:sz w:val="16"/>
                <w:szCs w:val="16"/>
              </w:rPr>
              <w:t>22</w:t>
            </w:r>
          </w:p>
        </w:tc>
      </w:tr>
      <w:tr w:rsidR="00712E44" w:rsidRPr="00B06019" w:rsidTr="00045547">
        <w:trPr>
          <w:trHeight w:val="343"/>
          <w:jc w:val="center"/>
        </w:trPr>
        <w:tc>
          <w:tcPr>
            <w:tcW w:w="1615"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4122" w:type="dxa"/>
            <w:gridSpan w:val="3"/>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1</w:t>
            </w:r>
          </w:p>
        </w:tc>
      </w:tr>
      <w:tr w:rsidR="00712E44" w:rsidRPr="00F730F2" w:rsidTr="00045547">
        <w:trPr>
          <w:trHeight w:val="132"/>
          <w:jc w:val="center"/>
        </w:trPr>
        <w:tc>
          <w:tcPr>
            <w:tcW w:w="1615" w:type="dxa"/>
            <w:vMerge/>
            <w:vAlign w:val="center"/>
          </w:tcPr>
          <w:p w:rsidR="00712E44" w:rsidRPr="00045547" w:rsidRDefault="00712E44" w:rsidP="00045547">
            <w:pPr>
              <w:spacing w:line="360" w:lineRule="auto"/>
              <w:jc w:val="center"/>
              <w:rPr>
                <w:bCs/>
                <w:color w:val="00B050"/>
                <w:sz w:val="16"/>
                <w:szCs w:val="16"/>
              </w:rPr>
            </w:pPr>
          </w:p>
        </w:tc>
        <w:tc>
          <w:tcPr>
            <w:tcW w:w="127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p>
        </w:tc>
        <w:tc>
          <w:tcPr>
            <w:tcW w:w="144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p>
        </w:tc>
        <w:tc>
          <w:tcPr>
            <w:tcW w:w="140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46</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11</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17</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1271" w:type="dxa"/>
            <w:vAlign w:val="center"/>
          </w:tcPr>
          <w:p w:rsidR="00712E44" w:rsidRPr="00045547" w:rsidRDefault="00712E44" w:rsidP="00045547">
            <w:pPr>
              <w:spacing w:line="360" w:lineRule="auto"/>
              <w:jc w:val="center"/>
              <w:rPr>
                <w:bCs/>
                <w:sz w:val="16"/>
                <w:szCs w:val="16"/>
              </w:rPr>
            </w:pPr>
            <w:r w:rsidRPr="00045547">
              <w:rPr>
                <w:bCs/>
                <w:sz w:val="16"/>
                <w:szCs w:val="16"/>
              </w:rPr>
              <w:t>10</w:t>
            </w:r>
          </w:p>
        </w:tc>
        <w:tc>
          <w:tcPr>
            <w:tcW w:w="14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09"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343"/>
          <w:jc w:val="center"/>
        </w:trPr>
        <w:tc>
          <w:tcPr>
            <w:tcW w:w="1615"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271" w:type="dxa"/>
            <w:vAlign w:val="center"/>
          </w:tcPr>
          <w:p w:rsidR="00712E44" w:rsidRPr="00045547" w:rsidRDefault="00712E44" w:rsidP="00045547">
            <w:pPr>
              <w:spacing w:line="360" w:lineRule="auto"/>
              <w:jc w:val="center"/>
              <w:rPr>
                <w:b/>
                <w:bCs/>
                <w:sz w:val="16"/>
                <w:szCs w:val="16"/>
              </w:rPr>
            </w:pPr>
            <w:r w:rsidRPr="00045547">
              <w:rPr>
                <w:b/>
                <w:bCs/>
                <w:sz w:val="16"/>
                <w:szCs w:val="16"/>
              </w:rPr>
              <w:t>65</w:t>
            </w:r>
          </w:p>
        </w:tc>
        <w:tc>
          <w:tcPr>
            <w:tcW w:w="1442" w:type="dxa"/>
            <w:vAlign w:val="center"/>
          </w:tcPr>
          <w:p w:rsidR="00712E44" w:rsidRPr="00045547" w:rsidRDefault="00712E44" w:rsidP="00045547">
            <w:pPr>
              <w:spacing w:line="360" w:lineRule="auto"/>
              <w:jc w:val="center"/>
              <w:rPr>
                <w:b/>
                <w:bCs/>
                <w:sz w:val="16"/>
                <w:szCs w:val="16"/>
              </w:rPr>
            </w:pPr>
            <w:r w:rsidRPr="00045547">
              <w:rPr>
                <w:b/>
                <w:bCs/>
                <w:sz w:val="16"/>
                <w:szCs w:val="16"/>
              </w:rPr>
              <w:t>13</w:t>
            </w:r>
          </w:p>
        </w:tc>
        <w:tc>
          <w:tcPr>
            <w:tcW w:w="1409" w:type="dxa"/>
            <w:vAlign w:val="center"/>
          </w:tcPr>
          <w:p w:rsidR="00712E44" w:rsidRPr="00045547" w:rsidRDefault="00712E44" w:rsidP="00045547">
            <w:pPr>
              <w:spacing w:line="360" w:lineRule="auto"/>
              <w:jc w:val="center"/>
              <w:rPr>
                <w:b/>
                <w:bCs/>
                <w:sz w:val="16"/>
                <w:szCs w:val="16"/>
              </w:rPr>
            </w:pPr>
            <w:r w:rsidRPr="00045547">
              <w:rPr>
                <w:b/>
                <w:bCs/>
                <w:sz w:val="16"/>
                <w:szCs w:val="16"/>
              </w:rPr>
              <w:t>22</w:t>
            </w:r>
          </w:p>
        </w:tc>
      </w:tr>
    </w:tbl>
    <w:p w:rsidR="00712E44" w:rsidRDefault="00712E44" w:rsidP="00C535FC">
      <w:pPr>
        <w:spacing w:line="360" w:lineRule="auto"/>
        <w:jc w:val="both"/>
        <w:rPr>
          <w:bCs/>
          <w:i/>
          <w:sz w:val="20"/>
          <w:szCs w:val="20"/>
        </w:rPr>
      </w:pPr>
      <w:r>
        <w:rPr>
          <w:bCs/>
          <w:color w:val="00B050"/>
        </w:rPr>
        <w:t xml:space="preserve">                            </w:t>
      </w:r>
      <w:r>
        <w:rPr>
          <w:bCs/>
          <w:i/>
          <w:sz w:val="20"/>
          <w:szCs w:val="20"/>
        </w:rPr>
        <w:t>Zdroj: vlastní zpracování</w:t>
      </w:r>
    </w:p>
    <w:p w:rsidR="00712E44" w:rsidRDefault="00712E44" w:rsidP="00C535FC"/>
    <w:p w:rsidR="00712E44" w:rsidRPr="00BA759D" w:rsidRDefault="00712E44" w:rsidP="00C535FC">
      <w:pPr>
        <w:spacing w:line="360" w:lineRule="auto"/>
        <w:jc w:val="both"/>
        <w:rPr>
          <w:bCs/>
        </w:rPr>
      </w:pPr>
      <w:r w:rsidRPr="002536F2">
        <w:rPr>
          <w:bCs/>
        </w:rPr>
        <w:lastRenderedPageBreak/>
        <w:t xml:space="preserve">Otázka č. </w:t>
      </w:r>
      <w:r>
        <w:rPr>
          <w:bCs/>
        </w:rPr>
        <w:t>2</w:t>
      </w:r>
      <w:r w:rsidRPr="002536F2">
        <w:rPr>
          <w:bCs/>
        </w:rPr>
        <w:t xml:space="preserve">: </w:t>
      </w:r>
      <w:r>
        <w:rPr>
          <w:b/>
          <w:bCs/>
        </w:rPr>
        <w:t xml:space="preserve">„Priniesla táto změna obyvateľstvu, podľa Vášho názora, niektoré z uvedených negatívnych skutočností?“ </w:t>
      </w:r>
      <w:r>
        <w:rPr>
          <w:bCs/>
        </w:rPr>
        <w:t xml:space="preserve">(pri tejto otázke je možné zaškrtnúť 1 alebo </w:t>
      </w:r>
      <w:r>
        <w:rPr>
          <w:bCs/>
        </w:rPr>
        <w:br/>
        <w:t>2 odpovede)</w:t>
      </w:r>
    </w:p>
    <w:p w:rsidR="00712E44" w:rsidRDefault="00712E44" w:rsidP="00C535FC">
      <w:pPr>
        <w:pStyle w:val="Odstavecseseznamem"/>
        <w:numPr>
          <w:ilvl w:val="0"/>
          <w:numId w:val="18"/>
        </w:numPr>
        <w:spacing w:line="360" w:lineRule="auto"/>
        <w:jc w:val="both"/>
        <w:rPr>
          <w:b/>
          <w:bCs/>
        </w:rPr>
      </w:pPr>
      <w:r>
        <w:rPr>
          <w:b/>
          <w:bCs/>
        </w:rPr>
        <w:t>zníženie životnej úrovne</w:t>
      </w:r>
    </w:p>
    <w:p w:rsidR="00712E44" w:rsidRDefault="00712E44" w:rsidP="00C535FC">
      <w:pPr>
        <w:pStyle w:val="Odstavecseseznamem"/>
        <w:numPr>
          <w:ilvl w:val="0"/>
          <w:numId w:val="18"/>
        </w:numPr>
        <w:spacing w:line="360" w:lineRule="auto"/>
        <w:jc w:val="both"/>
        <w:rPr>
          <w:b/>
          <w:bCs/>
        </w:rPr>
      </w:pPr>
      <w:r>
        <w:rPr>
          <w:b/>
          <w:bCs/>
        </w:rPr>
        <w:t>zvýšenie cien</w:t>
      </w:r>
    </w:p>
    <w:p w:rsidR="00712E44" w:rsidRDefault="00712E44" w:rsidP="00C535FC">
      <w:pPr>
        <w:pStyle w:val="Odstavecseseznamem"/>
        <w:numPr>
          <w:ilvl w:val="0"/>
          <w:numId w:val="18"/>
        </w:numPr>
        <w:spacing w:line="360" w:lineRule="auto"/>
        <w:jc w:val="both"/>
        <w:rPr>
          <w:b/>
          <w:bCs/>
        </w:rPr>
      </w:pPr>
      <w:r>
        <w:rPr>
          <w:b/>
          <w:bCs/>
        </w:rPr>
        <w:t>zvýšenie nezamestnanosti</w:t>
      </w:r>
    </w:p>
    <w:p w:rsidR="00712E44" w:rsidRDefault="00712E44" w:rsidP="00C535FC">
      <w:pPr>
        <w:pStyle w:val="Odstavecseseznamem"/>
        <w:numPr>
          <w:ilvl w:val="0"/>
          <w:numId w:val="18"/>
        </w:numPr>
        <w:spacing w:line="360" w:lineRule="auto"/>
        <w:jc w:val="both"/>
        <w:rPr>
          <w:b/>
          <w:bCs/>
        </w:rPr>
      </w:pPr>
      <w:r>
        <w:rPr>
          <w:b/>
          <w:bCs/>
        </w:rPr>
        <w:t>zvýšenie úrokových mier, a tým aj zvýšenie zadĺženosti obyvateľstva</w:t>
      </w:r>
    </w:p>
    <w:p w:rsidR="00712E44" w:rsidRDefault="00712E44" w:rsidP="00C535FC">
      <w:pPr>
        <w:pStyle w:val="Odstavecseseznamem"/>
        <w:numPr>
          <w:ilvl w:val="0"/>
          <w:numId w:val="18"/>
        </w:numPr>
        <w:spacing w:line="360" w:lineRule="auto"/>
        <w:jc w:val="both"/>
        <w:rPr>
          <w:b/>
          <w:bCs/>
        </w:rPr>
      </w:pPr>
      <w:r>
        <w:rPr>
          <w:b/>
          <w:bCs/>
        </w:rPr>
        <w:t>žiadne z uvedených negatív som nezaznamenal(a)</w:t>
      </w:r>
    </w:p>
    <w:p w:rsidR="00712E44" w:rsidRPr="008239C4" w:rsidRDefault="00712E44" w:rsidP="00C535FC">
      <w:pPr>
        <w:spacing w:line="360" w:lineRule="auto"/>
        <w:ind w:left="705"/>
        <w:jc w:val="both"/>
        <w:rPr>
          <w:b/>
          <w:bCs/>
        </w:rPr>
      </w:pPr>
    </w:p>
    <w:p w:rsidR="00712E44" w:rsidRDefault="00712E44" w:rsidP="00C535FC">
      <w:pPr>
        <w:spacing w:line="360" w:lineRule="auto"/>
        <w:jc w:val="both"/>
        <w:rPr>
          <w:bCs/>
        </w:rPr>
      </w:pPr>
      <w:r>
        <w:rPr>
          <w:bCs/>
        </w:rPr>
        <w:t xml:space="preserve">Na otázku č. 2 měli respondenti možnost zaškrtnout jednu nebo dvě odpovědi, proto jsou výsledky (Tab. 4) početnější a nedávají konečné součty 100 odpovědí.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Zajímavým zjištěním bylo, že 60 % dotázaných má pocit, že nová měna s sebou přinesla </w:t>
      </w:r>
      <w:r>
        <w:rPr>
          <w:bCs/>
        </w:rPr>
        <w:br/>
        <w:t xml:space="preserve">i zvýšení cen. Státní orgány si daly záležet, aby k těmto negativním vlivům nedocházelo. Prostřednictvím kontrolních úřadů se vykonával přísný dohled z hlediska dodržování stanovených pravidel při přechodu na euro. K tomuto dodržování měla pomoci i základní funkce euromincí, která spočívá právě v tom, aby obchodníci a prodejci měli možnost </w:t>
      </w:r>
      <w:r>
        <w:rPr>
          <w:bCs/>
        </w:rPr>
        <w:br/>
        <w:t xml:space="preserve">co nejlépe zaokrouhlovat při přepočtu z původní měny na měnu novou. Z hlediska inflace zjištěné Statistickým úřadem Slovenské republiky nelze konstatovat, že by docházelo </w:t>
      </w:r>
      <w:r>
        <w:rPr>
          <w:bCs/>
        </w:rPr>
        <w:br/>
        <w:t xml:space="preserve">k výraznému zdražování, které by souviselo s přechodem na euro. Průměrná meziroční inflace za rok 2009 dosáhla historického minima 1,6 %. Zvyšování cen zboží a služeb je věnovaná </w:t>
      </w:r>
      <w:r>
        <w:rPr>
          <w:bCs/>
        </w:rPr>
        <w:br/>
        <w:t>i otázka č. 5 tohoto dotazníku.</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Pocit, že se snížila životní úroveň má 11 % dotázaných. Zajímavé zjištění bylo ohledně odpovědi na růst nezaměstnanosti. Názor, že došlo ke zvýšení nezaměstnanosti, mělo </w:t>
      </w:r>
      <w:r>
        <w:rPr>
          <w:bCs/>
        </w:rPr>
        <w:br/>
        <w:t xml:space="preserve">6 zaměstnaných a 3 důchodci, ale ani jeden z nezaměstnaných respondentů se k této možnosti nepřiklonil.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Ke zvýšení úrokových měr a zadluženosti obyvatelstva se přiklonilo 11 dotázaných, z toho </w:t>
      </w:r>
      <w:r>
        <w:rPr>
          <w:bCs/>
        </w:rPr>
        <w:br/>
        <w:t xml:space="preserve">10 zaměstnaných a 1 důchodce.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Třetina respondentů konstatovala, že žádné z uvedených negativ nezaznamenala.</w:t>
      </w:r>
    </w:p>
    <w:p w:rsidR="00712E44" w:rsidRDefault="00712E44" w:rsidP="00C535FC">
      <w:pPr>
        <w:spacing w:line="360" w:lineRule="auto"/>
        <w:jc w:val="both"/>
        <w:rPr>
          <w:bCs/>
        </w:rPr>
      </w:pPr>
    </w:p>
    <w:p w:rsidR="00712E44" w:rsidRDefault="00712E44" w:rsidP="00C535FC">
      <w:pPr>
        <w:spacing w:line="360" w:lineRule="auto"/>
        <w:jc w:val="both"/>
        <w:rPr>
          <w:bCs/>
        </w:rPr>
      </w:pPr>
    </w:p>
    <w:p w:rsidR="00712E44" w:rsidRPr="009A6E22" w:rsidRDefault="00712E44" w:rsidP="00C535FC">
      <w:pPr>
        <w:spacing w:line="360" w:lineRule="auto"/>
        <w:rPr>
          <w:b/>
          <w:bCs/>
        </w:rPr>
      </w:pPr>
      <w:r>
        <w:rPr>
          <w:b/>
          <w:bCs/>
        </w:rPr>
        <w:lastRenderedPageBreak/>
        <w:t xml:space="preserve">                       Tab. 4 Výsledky týkající se otázky č. 2: „Priniesla táto změna </w:t>
      </w:r>
      <w:r>
        <w:rPr>
          <w:b/>
          <w:bCs/>
        </w:rPr>
        <w:br/>
        <w:t xml:space="preserve">                       obyvateľstvu,  podľa  Vášho  názora,  niektoré  z  uvedených </w:t>
      </w:r>
      <w:r>
        <w:rPr>
          <w:b/>
          <w:bCs/>
        </w:rPr>
        <w:br/>
        <w:t xml:space="preserve">                       negatívnych  skutočností?“</w:t>
      </w:r>
    </w:p>
    <w:tbl>
      <w:tblPr>
        <w:tblW w:w="0" w:type="auto"/>
        <w:jc w:val="center"/>
        <w:tblInd w:w="2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12"/>
        <w:gridCol w:w="742"/>
        <w:gridCol w:w="6"/>
        <w:gridCol w:w="800"/>
        <w:gridCol w:w="13"/>
        <w:gridCol w:w="1297"/>
        <w:gridCol w:w="1026"/>
        <w:gridCol w:w="1159"/>
      </w:tblGrid>
      <w:tr w:rsidR="00712E44" w:rsidTr="00045547">
        <w:trPr>
          <w:trHeight w:val="350"/>
          <w:jc w:val="center"/>
        </w:trPr>
        <w:tc>
          <w:tcPr>
            <w:tcW w:w="89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4064" w:type="dxa"/>
            <w:gridSpan w:val="7"/>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2</w:t>
            </w:r>
          </w:p>
        </w:tc>
      </w:tr>
      <w:tr w:rsidR="00712E44" w:rsidTr="00045547">
        <w:trPr>
          <w:trHeight w:val="135"/>
          <w:jc w:val="center"/>
        </w:trPr>
        <w:tc>
          <w:tcPr>
            <w:tcW w:w="898" w:type="dxa"/>
            <w:vMerge/>
            <w:vAlign w:val="center"/>
          </w:tcPr>
          <w:p w:rsidR="00712E44" w:rsidRPr="00045547" w:rsidRDefault="00712E44" w:rsidP="00045547">
            <w:pPr>
              <w:spacing w:line="360" w:lineRule="auto"/>
              <w:jc w:val="center"/>
              <w:rPr>
                <w:bCs/>
                <w:sz w:val="16"/>
                <w:szCs w:val="16"/>
              </w:rPr>
            </w:pPr>
          </w:p>
        </w:tc>
        <w:tc>
          <w:tcPr>
            <w:tcW w:w="74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r w:rsidRPr="00045547">
              <w:rPr>
                <w:b/>
                <w:bCs/>
                <w:i/>
                <w:color w:val="C00000"/>
                <w:sz w:val="16"/>
                <w:szCs w:val="16"/>
              </w:rPr>
              <w:t>snížení životní úrovně</w:t>
            </w:r>
          </w:p>
        </w:tc>
        <w:tc>
          <w:tcPr>
            <w:tcW w:w="806"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zvýšení cen</w:t>
            </w:r>
          </w:p>
        </w:tc>
        <w:tc>
          <w:tcPr>
            <w:tcW w:w="940"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zvýšení nezaměstnanosti</w:t>
            </w:r>
          </w:p>
        </w:tc>
        <w:tc>
          <w:tcPr>
            <w:tcW w:w="745"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d) </w:t>
            </w:r>
            <w:r w:rsidRPr="00045547">
              <w:rPr>
                <w:b/>
                <w:bCs/>
                <w:i/>
                <w:color w:val="C00000"/>
                <w:sz w:val="16"/>
                <w:szCs w:val="16"/>
              </w:rPr>
              <w:t>zvýšení úrokových měr a zadluženosti</w:t>
            </w:r>
          </w:p>
        </w:tc>
        <w:tc>
          <w:tcPr>
            <w:tcW w:w="832"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e) </w:t>
            </w:r>
            <w:r w:rsidRPr="00045547">
              <w:rPr>
                <w:b/>
                <w:bCs/>
                <w:i/>
                <w:color w:val="C00000"/>
                <w:sz w:val="16"/>
                <w:szCs w:val="16"/>
              </w:rPr>
              <w:t>žádné z negativ jsem nezaznamenal</w:t>
            </w:r>
          </w:p>
        </w:tc>
      </w:tr>
      <w:tr w:rsidR="00712E44" w:rsidTr="00045547">
        <w:trPr>
          <w:trHeight w:val="350"/>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20</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745" w:type="dxa"/>
          </w:tcPr>
          <w:p w:rsidR="00712E44" w:rsidRPr="00045547" w:rsidRDefault="00712E44" w:rsidP="00045547">
            <w:pPr>
              <w:spacing w:line="360" w:lineRule="auto"/>
              <w:jc w:val="center"/>
              <w:rPr>
                <w:bCs/>
                <w:sz w:val="16"/>
                <w:szCs w:val="16"/>
              </w:rPr>
            </w:pPr>
            <w:r w:rsidRPr="00045547">
              <w:rPr>
                <w:bCs/>
                <w:sz w:val="16"/>
                <w:szCs w:val="16"/>
              </w:rPr>
              <w:t>3</w:t>
            </w:r>
          </w:p>
        </w:tc>
        <w:tc>
          <w:tcPr>
            <w:tcW w:w="832" w:type="dxa"/>
          </w:tcPr>
          <w:p w:rsidR="00712E44" w:rsidRPr="00045547" w:rsidRDefault="00712E44" w:rsidP="00045547">
            <w:pPr>
              <w:spacing w:line="360" w:lineRule="auto"/>
              <w:jc w:val="center"/>
              <w:rPr>
                <w:bCs/>
                <w:sz w:val="16"/>
                <w:szCs w:val="16"/>
              </w:rPr>
            </w:pPr>
            <w:r w:rsidRPr="00045547">
              <w:rPr>
                <w:bCs/>
                <w:sz w:val="16"/>
                <w:szCs w:val="16"/>
              </w:rPr>
              <w:t>14</w:t>
            </w:r>
          </w:p>
        </w:tc>
      </w:tr>
      <w:tr w:rsidR="00712E44" w:rsidTr="00045547">
        <w:trPr>
          <w:trHeight w:val="350"/>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40</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745" w:type="dxa"/>
          </w:tcPr>
          <w:p w:rsidR="00712E44" w:rsidRPr="00045547" w:rsidRDefault="00712E44" w:rsidP="00045547">
            <w:pPr>
              <w:spacing w:line="360" w:lineRule="auto"/>
              <w:jc w:val="center"/>
              <w:rPr>
                <w:bCs/>
                <w:sz w:val="16"/>
                <w:szCs w:val="16"/>
              </w:rPr>
            </w:pPr>
            <w:r w:rsidRPr="00045547">
              <w:rPr>
                <w:bCs/>
                <w:sz w:val="16"/>
                <w:szCs w:val="16"/>
              </w:rPr>
              <w:t>8</w:t>
            </w:r>
          </w:p>
        </w:tc>
        <w:tc>
          <w:tcPr>
            <w:tcW w:w="832" w:type="dxa"/>
          </w:tcPr>
          <w:p w:rsidR="00712E44" w:rsidRPr="00045547" w:rsidRDefault="00712E44" w:rsidP="00045547">
            <w:pPr>
              <w:spacing w:line="360" w:lineRule="auto"/>
              <w:jc w:val="center"/>
              <w:rPr>
                <w:bCs/>
                <w:sz w:val="16"/>
                <w:szCs w:val="16"/>
              </w:rPr>
            </w:pPr>
            <w:r w:rsidRPr="00045547">
              <w:rPr>
                <w:bCs/>
                <w:sz w:val="16"/>
                <w:szCs w:val="16"/>
              </w:rPr>
              <w:t>18</w:t>
            </w:r>
          </w:p>
        </w:tc>
      </w:tr>
      <w:tr w:rsidR="00712E44" w:rsidTr="00045547">
        <w:trPr>
          <w:trHeight w:val="363"/>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742" w:type="dxa"/>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806"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60</w:t>
            </w:r>
          </w:p>
        </w:tc>
        <w:tc>
          <w:tcPr>
            <w:tcW w:w="940"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745" w:type="dxa"/>
          </w:tcPr>
          <w:p w:rsidR="00712E44" w:rsidRPr="00045547" w:rsidRDefault="00712E44" w:rsidP="00045547">
            <w:pPr>
              <w:spacing w:line="360" w:lineRule="auto"/>
              <w:jc w:val="center"/>
              <w:rPr>
                <w:b/>
                <w:bCs/>
                <w:sz w:val="16"/>
                <w:szCs w:val="16"/>
              </w:rPr>
            </w:pPr>
            <w:r w:rsidRPr="00045547">
              <w:rPr>
                <w:b/>
                <w:bCs/>
                <w:sz w:val="16"/>
                <w:szCs w:val="16"/>
              </w:rPr>
              <w:t>11</w:t>
            </w:r>
          </w:p>
        </w:tc>
        <w:tc>
          <w:tcPr>
            <w:tcW w:w="832" w:type="dxa"/>
          </w:tcPr>
          <w:p w:rsidR="00712E44" w:rsidRPr="00045547" w:rsidRDefault="00712E44" w:rsidP="00045547">
            <w:pPr>
              <w:spacing w:line="360" w:lineRule="auto"/>
              <w:jc w:val="center"/>
              <w:rPr>
                <w:b/>
                <w:bCs/>
                <w:sz w:val="16"/>
                <w:szCs w:val="16"/>
              </w:rPr>
            </w:pPr>
            <w:r w:rsidRPr="00045547">
              <w:rPr>
                <w:b/>
                <w:bCs/>
                <w:sz w:val="16"/>
                <w:szCs w:val="16"/>
              </w:rPr>
              <w:t>32</w:t>
            </w:r>
          </w:p>
        </w:tc>
      </w:tr>
      <w:tr w:rsidR="00712E44" w:rsidRPr="00255A8D" w:rsidTr="00045547">
        <w:trPr>
          <w:trHeight w:val="342"/>
          <w:jc w:val="center"/>
        </w:trPr>
        <w:tc>
          <w:tcPr>
            <w:tcW w:w="89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4064" w:type="dxa"/>
            <w:gridSpan w:val="7"/>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2</w:t>
            </w:r>
          </w:p>
        </w:tc>
      </w:tr>
      <w:tr w:rsidR="00712E44" w:rsidRPr="00F730F2" w:rsidTr="00045547">
        <w:trPr>
          <w:trHeight w:val="133"/>
          <w:jc w:val="center"/>
        </w:trPr>
        <w:tc>
          <w:tcPr>
            <w:tcW w:w="898" w:type="dxa"/>
            <w:vMerge/>
          </w:tcPr>
          <w:p w:rsidR="00712E44" w:rsidRPr="00045547" w:rsidRDefault="00712E44" w:rsidP="00045547">
            <w:pPr>
              <w:spacing w:line="360" w:lineRule="auto"/>
              <w:jc w:val="center"/>
              <w:rPr>
                <w:bCs/>
                <w:sz w:val="16"/>
                <w:szCs w:val="16"/>
              </w:rPr>
            </w:pPr>
          </w:p>
        </w:tc>
        <w:tc>
          <w:tcPr>
            <w:tcW w:w="748"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808"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93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745"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c>
          <w:tcPr>
            <w:tcW w:w="832"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e)</w:t>
            </w:r>
          </w:p>
        </w:tc>
      </w:tr>
      <w:tr w:rsidR="00712E44" w:rsidRPr="00255A8D" w:rsidTr="00045547">
        <w:trPr>
          <w:trHeight w:val="342"/>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74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80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25</w:t>
            </w:r>
          </w:p>
        </w:tc>
        <w:tc>
          <w:tcPr>
            <w:tcW w:w="932"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745" w:type="dxa"/>
          </w:tcPr>
          <w:p w:rsidR="00712E44" w:rsidRPr="00045547" w:rsidRDefault="00712E44" w:rsidP="00045547">
            <w:pPr>
              <w:spacing w:line="360" w:lineRule="auto"/>
              <w:jc w:val="center"/>
              <w:rPr>
                <w:bCs/>
                <w:sz w:val="16"/>
                <w:szCs w:val="16"/>
              </w:rPr>
            </w:pPr>
            <w:r w:rsidRPr="00045547">
              <w:rPr>
                <w:bCs/>
                <w:sz w:val="16"/>
                <w:szCs w:val="16"/>
              </w:rPr>
              <w:t>4</w:t>
            </w:r>
          </w:p>
        </w:tc>
        <w:tc>
          <w:tcPr>
            <w:tcW w:w="832" w:type="dxa"/>
          </w:tcPr>
          <w:p w:rsidR="00712E44" w:rsidRPr="00045547" w:rsidRDefault="00712E44" w:rsidP="00045547">
            <w:pPr>
              <w:spacing w:line="360" w:lineRule="auto"/>
              <w:jc w:val="center"/>
              <w:rPr>
                <w:bCs/>
                <w:sz w:val="16"/>
                <w:szCs w:val="16"/>
              </w:rPr>
            </w:pPr>
            <w:r w:rsidRPr="00045547">
              <w:rPr>
                <w:bCs/>
                <w:sz w:val="16"/>
                <w:szCs w:val="16"/>
              </w:rPr>
              <w:t>9</w:t>
            </w:r>
          </w:p>
        </w:tc>
      </w:tr>
      <w:tr w:rsidR="00712E44" w:rsidRPr="00255A8D" w:rsidTr="00045547">
        <w:trPr>
          <w:trHeight w:val="342"/>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74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80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16</w:t>
            </w:r>
          </w:p>
        </w:tc>
        <w:tc>
          <w:tcPr>
            <w:tcW w:w="93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745" w:type="dxa"/>
          </w:tcPr>
          <w:p w:rsidR="00712E44" w:rsidRPr="00045547" w:rsidRDefault="00712E44" w:rsidP="00045547">
            <w:pPr>
              <w:spacing w:line="360" w:lineRule="auto"/>
              <w:jc w:val="center"/>
              <w:rPr>
                <w:bCs/>
                <w:sz w:val="16"/>
                <w:szCs w:val="16"/>
              </w:rPr>
            </w:pPr>
            <w:r w:rsidRPr="00045547">
              <w:rPr>
                <w:bCs/>
                <w:sz w:val="16"/>
                <w:szCs w:val="16"/>
              </w:rPr>
              <w:t>2</w:t>
            </w:r>
          </w:p>
        </w:tc>
        <w:tc>
          <w:tcPr>
            <w:tcW w:w="832" w:type="dxa"/>
          </w:tcPr>
          <w:p w:rsidR="00712E44" w:rsidRPr="00045547" w:rsidRDefault="00712E44" w:rsidP="00045547">
            <w:pPr>
              <w:spacing w:line="360" w:lineRule="auto"/>
              <w:jc w:val="center"/>
              <w:rPr>
                <w:bCs/>
                <w:sz w:val="16"/>
                <w:szCs w:val="16"/>
              </w:rPr>
            </w:pPr>
            <w:r w:rsidRPr="00045547">
              <w:rPr>
                <w:bCs/>
                <w:sz w:val="16"/>
                <w:szCs w:val="16"/>
              </w:rPr>
              <w:t>7</w:t>
            </w:r>
          </w:p>
        </w:tc>
      </w:tr>
      <w:tr w:rsidR="00712E44" w:rsidRPr="00255A8D" w:rsidTr="00045547">
        <w:trPr>
          <w:trHeight w:val="342"/>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74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80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93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745" w:type="dxa"/>
          </w:tcPr>
          <w:p w:rsidR="00712E44" w:rsidRPr="00045547" w:rsidRDefault="00712E44" w:rsidP="00045547">
            <w:pPr>
              <w:spacing w:line="360" w:lineRule="auto"/>
              <w:jc w:val="center"/>
              <w:rPr>
                <w:bCs/>
                <w:sz w:val="16"/>
                <w:szCs w:val="16"/>
              </w:rPr>
            </w:pPr>
            <w:r w:rsidRPr="00045547">
              <w:rPr>
                <w:bCs/>
                <w:sz w:val="16"/>
                <w:szCs w:val="16"/>
              </w:rPr>
              <w:t>0</w:t>
            </w:r>
          </w:p>
        </w:tc>
        <w:tc>
          <w:tcPr>
            <w:tcW w:w="832" w:type="dxa"/>
          </w:tcPr>
          <w:p w:rsidR="00712E44" w:rsidRPr="00045547" w:rsidRDefault="00712E44" w:rsidP="00045547">
            <w:pPr>
              <w:spacing w:line="360" w:lineRule="auto"/>
              <w:jc w:val="center"/>
              <w:rPr>
                <w:bCs/>
                <w:sz w:val="16"/>
                <w:szCs w:val="16"/>
              </w:rPr>
            </w:pPr>
            <w:r w:rsidRPr="00045547">
              <w:rPr>
                <w:bCs/>
                <w:sz w:val="16"/>
                <w:szCs w:val="16"/>
              </w:rPr>
              <w:t>7</w:t>
            </w:r>
          </w:p>
        </w:tc>
      </w:tr>
      <w:tr w:rsidR="00712E44" w:rsidRPr="00255A8D" w:rsidTr="00045547">
        <w:trPr>
          <w:trHeight w:val="342"/>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74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80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12</w:t>
            </w:r>
          </w:p>
        </w:tc>
        <w:tc>
          <w:tcPr>
            <w:tcW w:w="932"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745" w:type="dxa"/>
          </w:tcPr>
          <w:p w:rsidR="00712E44" w:rsidRPr="00045547" w:rsidRDefault="00712E44" w:rsidP="00045547">
            <w:pPr>
              <w:spacing w:line="360" w:lineRule="auto"/>
              <w:jc w:val="center"/>
              <w:rPr>
                <w:bCs/>
                <w:sz w:val="16"/>
                <w:szCs w:val="16"/>
              </w:rPr>
            </w:pPr>
            <w:r w:rsidRPr="00045547">
              <w:rPr>
                <w:bCs/>
                <w:sz w:val="16"/>
                <w:szCs w:val="16"/>
              </w:rPr>
              <w:t>4</w:t>
            </w:r>
          </w:p>
        </w:tc>
        <w:tc>
          <w:tcPr>
            <w:tcW w:w="832" w:type="dxa"/>
          </w:tcPr>
          <w:p w:rsidR="00712E44" w:rsidRPr="00045547" w:rsidRDefault="00712E44" w:rsidP="00045547">
            <w:pPr>
              <w:spacing w:line="360" w:lineRule="auto"/>
              <w:jc w:val="center"/>
              <w:rPr>
                <w:bCs/>
                <w:sz w:val="16"/>
                <w:szCs w:val="16"/>
              </w:rPr>
            </w:pPr>
            <w:r w:rsidRPr="00045547">
              <w:rPr>
                <w:bCs/>
                <w:sz w:val="16"/>
                <w:szCs w:val="16"/>
              </w:rPr>
              <w:t>5</w:t>
            </w:r>
          </w:p>
        </w:tc>
      </w:tr>
      <w:tr w:rsidR="00712E44" w:rsidRPr="00255A8D" w:rsidTr="00045547">
        <w:trPr>
          <w:trHeight w:val="342"/>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74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80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932"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745" w:type="dxa"/>
          </w:tcPr>
          <w:p w:rsidR="00712E44" w:rsidRPr="00045547" w:rsidRDefault="00712E44" w:rsidP="00045547">
            <w:pPr>
              <w:spacing w:line="360" w:lineRule="auto"/>
              <w:jc w:val="center"/>
              <w:rPr>
                <w:bCs/>
                <w:sz w:val="16"/>
                <w:szCs w:val="16"/>
              </w:rPr>
            </w:pPr>
            <w:r w:rsidRPr="00045547">
              <w:rPr>
                <w:bCs/>
                <w:sz w:val="16"/>
                <w:szCs w:val="16"/>
              </w:rPr>
              <w:t>1</w:t>
            </w:r>
          </w:p>
        </w:tc>
        <w:tc>
          <w:tcPr>
            <w:tcW w:w="832" w:type="dxa"/>
          </w:tcPr>
          <w:p w:rsidR="00712E44" w:rsidRPr="00045547" w:rsidRDefault="00712E44" w:rsidP="00045547">
            <w:pPr>
              <w:spacing w:line="360" w:lineRule="auto"/>
              <w:jc w:val="center"/>
              <w:rPr>
                <w:bCs/>
                <w:sz w:val="16"/>
                <w:szCs w:val="16"/>
              </w:rPr>
            </w:pPr>
            <w:r w:rsidRPr="00045547">
              <w:rPr>
                <w:bCs/>
                <w:sz w:val="16"/>
                <w:szCs w:val="16"/>
              </w:rPr>
              <w:t>4</w:t>
            </w:r>
          </w:p>
        </w:tc>
      </w:tr>
      <w:tr w:rsidR="00712E44" w:rsidRPr="00255A8D" w:rsidTr="00045547">
        <w:trPr>
          <w:trHeight w:val="356"/>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748"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808"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60</w:t>
            </w:r>
          </w:p>
        </w:tc>
        <w:tc>
          <w:tcPr>
            <w:tcW w:w="932" w:type="dxa"/>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745" w:type="dxa"/>
          </w:tcPr>
          <w:p w:rsidR="00712E44" w:rsidRPr="00045547" w:rsidRDefault="00712E44" w:rsidP="00045547">
            <w:pPr>
              <w:spacing w:line="360" w:lineRule="auto"/>
              <w:jc w:val="center"/>
              <w:rPr>
                <w:b/>
                <w:bCs/>
                <w:sz w:val="16"/>
                <w:szCs w:val="16"/>
              </w:rPr>
            </w:pPr>
            <w:r w:rsidRPr="00045547">
              <w:rPr>
                <w:b/>
                <w:bCs/>
                <w:sz w:val="16"/>
                <w:szCs w:val="16"/>
              </w:rPr>
              <w:t>11</w:t>
            </w:r>
          </w:p>
        </w:tc>
        <w:tc>
          <w:tcPr>
            <w:tcW w:w="832" w:type="dxa"/>
          </w:tcPr>
          <w:p w:rsidR="00712E44" w:rsidRPr="00045547" w:rsidRDefault="00712E44" w:rsidP="00045547">
            <w:pPr>
              <w:spacing w:line="360" w:lineRule="auto"/>
              <w:jc w:val="center"/>
              <w:rPr>
                <w:b/>
                <w:bCs/>
                <w:sz w:val="16"/>
                <w:szCs w:val="16"/>
              </w:rPr>
            </w:pPr>
            <w:r w:rsidRPr="00045547">
              <w:rPr>
                <w:b/>
                <w:bCs/>
                <w:sz w:val="16"/>
                <w:szCs w:val="16"/>
              </w:rPr>
              <w:t>32</w:t>
            </w:r>
          </w:p>
        </w:tc>
      </w:tr>
      <w:tr w:rsidR="00712E44" w:rsidRPr="00B06019" w:rsidTr="00045547">
        <w:trPr>
          <w:trHeight w:val="361"/>
          <w:jc w:val="center"/>
        </w:trPr>
        <w:tc>
          <w:tcPr>
            <w:tcW w:w="89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4064" w:type="dxa"/>
            <w:gridSpan w:val="7"/>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2</w:t>
            </w:r>
          </w:p>
        </w:tc>
      </w:tr>
      <w:tr w:rsidR="00712E44" w:rsidRPr="00F730F2" w:rsidTr="00045547">
        <w:trPr>
          <w:trHeight w:val="138"/>
          <w:jc w:val="center"/>
        </w:trPr>
        <w:tc>
          <w:tcPr>
            <w:tcW w:w="898" w:type="dxa"/>
            <w:vMerge/>
            <w:vAlign w:val="center"/>
          </w:tcPr>
          <w:p w:rsidR="00712E44" w:rsidRPr="00045547" w:rsidRDefault="00712E44" w:rsidP="00045547">
            <w:pPr>
              <w:spacing w:line="360" w:lineRule="auto"/>
              <w:jc w:val="center"/>
              <w:rPr>
                <w:bCs/>
                <w:color w:val="00B050"/>
                <w:sz w:val="16"/>
                <w:szCs w:val="16"/>
              </w:rPr>
            </w:pPr>
          </w:p>
        </w:tc>
        <w:tc>
          <w:tcPr>
            <w:tcW w:w="74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806"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940"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745"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c>
          <w:tcPr>
            <w:tcW w:w="832"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e)</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745" w:type="dxa"/>
          </w:tcPr>
          <w:p w:rsidR="00712E44" w:rsidRPr="00045547" w:rsidRDefault="00712E44" w:rsidP="00045547">
            <w:pPr>
              <w:spacing w:line="360" w:lineRule="auto"/>
              <w:jc w:val="center"/>
              <w:rPr>
                <w:bCs/>
                <w:sz w:val="16"/>
                <w:szCs w:val="16"/>
              </w:rPr>
            </w:pPr>
            <w:r w:rsidRPr="00045547">
              <w:rPr>
                <w:bCs/>
                <w:sz w:val="16"/>
                <w:szCs w:val="16"/>
              </w:rPr>
              <w:t>0</w:t>
            </w:r>
          </w:p>
        </w:tc>
        <w:tc>
          <w:tcPr>
            <w:tcW w:w="832"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48</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6</w:t>
            </w:r>
          </w:p>
        </w:tc>
        <w:tc>
          <w:tcPr>
            <w:tcW w:w="745" w:type="dxa"/>
          </w:tcPr>
          <w:p w:rsidR="00712E44" w:rsidRPr="00045547" w:rsidRDefault="00712E44" w:rsidP="00045547">
            <w:pPr>
              <w:spacing w:line="360" w:lineRule="auto"/>
              <w:jc w:val="center"/>
              <w:rPr>
                <w:bCs/>
                <w:sz w:val="16"/>
                <w:szCs w:val="16"/>
              </w:rPr>
            </w:pPr>
            <w:r w:rsidRPr="00045547">
              <w:rPr>
                <w:bCs/>
                <w:sz w:val="16"/>
                <w:szCs w:val="16"/>
              </w:rPr>
              <w:t>10</w:t>
            </w:r>
          </w:p>
        </w:tc>
        <w:tc>
          <w:tcPr>
            <w:tcW w:w="832" w:type="dxa"/>
          </w:tcPr>
          <w:p w:rsidR="00712E44" w:rsidRPr="00045547" w:rsidRDefault="00712E44" w:rsidP="00045547">
            <w:pPr>
              <w:spacing w:line="360" w:lineRule="auto"/>
              <w:jc w:val="center"/>
              <w:rPr>
                <w:bCs/>
                <w:sz w:val="16"/>
                <w:szCs w:val="16"/>
              </w:rPr>
            </w:pPr>
            <w:r w:rsidRPr="00045547">
              <w:rPr>
                <w:bCs/>
                <w:sz w:val="16"/>
                <w:szCs w:val="16"/>
              </w:rPr>
              <w:t>19</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745" w:type="dxa"/>
          </w:tcPr>
          <w:p w:rsidR="00712E44" w:rsidRPr="00045547" w:rsidRDefault="00712E44" w:rsidP="00045547">
            <w:pPr>
              <w:spacing w:line="360" w:lineRule="auto"/>
              <w:jc w:val="center"/>
              <w:rPr>
                <w:bCs/>
                <w:sz w:val="16"/>
                <w:szCs w:val="16"/>
              </w:rPr>
            </w:pPr>
            <w:r w:rsidRPr="00045547">
              <w:rPr>
                <w:bCs/>
                <w:sz w:val="16"/>
                <w:szCs w:val="16"/>
              </w:rPr>
              <w:t>0</w:t>
            </w:r>
          </w:p>
        </w:tc>
        <w:tc>
          <w:tcPr>
            <w:tcW w:w="832" w:type="dxa"/>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745" w:type="dxa"/>
          </w:tcPr>
          <w:p w:rsidR="00712E44" w:rsidRPr="00045547" w:rsidRDefault="00712E44" w:rsidP="00045547">
            <w:pPr>
              <w:spacing w:line="360" w:lineRule="auto"/>
              <w:jc w:val="center"/>
              <w:rPr>
                <w:bCs/>
                <w:sz w:val="16"/>
                <w:szCs w:val="16"/>
              </w:rPr>
            </w:pPr>
            <w:r w:rsidRPr="00045547">
              <w:rPr>
                <w:bCs/>
                <w:sz w:val="16"/>
                <w:szCs w:val="16"/>
              </w:rPr>
              <w:t>0</w:t>
            </w:r>
          </w:p>
        </w:tc>
        <w:tc>
          <w:tcPr>
            <w:tcW w:w="832" w:type="dxa"/>
          </w:tcPr>
          <w:p w:rsidR="00712E44" w:rsidRPr="00045547" w:rsidRDefault="00712E44" w:rsidP="00045547">
            <w:pPr>
              <w:spacing w:line="360" w:lineRule="auto"/>
              <w:jc w:val="center"/>
              <w:rPr>
                <w:bCs/>
                <w:sz w:val="16"/>
                <w:szCs w:val="16"/>
              </w:rPr>
            </w:pPr>
            <w:r w:rsidRPr="00045547">
              <w:rPr>
                <w:bCs/>
                <w:sz w:val="16"/>
                <w:szCs w:val="16"/>
              </w:rPr>
              <w:t>4</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74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80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94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745" w:type="dxa"/>
          </w:tcPr>
          <w:p w:rsidR="00712E44" w:rsidRPr="00045547" w:rsidRDefault="00712E44" w:rsidP="00045547">
            <w:pPr>
              <w:spacing w:line="360" w:lineRule="auto"/>
              <w:jc w:val="center"/>
              <w:rPr>
                <w:bCs/>
                <w:sz w:val="16"/>
                <w:szCs w:val="16"/>
              </w:rPr>
            </w:pPr>
            <w:r w:rsidRPr="00045547">
              <w:rPr>
                <w:bCs/>
                <w:sz w:val="16"/>
                <w:szCs w:val="16"/>
              </w:rPr>
              <w:t>1</w:t>
            </w:r>
          </w:p>
        </w:tc>
        <w:tc>
          <w:tcPr>
            <w:tcW w:w="832" w:type="dxa"/>
          </w:tcPr>
          <w:p w:rsidR="00712E44" w:rsidRPr="00045547" w:rsidRDefault="00712E44" w:rsidP="00045547">
            <w:pPr>
              <w:spacing w:line="360" w:lineRule="auto"/>
              <w:jc w:val="center"/>
              <w:rPr>
                <w:bCs/>
                <w:sz w:val="16"/>
                <w:szCs w:val="16"/>
              </w:rPr>
            </w:pPr>
            <w:r w:rsidRPr="00045547">
              <w:rPr>
                <w:bCs/>
                <w:sz w:val="16"/>
                <w:szCs w:val="16"/>
              </w:rPr>
              <w:t>6</w:t>
            </w:r>
          </w:p>
        </w:tc>
      </w:tr>
      <w:tr w:rsidR="00712E44" w:rsidRPr="00B06019" w:rsidTr="00045547">
        <w:trPr>
          <w:trHeight w:val="361"/>
          <w:jc w:val="center"/>
        </w:trPr>
        <w:tc>
          <w:tcPr>
            <w:tcW w:w="89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742" w:type="dxa"/>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806"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60</w:t>
            </w:r>
          </w:p>
        </w:tc>
        <w:tc>
          <w:tcPr>
            <w:tcW w:w="940"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745" w:type="dxa"/>
          </w:tcPr>
          <w:p w:rsidR="00712E44" w:rsidRPr="00045547" w:rsidRDefault="00712E44" w:rsidP="00045547">
            <w:pPr>
              <w:spacing w:line="360" w:lineRule="auto"/>
              <w:jc w:val="center"/>
              <w:rPr>
                <w:b/>
                <w:bCs/>
                <w:sz w:val="16"/>
                <w:szCs w:val="16"/>
              </w:rPr>
            </w:pPr>
            <w:r w:rsidRPr="00045547">
              <w:rPr>
                <w:b/>
                <w:bCs/>
                <w:sz w:val="16"/>
                <w:szCs w:val="16"/>
              </w:rPr>
              <w:t>11</w:t>
            </w:r>
          </w:p>
        </w:tc>
        <w:tc>
          <w:tcPr>
            <w:tcW w:w="832" w:type="dxa"/>
          </w:tcPr>
          <w:p w:rsidR="00712E44" w:rsidRPr="00045547" w:rsidRDefault="00712E44" w:rsidP="00045547">
            <w:pPr>
              <w:spacing w:line="360" w:lineRule="auto"/>
              <w:jc w:val="center"/>
              <w:rPr>
                <w:b/>
                <w:bCs/>
                <w:sz w:val="16"/>
                <w:szCs w:val="16"/>
              </w:rPr>
            </w:pPr>
            <w:r w:rsidRPr="00045547">
              <w:rPr>
                <w:b/>
                <w:bCs/>
                <w:sz w:val="16"/>
                <w:szCs w:val="16"/>
              </w:rPr>
              <w:t>32</w:t>
            </w:r>
          </w:p>
        </w:tc>
      </w:tr>
    </w:tbl>
    <w:p w:rsidR="00712E44" w:rsidRPr="009A6E22" w:rsidRDefault="00712E44" w:rsidP="00C535FC">
      <w:pPr>
        <w:spacing w:line="360" w:lineRule="auto"/>
        <w:jc w:val="both"/>
        <w:rPr>
          <w:bCs/>
          <w:i/>
          <w:sz w:val="20"/>
          <w:szCs w:val="20"/>
        </w:rPr>
      </w:pPr>
      <w:r>
        <w:rPr>
          <w:bCs/>
          <w:i/>
          <w:sz w:val="20"/>
          <w:szCs w:val="20"/>
        </w:rPr>
        <w:t xml:space="preserve">                            Zdroj: vlastní zpracování</w:t>
      </w:r>
    </w:p>
    <w:p w:rsidR="00712E44" w:rsidRDefault="00712E44" w:rsidP="00C535FC">
      <w:pPr>
        <w:spacing w:line="360" w:lineRule="auto"/>
        <w:jc w:val="both"/>
        <w:rPr>
          <w:bCs/>
        </w:rPr>
      </w:pPr>
    </w:p>
    <w:p w:rsidR="00712E44" w:rsidRDefault="00712E44" w:rsidP="00C535FC"/>
    <w:p w:rsidR="00712E44" w:rsidRPr="00BA759D" w:rsidRDefault="00712E44" w:rsidP="00C535FC">
      <w:pPr>
        <w:spacing w:line="360" w:lineRule="auto"/>
        <w:jc w:val="both"/>
        <w:rPr>
          <w:bCs/>
        </w:rPr>
      </w:pPr>
      <w:r w:rsidRPr="002536F2">
        <w:rPr>
          <w:bCs/>
        </w:rPr>
        <w:t xml:space="preserve">Otázka č. </w:t>
      </w:r>
      <w:r>
        <w:rPr>
          <w:bCs/>
        </w:rPr>
        <w:t>3</w:t>
      </w:r>
      <w:r w:rsidRPr="002536F2">
        <w:rPr>
          <w:bCs/>
        </w:rPr>
        <w:t xml:space="preserve">: </w:t>
      </w:r>
      <w:r>
        <w:rPr>
          <w:b/>
          <w:bCs/>
        </w:rPr>
        <w:t xml:space="preserve">„Priniesla táto změna obyvateľstvu, podľa Vášho názora, niektoré z uvedených prínosov?“ </w:t>
      </w:r>
      <w:r>
        <w:rPr>
          <w:bCs/>
        </w:rPr>
        <w:t>(pri tejto otázke je možné zaškrtnúť 1 alebo 2 odpovede)</w:t>
      </w:r>
    </w:p>
    <w:p w:rsidR="00712E44" w:rsidRDefault="00712E44" w:rsidP="00C535FC">
      <w:pPr>
        <w:pStyle w:val="Odstavecseseznamem"/>
        <w:numPr>
          <w:ilvl w:val="0"/>
          <w:numId w:val="19"/>
        </w:numPr>
        <w:spacing w:line="360" w:lineRule="auto"/>
        <w:jc w:val="both"/>
        <w:rPr>
          <w:b/>
          <w:bCs/>
        </w:rPr>
      </w:pPr>
      <w:r>
        <w:rPr>
          <w:b/>
          <w:bCs/>
        </w:rPr>
        <w:t>zvýšenie miezd, a tým aj zvýšenie životnej úrovne</w:t>
      </w:r>
    </w:p>
    <w:p w:rsidR="00712E44" w:rsidRDefault="00712E44" w:rsidP="00C535FC">
      <w:pPr>
        <w:pStyle w:val="Odstavecseseznamem"/>
        <w:numPr>
          <w:ilvl w:val="0"/>
          <w:numId w:val="19"/>
        </w:numPr>
        <w:spacing w:line="360" w:lineRule="auto"/>
        <w:jc w:val="both"/>
        <w:rPr>
          <w:b/>
          <w:bCs/>
        </w:rPr>
      </w:pPr>
      <w:r>
        <w:rPr>
          <w:b/>
          <w:bCs/>
        </w:rPr>
        <w:t>pokles nezamestnanosti</w:t>
      </w:r>
    </w:p>
    <w:p w:rsidR="00712E44" w:rsidRDefault="00712E44" w:rsidP="00C535FC">
      <w:pPr>
        <w:pStyle w:val="Odstavecseseznamem"/>
        <w:numPr>
          <w:ilvl w:val="0"/>
          <w:numId w:val="19"/>
        </w:numPr>
        <w:spacing w:line="360" w:lineRule="auto"/>
        <w:jc w:val="both"/>
        <w:rPr>
          <w:b/>
          <w:bCs/>
        </w:rPr>
      </w:pPr>
      <w:r>
        <w:rPr>
          <w:b/>
          <w:bCs/>
        </w:rPr>
        <w:t>zníženie úrokových mier, a tým aj zníženie zadĺženosti obyvateľstva</w:t>
      </w:r>
    </w:p>
    <w:p w:rsidR="00712E44" w:rsidRDefault="00712E44" w:rsidP="00C535FC">
      <w:pPr>
        <w:pStyle w:val="Odstavecseseznamem"/>
        <w:numPr>
          <w:ilvl w:val="0"/>
          <w:numId w:val="19"/>
        </w:numPr>
        <w:spacing w:line="360" w:lineRule="auto"/>
        <w:jc w:val="both"/>
        <w:rPr>
          <w:b/>
          <w:bCs/>
        </w:rPr>
      </w:pPr>
      <w:r>
        <w:rPr>
          <w:b/>
          <w:bCs/>
        </w:rPr>
        <w:t>žiadne z uvedených prínosov som nezaznamenal(a)</w:t>
      </w:r>
    </w:p>
    <w:p w:rsidR="00712E44" w:rsidRDefault="00712E44" w:rsidP="00C535FC">
      <w:pPr>
        <w:spacing w:line="360" w:lineRule="auto"/>
        <w:jc w:val="both"/>
        <w:rPr>
          <w:b/>
          <w:bCs/>
        </w:rPr>
      </w:pPr>
    </w:p>
    <w:p w:rsidR="00712E44" w:rsidRDefault="00712E44" w:rsidP="00C535FC">
      <w:pPr>
        <w:spacing w:line="360" w:lineRule="auto"/>
        <w:jc w:val="both"/>
        <w:rPr>
          <w:b/>
          <w:bCs/>
        </w:rPr>
      </w:pPr>
    </w:p>
    <w:p w:rsidR="00712E44" w:rsidRPr="00057D25" w:rsidRDefault="00712E44" w:rsidP="00C535FC">
      <w:pPr>
        <w:spacing w:line="360" w:lineRule="auto"/>
        <w:jc w:val="both"/>
        <w:rPr>
          <w:bCs/>
        </w:rPr>
      </w:pPr>
      <w:r>
        <w:rPr>
          <w:bCs/>
        </w:rPr>
        <w:lastRenderedPageBreak/>
        <w:t>I v tomto případě bylo možné</w:t>
      </w:r>
      <w:r w:rsidRPr="00057D25">
        <w:rPr>
          <w:bCs/>
        </w:rPr>
        <w:t xml:space="preserve"> zaškrtnout jednu nebo dvě odpovědi, proto jsou výsledky početnější a nedávají konečné součty 100 odpovědí. </w:t>
      </w:r>
    </w:p>
    <w:p w:rsidR="00712E44" w:rsidRDefault="00712E44" w:rsidP="00C535FC">
      <w:pPr>
        <w:spacing w:line="360" w:lineRule="auto"/>
        <w:jc w:val="both"/>
        <w:rPr>
          <w:bCs/>
          <w:color w:val="00B050"/>
        </w:rPr>
      </w:pPr>
    </w:p>
    <w:p w:rsidR="00712E44" w:rsidRDefault="00712E44" w:rsidP="00C535FC">
      <w:pPr>
        <w:spacing w:line="360" w:lineRule="auto"/>
        <w:jc w:val="both"/>
        <w:rPr>
          <w:bCs/>
        </w:rPr>
      </w:pPr>
      <w:r>
        <w:rPr>
          <w:bCs/>
        </w:rPr>
        <w:t xml:space="preserve">Dle odpovědí na třetí dotaz (Tab. 5) převažuje názor, že respondenti nepostřehli žádné z uvedených přínosů.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Nejpočetněji zhodnocený přínos se týkal snížení úrokových měr a zadluženosti obyvatelstva. Celkem 9 respondentů tento klad eura postřehlo. V každé skupině z hlediska zaměstnanosti </w:t>
      </w:r>
      <w:r>
        <w:rPr>
          <w:bCs/>
        </w:rPr>
        <w:br/>
        <w:t xml:space="preserve">se našel alespoň jeden dotázaný. Konkrétně se jedná o 1 studenta, 3 zaměstnané, </w:t>
      </w:r>
      <w:r>
        <w:rPr>
          <w:bCs/>
        </w:rPr>
        <w:br/>
        <w:t>1 nezaměstnaného, 2 podnikatele a dokonce i 2 důchodce.</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Ohledně přínosů jako jsou zvýšení mezd, zvýšení životní úrovně a poklesu nezaměstnanosti jsou výsledky názorů slovenských dotázaných občanů zanedbatelné.</w:t>
      </w:r>
    </w:p>
    <w:p w:rsidR="00712E44" w:rsidRDefault="00712E44" w:rsidP="00C535FC">
      <w:pPr>
        <w:spacing w:line="360" w:lineRule="auto"/>
        <w:jc w:val="both"/>
        <w:rPr>
          <w:b/>
          <w:bCs/>
        </w:rPr>
      </w:pPr>
    </w:p>
    <w:p w:rsidR="00712E44" w:rsidRPr="009A6E22" w:rsidRDefault="00712E44" w:rsidP="00C535FC">
      <w:pPr>
        <w:spacing w:line="360" w:lineRule="auto"/>
        <w:rPr>
          <w:b/>
          <w:bCs/>
        </w:rPr>
      </w:pPr>
      <w:r>
        <w:rPr>
          <w:b/>
          <w:bCs/>
        </w:rPr>
        <w:t xml:space="preserve">                  Tab. 5 Výsledky  týkající  se  otázky  č. 3:  „Priniesla táto změna </w:t>
      </w:r>
      <w:r>
        <w:rPr>
          <w:b/>
          <w:bCs/>
        </w:rPr>
        <w:br/>
        <w:t xml:space="preserve">                  obyvateľstvu, podľa Vášho názora, niektoré z uvedených prínosov?“</w:t>
      </w:r>
    </w:p>
    <w:tbl>
      <w:tblPr>
        <w:tblW w:w="0" w:type="auto"/>
        <w:jc w:val="center"/>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08"/>
        <w:gridCol w:w="846"/>
        <w:gridCol w:w="20"/>
        <w:gridCol w:w="1663"/>
        <w:gridCol w:w="1301"/>
        <w:gridCol w:w="1480"/>
      </w:tblGrid>
      <w:tr w:rsidR="00712E44" w:rsidTr="00045547">
        <w:trPr>
          <w:trHeight w:val="176"/>
          <w:jc w:val="center"/>
        </w:trPr>
        <w:tc>
          <w:tcPr>
            <w:tcW w:w="160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5310"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3</w:t>
            </w:r>
          </w:p>
        </w:tc>
      </w:tr>
      <w:tr w:rsidR="00712E44" w:rsidTr="00045547">
        <w:trPr>
          <w:trHeight w:val="68"/>
          <w:jc w:val="center"/>
        </w:trPr>
        <w:tc>
          <w:tcPr>
            <w:tcW w:w="1608" w:type="dxa"/>
            <w:vMerge/>
            <w:vAlign w:val="center"/>
          </w:tcPr>
          <w:p w:rsidR="00712E44" w:rsidRPr="00045547" w:rsidRDefault="00712E44" w:rsidP="00045547">
            <w:pPr>
              <w:spacing w:line="360" w:lineRule="auto"/>
              <w:jc w:val="center"/>
              <w:rPr>
                <w:bCs/>
                <w:sz w:val="16"/>
                <w:szCs w:val="16"/>
              </w:rPr>
            </w:pPr>
          </w:p>
        </w:tc>
        <w:tc>
          <w:tcPr>
            <w:tcW w:w="846" w:type="dxa"/>
            <w:shd w:val="clear" w:color="auto" w:fill="D6E3BC"/>
            <w:vAlign w:val="center"/>
          </w:tcPr>
          <w:p w:rsidR="00712E44" w:rsidRPr="00045547" w:rsidRDefault="00712E44" w:rsidP="00045547">
            <w:pPr>
              <w:spacing w:line="360" w:lineRule="auto"/>
              <w:jc w:val="center"/>
              <w:rPr>
                <w:b/>
                <w:bCs/>
                <w:i/>
                <w:color w:val="C00000"/>
                <w:sz w:val="16"/>
                <w:szCs w:val="16"/>
              </w:rPr>
            </w:pPr>
            <w:r w:rsidRPr="00045547">
              <w:rPr>
                <w:b/>
                <w:bCs/>
                <w:i/>
                <w:color w:val="0070C0"/>
                <w:sz w:val="16"/>
                <w:szCs w:val="16"/>
              </w:rPr>
              <w:t xml:space="preserve">a) </w:t>
            </w:r>
            <w:r w:rsidRPr="00045547">
              <w:rPr>
                <w:b/>
                <w:bCs/>
                <w:i/>
                <w:color w:val="C00000"/>
                <w:sz w:val="16"/>
                <w:szCs w:val="16"/>
              </w:rPr>
              <w:t>zvýšení mezd a životní úrovně</w:t>
            </w:r>
          </w:p>
        </w:tc>
        <w:tc>
          <w:tcPr>
            <w:tcW w:w="1683"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pokles nezaměstnanosti</w:t>
            </w:r>
          </w:p>
        </w:tc>
        <w:tc>
          <w:tcPr>
            <w:tcW w:w="130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snížení úrokových měr a zadluženosti</w:t>
            </w:r>
          </w:p>
        </w:tc>
        <w:tc>
          <w:tcPr>
            <w:tcW w:w="1480"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d) </w:t>
            </w:r>
            <w:r w:rsidRPr="00045547">
              <w:rPr>
                <w:b/>
                <w:bCs/>
                <w:i/>
                <w:color w:val="C00000"/>
                <w:sz w:val="16"/>
                <w:szCs w:val="16"/>
              </w:rPr>
              <w:t>žádný z přínosů jsem nezaznamenal</w:t>
            </w:r>
          </w:p>
        </w:tc>
      </w:tr>
      <w:tr w:rsidR="00712E44" w:rsidTr="00045547">
        <w:trPr>
          <w:trHeight w:val="176"/>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480" w:type="dxa"/>
          </w:tcPr>
          <w:p w:rsidR="00712E44" w:rsidRPr="00045547" w:rsidRDefault="00712E44" w:rsidP="00045547">
            <w:pPr>
              <w:spacing w:line="360" w:lineRule="auto"/>
              <w:jc w:val="center"/>
              <w:rPr>
                <w:bCs/>
                <w:sz w:val="16"/>
                <w:szCs w:val="16"/>
              </w:rPr>
            </w:pPr>
            <w:r w:rsidRPr="00045547">
              <w:rPr>
                <w:bCs/>
                <w:sz w:val="16"/>
                <w:szCs w:val="16"/>
              </w:rPr>
              <w:t>32</w:t>
            </w:r>
          </w:p>
        </w:tc>
      </w:tr>
      <w:tr w:rsidR="00712E44" w:rsidTr="00045547">
        <w:trPr>
          <w:trHeight w:val="176"/>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1480" w:type="dxa"/>
          </w:tcPr>
          <w:p w:rsidR="00712E44" w:rsidRPr="00045547" w:rsidRDefault="00712E44" w:rsidP="00045547">
            <w:pPr>
              <w:spacing w:line="360" w:lineRule="auto"/>
              <w:jc w:val="center"/>
              <w:rPr>
                <w:bCs/>
                <w:sz w:val="16"/>
                <w:szCs w:val="16"/>
              </w:rPr>
            </w:pPr>
            <w:r w:rsidRPr="00045547">
              <w:rPr>
                <w:bCs/>
                <w:sz w:val="16"/>
                <w:szCs w:val="16"/>
              </w:rPr>
              <w:t>55</w:t>
            </w:r>
          </w:p>
        </w:tc>
      </w:tr>
      <w:tr w:rsidR="00712E44"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846" w:type="dxa"/>
            <w:vAlign w:val="center"/>
          </w:tcPr>
          <w:p w:rsidR="00712E44" w:rsidRPr="00045547" w:rsidRDefault="00712E44" w:rsidP="00045547">
            <w:pPr>
              <w:spacing w:line="360" w:lineRule="auto"/>
              <w:jc w:val="center"/>
              <w:rPr>
                <w:b/>
                <w:bCs/>
                <w:sz w:val="16"/>
                <w:szCs w:val="16"/>
              </w:rPr>
            </w:pPr>
            <w:r w:rsidRPr="00045547">
              <w:rPr>
                <w:b/>
                <w:bCs/>
                <w:sz w:val="16"/>
                <w:szCs w:val="16"/>
              </w:rPr>
              <w:t>3</w:t>
            </w:r>
          </w:p>
        </w:tc>
        <w:tc>
          <w:tcPr>
            <w:tcW w:w="1683"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2</w:t>
            </w:r>
          </w:p>
        </w:tc>
        <w:tc>
          <w:tcPr>
            <w:tcW w:w="1301" w:type="dxa"/>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1480" w:type="dxa"/>
          </w:tcPr>
          <w:p w:rsidR="00712E44" w:rsidRPr="00045547" w:rsidRDefault="00712E44" w:rsidP="00045547">
            <w:pPr>
              <w:spacing w:line="360" w:lineRule="auto"/>
              <w:jc w:val="center"/>
              <w:rPr>
                <w:b/>
                <w:bCs/>
                <w:sz w:val="16"/>
                <w:szCs w:val="16"/>
              </w:rPr>
            </w:pPr>
            <w:r w:rsidRPr="00045547">
              <w:rPr>
                <w:b/>
                <w:bCs/>
                <w:sz w:val="16"/>
                <w:szCs w:val="16"/>
              </w:rPr>
              <w:t>87</w:t>
            </w:r>
          </w:p>
        </w:tc>
      </w:tr>
      <w:tr w:rsidR="00712E44" w:rsidRPr="00255A8D" w:rsidTr="00045547">
        <w:trPr>
          <w:trHeight w:val="172"/>
          <w:jc w:val="center"/>
        </w:trPr>
        <w:tc>
          <w:tcPr>
            <w:tcW w:w="160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5310"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3</w:t>
            </w:r>
          </w:p>
        </w:tc>
      </w:tr>
      <w:tr w:rsidR="00712E44" w:rsidRPr="00F730F2" w:rsidTr="00045547">
        <w:trPr>
          <w:trHeight w:val="67"/>
          <w:jc w:val="center"/>
        </w:trPr>
        <w:tc>
          <w:tcPr>
            <w:tcW w:w="1608" w:type="dxa"/>
            <w:vMerge/>
          </w:tcPr>
          <w:p w:rsidR="00712E44" w:rsidRPr="00045547" w:rsidRDefault="00712E44" w:rsidP="00045547">
            <w:pPr>
              <w:spacing w:line="360" w:lineRule="auto"/>
              <w:jc w:val="center"/>
              <w:rPr>
                <w:bCs/>
                <w:sz w:val="16"/>
                <w:szCs w:val="16"/>
              </w:rPr>
            </w:pPr>
          </w:p>
        </w:tc>
        <w:tc>
          <w:tcPr>
            <w:tcW w:w="866"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66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30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480"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255A8D" w:rsidTr="00045547">
        <w:trPr>
          <w:trHeight w:val="172"/>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86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663"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80" w:type="dxa"/>
          </w:tcPr>
          <w:p w:rsidR="00712E44" w:rsidRPr="00045547" w:rsidRDefault="00712E44" w:rsidP="00045547">
            <w:pPr>
              <w:spacing w:line="360" w:lineRule="auto"/>
              <w:jc w:val="center"/>
              <w:rPr>
                <w:bCs/>
                <w:sz w:val="16"/>
                <w:szCs w:val="16"/>
              </w:rPr>
            </w:pPr>
            <w:r w:rsidRPr="00045547">
              <w:rPr>
                <w:bCs/>
                <w:sz w:val="16"/>
                <w:szCs w:val="16"/>
              </w:rPr>
              <w:t>33</w:t>
            </w:r>
          </w:p>
        </w:tc>
      </w:tr>
      <w:tr w:rsidR="00712E44" w:rsidRPr="00255A8D" w:rsidTr="00045547">
        <w:trPr>
          <w:trHeight w:val="172"/>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86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480" w:type="dxa"/>
          </w:tcPr>
          <w:p w:rsidR="00712E44" w:rsidRPr="00045547" w:rsidRDefault="00712E44" w:rsidP="00045547">
            <w:pPr>
              <w:spacing w:line="360" w:lineRule="auto"/>
              <w:jc w:val="center"/>
              <w:rPr>
                <w:bCs/>
                <w:sz w:val="16"/>
                <w:szCs w:val="16"/>
              </w:rPr>
            </w:pPr>
            <w:r w:rsidRPr="00045547">
              <w:rPr>
                <w:bCs/>
                <w:sz w:val="16"/>
                <w:szCs w:val="16"/>
              </w:rPr>
              <w:t>21</w:t>
            </w:r>
          </w:p>
        </w:tc>
      </w:tr>
      <w:tr w:rsidR="00712E44" w:rsidRPr="00255A8D" w:rsidTr="00045547">
        <w:trPr>
          <w:trHeight w:val="172"/>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86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80" w:type="dxa"/>
          </w:tcPr>
          <w:p w:rsidR="00712E44" w:rsidRPr="00045547" w:rsidRDefault="00712E44" w:rsidP="00045547">
            <w:pPr>
              <w:spacing w:line="360" w:lineRule="auto"/>
              <w:jc w:val="center"/>
              <w:rPr>
                <w:bCs/>
                <w:sz w:val="16"/>
                <w:szCs w:val="16"/>
              </w:rPr>
            </w:pPr>
            <w:r w:rsidRPr="00045547">
              <w:rPr>
                <w:bCs/>
                <w:sz w:val="16"/>
                <w:szCs w:val="16"/>
              </w:rPr>
              <w:t>10</w:t>
            </w:r>
          </w:p>
        </w:tc>
      </w:tr>
      <w:tr w:rsidR="00712E44" w:rsidRPr="00255A8D" w:rsidTr="00045547">
        <w:trPr>
          <w:trHeight w:val="172"/>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86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663"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480" w:type="dxa"/>
          </w:tcPr>
          <w:p w:rsidR="00712E44" w:rsidRPr="00045547" w:rsidRDefault="00712E44" w:rsidP="00045547">
            <w:pPr>
              <w:spacing w:line="360" w:lineRule="auto"/>
              <w:jc w:val="center"/>
              <w:rPr>
                <w:bCs/>
                <w:sz w:val="16"/>
                <w:szCs w:val="16"/>
              </w:rPr>
            </w:pPr>
            <w:r w:rsidRPr="00045547">
              <w:rPr>
                <w:bCs/>
                <w:sz w:val="16"/>
                <w:szCs w:val="16"/>
              </w:rPr>
              <w:t>16</w:t>
            </w:r>
          </w:p>
        </w:tc>
      </w:tr>
      <w:tr w:rsidR="00712E44" w:rsidRPr="00255A8D" w:rsidTr="00045547">
        <w:trPr>
          <w:trHeight w:val="172"/>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86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80" w:type="dxa"/>
          </w:tcPr>
          <w:p w:rsidR="00712E44" w:rsidRPr="00045547" w:rsidRDefault="00712E44" w:rsidP="00045547">
            <w:pPr>
              <w:spacing w:line="360" w:lineRule="auto"/>
              <w:jc w:val="center"/>
              <w:rPr>
                <w:bCs/>
                <w:sz w:val="16"/>
                <w:szCs w:val="16"/>
              </w:rPr>
            </w:pPr>
            <w:r w:rsidRPr="00045547">
              <w:rPr>
                <w:bCs/>
                <w:sz w:val="16"/>
                <w:szCs w:val="16"/>
              </w:rPr>
              <w:t>7</w:t>
            </w:r>
          </w:p>
        </w:tc>
      </w:tr>
      <w:tr w:rsidR="00712E44" w:rsidRPr="00255A8D" w:rsidTr="00045547">
        <w:trPr>
          <w:trHeight w:val="178"/>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866"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3</w:t>
            </w:r>
          </w:p>
        </w:tc>
        <w:tc>
          <w:tcPr>
            <w:tcW w:w="1663" w:type="dxa"/>
            <w:vAlign w:val="center"/>
          </w:tcPr>
          <w:p w:rsidR="00712E44" w:rsidRPr="00045547" w:rsidRDefault="00712E44" w:rsidP="00045547">
            <w:pPr>
              <w:spacing w:line="360" w:lineRule="auto"/>
              <w:jc w:val="center"/>
              <w:rPr>
                <w:b/>
                <w:bCs/>
                <w:sz w:val="16"/>
                <w:szCs w:val="16"/>
              </w:rPr>
            </w:pPr>
            <w:r w:rsidRPr="00045547">
              <w:rPr>
                <w:b/>
                <w:bCs/>
                <w:sz w:val="16"/>
                <w:szCs w:val="16"/>
              </w:rPr>
              <w:t>2</w:t>
            </w:r>
          </w:p>
        </w:tc>
        <w:tc>
          <w:tcPr>
            <w:tcW w:w="1301" w:type="dxa"/>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1480" w:type="dxa"/>
          </w:tcPr>
          <w:p w:rsidR="00712E44" w:rsidRPr="00045547" w:rsidRDefault="00712E44" w:rsidP="00045547">
            <w:pPr>
              <w:spacing w:line="360" w:lineRule="auto"/>
              <w:jc w:val="center"/>
              <w:rPr>
                <w:b/>
                <w:bCs/>
                <w:sz w:val="16"/>
                <w:szCs w:val="16"/>
              </w:rPr>
            </w:pPr>
            <w:r w:rsidRPr="00045547">
              <w:rPr>
                <w:b/>
                <w:bCs/>
                <w:sz w:val="16"/>
                <w:szCs w:val="16"/>
              </w:rPr>
              <w:t>87</w:t>
            </w:r>
          </w:p>
        </w:tc>
      </w:tr>
      <w:tr w:rsidR="00712E44" w:rsidRPr="00B06019" w:rsidTr="00045547">
        <w:trPr>
          <w:trHeight w:val="183"/>
          <w:jc w:val="center"/>
        </w:trPr>
        <w:tc>
          <w:tcPr>
            <w:tcW w:w="1608"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5310"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3</w:t>
            </w:r>
          </w:p>
        </w:tc>
      </w:tr>
      <w:tr w:rsidR="00712E44" w:rsidRPr="00F730F2" w:rsidTr="00045547">
        <w:trPr>
          <w:trHeight w:val="69"/>
          <w:jc w:val="center"/>
        </w:trPr>
        <w:tc>
          <w:tcPr>
            <w:tcW w:w="1608" w:type="dxa"/>
            <w:vMerge/>
            <w:vAlign w:val="center"/>
          </w:tcPr>
          <w:p w:rsidR="00712E44" w:rsidRPr="00045547" w:rsidRDefault="00712E44" w:rsidP="00045547">
            <w:pPr>
              <w:spacing w:line="360" w:lineRule="auto"/>
              <w:jc w:val="center"/>
              <w:rPr>
                <w:bCs/>
                <w:color w:val="00B050"/>
                <w:sz w:val="16"/>
                <w:szCs w:val="16"/>
              </w:rPr>
            </w:pPr>
          </w:p>
        </w:tc>
        <w:tc>
          <w:tcPr>
            <w:tcW w:w="846"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683"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30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480"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B06019"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80" w:type="dxa"/>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B06019"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480" w:type="dxa"/>
          </w:tcPr>
          <w:p w:rsidR="00712E44" w:rsidRPr="00045547" w:rsidRDefault="00712E44" w:rsidP="00045547">
            <w:pPr>
              <w:spacing w:line="360" w:lineRule="auto"/>
              <w:jc w:val="center"/>
              <w:rPr>
                <w:bCs/>
                <w:sz w:val="16"/>
                <w:szCs w:val="16"/>
              </w:rPr>
            </w:pPr>
            <w:r w:rsidRPr="00045547">
              <w:rPr>
                <w:bCs/>
                <w:sz w:val="16"/>
                <w:szCs w:val="16"/>
              </w:rPr>
              <w:t>65</w:t>
            </w:r>
          </w:p>
        </w:tc>
      </w:tr>
      <w:tr w:rsidR="00712E44" w:rsidRPr="00B06019"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480" w:type="dxa"/>
          </w:tcPr>
          <w:p w:rsidR="00712E44" w:rsidRPr="00045547" w:rsidRDefault="00712E44" w:rsidP="00045547">
            <w:pPr>
              <w:spacing w:line="360" w:lineRule="auto"/>
              <w:jc w:val="center"/>
              <w:rPr>
                <w:bCs/>
                <w:sz w:val="16"/>
                <w:szCs w:val="16"/>
              </w:rPr>
            </w:pPr>
            <w:r w:rsidRPr="00045547">
              <w:rPr>
                <w:bCs/>
                <w:sz w:val="16"/>
                <w:szCs w:val="16"/>
              </w:rPr>
              <w:t>6</w:t>
            </w:r>
          </w:p>
        </w:tc>
      </w:tr>
      <w:tr w:rsidR="00712E44" w:rsidRPr="00B06019"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80" w:type="dxa"/>
          </w:tcPr>
          <w:p w:rsidR="00712E44" w:rsidRPr="00045547" w:rsidRDefault="00712E44" w:rsidP="00045547">
            <w:pPr>
              <w:spacing w:line="360" w:lineRule="auto"/>
              <w:jc w:val="center"/>
              <w:rPr>
                <w:bCs/>
                <w:sz w:val="16"/>
                <w:szCs w:val="16"/>
              </w:rPr>
            </w:pPr>
            <w:r w:rsidRPr="00045547">
              <w:rPr>
                <w:bCs/>
                <w:sz w:val="16"/>
                <w:szCs w:val="16"/>
              </w:rPr>
              <w:t>3</w:t>
            </w:r>
          </w:p>
        </w:tc>
      </w:tr>
      <w:tr w:rsidR="00712E44" w:rsidRPr="00B06019" w:rsidTr="00045547">
        <w:trPr>
          <w:trHeight w:val="183"/>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846"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683"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301"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480" w:type="dxa"/>
          </w:tcPr>
          <w:p w:rsidR="00712E44" w:rsidRPr="00045547" w:rsidRDefault="00712E44" w:rsidP="00045547">
            <w:pPr>
              <w:spacing w:line="360" w:lineRule="auto"/>
              <w:jc w:val="center"/>
              <w:rPr>
                <w:bCs/>
                <w:sz w:val="16"/>
                <w:szCs w:val="16"/>
              </w:rPr>
            </w:pPr>
            <w:r w:rsidRPr="00045547">
              <w:rPr>
                <w:bCs/>
                <w:sz w:val="16"/>
                <w:szCs w:val="16"/>
              </w:rPr>
              <w:t>10</w:t>
            </w:r>
          </w:p>
        </w:tc>
      </w:tr>
      <w:tr w:rsidR="00712E44" w:rsidRPr="00B06019" w:rsidTr="00045547">
        <w:trPr>
          <w:trHeight w:val="59"/>
          <w:jc w:val="center"/>
        </w:trPr>
        <w:tc>
          <w:tcPr>
            <w:tcW w:w="1608"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846" w:type="dxa"/>
            <w:vAlign w:val="center"/>
          </w:tcPr>
          <w:p w:rsidR="00712E44" w:rsidRPr="00045547" w:rsidRDefault="00712E44" w:rsidP="00045547">
            <w:pPr>
              <w:spacing w:line="360" w:lineRule="auto"/>
              <w:jc w:val="center"/>
              <w:rPr>
                <w:b/>
                <w:bCs/>
                <w:sz w:val="16"/>
                <w:szCs w:val="16"/>
              </w:rPr>
            </w:pPr>
            <w:r w:rsidRPr="00045547">
              <w:rPr>
                <w:b/>
                <w:bCs/>
                <w:sz w:val="16"/>
                <w:szCs w:val="16"/>
              </w:rPr>
              <w:t>3</w:t>
            </w:r>
          </w:p>
        </w:tc>
        <w:tc>
          <w:tcPr>
            <w:tcW w:w="1683"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2</w:t>
            </w:r>
          </w:p>
        </w:tc>
        <w:tc>
          <w:tcPr>
            <w:tcW w:w="1301" w:type="dxa"/>
            <w:vAlign w:val="center"/>
          </w:tcPr>
          <w:p w:rsidR="00712E44" w:rsidRPr="00045547" w:rsidRDefault="00712E44" w:rsidP="00045547">
            <w:pPr>
              <w:spacing w:line="360" w:lineRule="auto"/>
              <w:jc w:val="center"/>
              <w:rPr>
                <w:b/>
                <w:bCs/>
                <w:sz w:val="16"/>
                <w:szCs w:val="16"/>
              </w:rPr>
            </w:pPr>
            <w:r w:rsidRPr="00045547">
              <w:rPr>
                <w:b/>
                <w:bCs/>
                <w:sz w:val="16"/>
                <w:szCs w:val="16"/>
              </w:rPr>
              <w:t>9</w:t>
            </w:r>
          </w:p>
        </w:tc>
        <w:tc>
          <w:tcPr>
            <w:tcW w:w="1480" w:type="dxa"/>
          </w:tcPr>
          <w:p w:rsidR="00712E44" w:rsidRPr="00045547" w:rsidRDefault="00712E44" w:rsidP="00045547">
            <w:pPr>
              <w:spacing w:line="360" w:lineRule="auto"/>
              <w:jc w:val="center"/>
              <w:rPr>
                <w:b/>
                <w:bCs/>
                <w:sz w:val="16"/>
                <w:szCs w:val="16"/>
              </w:rPr>
            </w:pPr>
            <w:r w:rsidRPr="00045547">
              <w:rPr>
                <w:b/>
                <w:bCs/>
                <w:sz w:val="16"/>
                <w:szCs w:val="16"/>
              </w:rPr>
              <w:t>87</w:t>
            </w:r>
          </w:p>
        </w:tc>
      </w:tr>
    </w:tbl>
    <w:p w:rsidR="00712E44" w:rsidRDefault="00712E44" w:rsidP="00C535FC">
      <w:pPr>
        <w:spacing w:line="360" w:lineRule="auto"/>
        <w:jc w:val="both"/>
        <w:rPr>
          <w:bCs/>
          <w:i/>
          <w:sz w:val="20"/>
          <w:szCs w:val="20"/>
        </w:rPr>
      </w:pPr>
      <w:r>
        <w:rPr>
          <w:bCs/>
          <w:i/>
          <w:sz w:val="20"/>
          <w:szCs w:val="20"/>
        </w:rPr>
        <w:t xml:space="preserve">                     Zdroj: vlastní zpracování</w:t>
      </w:r>
    </w:p>
    <w:p w:rsidR="00712E44" w:rsidRPr="00BA759D" w:rsidRDefault="00712E44" w:rsidP="00C535FC">
      <w:pPr>
        <w:spacing w:line="360" w:lineRule="auto"/>
        <w:jc w:val="both"/>
        <w:rPr>
          <w:bCs/>
        </w:rPr>
      </w:pPr>
      <w:r w:rsidRPr="002536F2">
        <w:rPr>
          <w:bCs/>
        </w:rPr>
        <w:lastRenderedPageBreak/>
        <w:t xml:space="preserve">Otázka č. </w:t>
      </w:r>
      <w:r>
        <w:rPr>
          <w:bCs/>
        </w:rPr>
        <w:t>4</w:t>
      </w:r>
      <w:r w:rsidRPr="002536F2">
        <w:rPr>
          <w:bCs/>
        </w:rPr>
        <w:t xml:space="preserve">: </w:t>
      </w:r>
      <w:r>
        <w:rPr>
          <w:b/>
          <w:bCs/>
        </w:rPr>
        <w:t xml:space="preserve">„Uľahčili Vám prechod na novú menu štátne podporné prostriedky?“ </w:t>
      </w:r>
    </w:p>
    <w:p w:rsidR="00712E44" w:rsidRDefault="00712E44" w:rsidP="00C535FC">
      <w:pPr>
        <w:pStyle w:val="Odstavecseseznamem"/>
        <w:numPr>
          <w:ilvl w:val="0"/>
          <w:numId w:val="20"/>
        </w:numPr>
        <w:spacing w:line="360" w:lineRule="auto"/>
        <w:jc w:val="both"/>
        <w:rPr>
          <w:b/>
          <w:bCs/>
        </w:rPr>
      </w:pPr>
      <w:r>
        <w:rPr>
          <w:b/>
          <w:bCs/>
        </w:rPr>
        <w:t>áno, veľmi mi pomohli, už ich nevyužívam</w:t>
      </w:r>
    </w:p>
    <w:p w:rsidR="00712E44" w:rsidRDefault="00712E44" w:rsidP="00C535FC">
      <w:pPr>
        <w:pStyle w:val="Odstavecseseznamem"/>
        <w:numPr>
          <w:ilvl w:val="0"/>
          <w:numId w:val="20"/>
        </w:numPr>
        <w:spacing w:line="360" w:lineRule="auto"/>
        <w:jc w:val="both"/>
        <w:rPr>
          <w:b/>
          <w:bCs/>
        </w:rPr>
      </w:pPr>
      <w:r>
        <w:rPr>
          <w:b/>
          <w:bCs/>
        </w:rPr>
        <w:t>áno, stále sledujem ceny aj v starej mene alebo používam eurokalkulačku</w:t>
      </w:r>
    </w:p>
    <w:p w:rsidR="00712E44" w:rsidRDefault="00712E44" w:rsidP="00C535FC">
      <w:pPr>
        <w:pStyle w:val="Odstavecseseznamem"/>
        <w:numPr>
          <w:ilvl w:val="0"/>
          <w:numId w:val="20"/>
        </w:numPr>
        <w:spacing w:line="360" w:lineRule="auto"/>
        <w:jc w:val="both"/>
        <w:rPr>
          <w:b/>
          <w:bCs/>
        </w:rPr>
      </w:pPr>
      <w:r>
        <w:rPr>
          <w:b/>
          <w:bCs/>
        </w:rPr>
        <w:t>nie, s novou menou som od začiatku nemal(a) problémy</w:t>
      </w:r>
    </w:p>
    <w:p w:rsidR="00712E44" w:rsidRPr="00073046" w:rsidRDefault="00712E44" w:rsidP="00C535FC">
      <w:pPr>
        <w:pStyle w:val="Odstavecseseznamem"/>
        <w:numPr>
          <w:ilvl w:val="0"/>
          <w:numId w:val="20"/>
        </w:numPr>
        <w:spacing w:line="360" w:lineRule="auto"/>
        <w:jc w:val="both"/>
        <w:rPr>
          <w:b/>
          <w:bCs/>
        </w:rPr>
      </w:pPr>
      <w:r>
        <w:rPr>
          <w:b/>
          <w:bCs/>
        </w:rPr>
        <w:t xml:space="preserve">nie, z nejakého </w:t>
      </w:r>
      <w:r w:rsidRPr="00D64F1C">
        <w:rPr>
          <w:b/>
          <w:bCs/>
        </w:rPr>
        <w:t>d</w:t>
      </w:r>
      <w:r w:rsidRPr="00D64F1C">
        <w:rPr>
          <w:b/>
        </w:rPr>
        <w:t>ôv</w:t>
      </w:r>
      <w:r w:rsidRPr="00D64F1C">
        <w:rPr>
          <w:b/>
          <w:bCs/>
        </w:rPr>
        <w:t>odu</w:t>
      </w:r>
      <w:r>
        <w:rPr>
          <w:b/>
          <w:bCs/>
        </w:rPr>
        <w:t xml:space="preserve"> mi nová mena aj tak stále robí problémy</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Čtvrtá otázka je věnovaná státním podpůrným prostředkům, jež měli slovenskému obyvatelstvu přechod na novou měnu významně ulehčit. Patří sem především duální zobrazování cen, které bylo i právně ošetřeno. Dalším pomocníkem se stala </w:t>
      </w:r>
      <w:r>
        <w:rPr>
          <w:bCs/>
        </w:rPr>
        <w:br/>
        <w:t xml:space="preserve">tzv. eurokalkulačka, kterou dostala každá domácnost zdarma. Povinnost duálního zobrazování byla dnem 31. prosince 2009 ukončena. Eurokalkulačky měly sloužit k rychlému přepočtu korun na eura ještě před jeho zavedením. I když skončila povinnost duálního zobrazování cen, mají občané v eurokalkulačce velkou náhradu. Teď však slouží k opačnému účelu, </w:t>
      </w:r>
      <w:r>
        <w:rPr>
          <w:bCs/>
        </w:rPr>
        <w:br/>
        <w:t>a to k přepočtu eura na původní slovenskou měnu. Rozdíl třicetinásobku je značně citelný, proto uvědomit si novou hodnotu, je velmi náročný a zdlouhavý proces. Jak státní podpůrné prostředky pomohly občanům při uvedení nové měny do oběhu, mohou naznačit výsledky odpovědí na 4. otázku dotazníkového šetření.</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Na základě odpovědí lze říci (Tab. 6), že tyto prostředky měly smysl, protože pomohly </w:t>
      </w:r>
      <w:r>
        <w:rPr>
          <w:bCs/>
        </w:rPr>
        <w:br/>
        <w:t xml:space="preserve">47 % respondentů, z nichž je ještě 36 % během začátku roku 2010 určitě používalo. Volné názory v poslední části dotazníku potvrzují, že duální zobrazování bylo největším pomocníkem, ale také brzdou při uvědomování si nové hodnoty zboží a služeb.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Zajímavým zjištěním bylo, že více než 33% dotázaných ve věku mezi 31 – 50 lety </w:t>
      </w:r>
      <w:r>
        <w:rPr>
          <w:bCs/>
        </w:rPr>
        <w:br/>
        <w:t>si na novou měnu ani díky pomocným nástrojům nedokázalo po roce zvyknout. Toto zjištění by bylo možné očekávat spíše u nejstarší generace, kde takto odpověděl pouze 1 důchodce. Dokonce 4 důchodci s novou měnou již od začátku neměli vůbec problémy.</w:t>
      </w:r>
    </w:p>
    <w:p w:rsidR="00712E44" w:rsidRPr="00237B96" w:rsidRDefault="00712E44" w:rsidP="00C535FC">
      <w:pPr>
        <w:spacing w:line="360" w:lineRule="auto"/>
        <w:jc w:val="both"/>
        <w:rPr>
          <w:b/>
          <w:bCs/>
        </w:rPr>
      </w:pPr>
    </w:p>
    <w:p w:rsidR="00712E44" w:rsidRDefault="00712E44" w:rsidP="00C535FC">
      <w:pPr>
        <w:spacing w:line="360" w:lineRule="auto"/>
        <w:jc w:val="both"/>
      </w:pPr>
      <w:r>
        <w:t>Tyto výsledky částečně vyvracejí časté tvrzení o nižší přizpůsobivosti starší generace. Samozřejmě není možné z důvodu nízkého zastoupení důchodců v tomto dotazníkovém šetření vyvozovat jasné závěry o jejich zvládnutí nové situace. Ale přesto lze tento výsledek označit za neočekávaný.</w:t>
      </w:r>
    </w:p>
    <w:p w:rsidR="00712E44" w:rsidRDefault="00712E44" w:rsidP="00C535FC">
      <w:pPr>
        <w:spacing w:line="360" w:lineRule="auto"/>
        <w:jc w:val="both"/>
      </w:pPr>
    </w:p>
    <w:p w:rsidR="00712E44" w:rsidRDefault="00712E44" w:rsidP="00C535FC"/>
    <w:p w:rsidR="00712E44" w:rsidRPr="00842D93" w:rsidRDefault="00712E44" w:rsidP="00C535FC">
      <w:pPr>
        <w:spacing w:line="360" w:lineRule="auto"/>
        <w:rPr>
          <w:b/>
          <w:bCs/>
        </w:rPr>
      </w:pPr>
      <w:r>
        <w:rPr>
          <w:b/>
          <w:bCs/>
        </w:rPr>
        <w:lastRenderedPageBreak/>
        <w:t xml:space="preserve">                    Tab. 6 Výsledky týkající se otázky č. 4:</w:t>
      </w:r>
      <w:r w:rsidRPr="00842D93">
        <w:rPr>
          <w:b/>
          <w:bCs/>
        </w:rPr>
        <w:t xml:space="preserve"> </w:t>
      </w:r>
      <w:r>
        <w:rPr>
          <w:b/>
          <w:bCs/>
        </w:rPr>
        <w:t xml:space="preserve">„Uľahčili Vám prechod na </w:t>
      </w:r>
      <w:r>
        <w:rPr>
          <w:b/>
          <w:bCs/>
        </w:rPr>
        <w:br/>
        <w:t xml:space="preserve">                    novú menu štátne podporné prostriedky?“</w:t>
      </w:r>
    </w:p>
    <w:tbl>
      <w:tblPr>
        <w:tblW w:w="0" w:type="auto"/>
        <w:jc w:val="center"/>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03"/>
        <w:gridCol w:w="1063"/>
        <w:gridCol w:w="7"/>
        <w:gridCol w:w="1121"/>
        <w:gridCol w:w="1119"/>
        <w:gridCol w:w="1086"/>
      </w:tblGrid>
      <w:tr w:rsidR="00712E44" w:rsidTr="00045547">
        <w:trPr>
          <w:trHeight w:val="61"/>
          <w:jc w:val="center"/>
        </w:trPr>
        <w:tc>
          <w:tcPr>
            <w:tcW w:w="2203"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4396"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4</w:t>
            </w:r>
          </w:p>
        </w:tc>
      </w:tr>
      <w:tr w:rsidR="00712E44" w:rsidTr="00045547">
        <w:trPr>
          <w:trHeight w:val="24"/>
          <w:jc w:val="center"/>
        </w:trPr>
        <w:tc>
          <w:tcPr>
            <w:tcW w:w="2203" w:type="dxa"/>
            <w:vMerge/>
            <w:vAlign w:val="center"/>
          </w:tcPr>
          <w:p w:rsidR="00712E44" w:rsidRPr="00045547" w:rsidRDefault="00712E44" w:rsidP="00045547">
            <w:pPr>
              <w:spacing w:line="360" w:lineRule="auto"/>
              <w:jc w:val="center"/>
              <w:rPr>
                <w:bCs/>
                <w:sz w:val="16"/>
                <w:szCs w:val="16"/>
              </w:rPr>
            </w:pPr>
          </w:p>
        </w:tc>
        <w:tc>
          <w:tcPr>
            <w:tcW w:w="106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r w:rsidRPr="00045547">
              <w:rPr>
                <w:b/>
                <w:bCs/>
                <w:i/>
                <w:color w:val="C00000"/>
                <w:sz w:val="16"/>
                <w:szCs w:val="16"/>
              </w:rPr>
              <w:t>ano, už je nevyužívám</w:t>
            </w:r>
          </w:p>
        </w:tc>
        <w:tc>
          <w:tcPr>
            <w:tcW w:w="1128"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ano, ještě je používám</w:t>
            </w:r>
          </w:p>
        </w:tc>
        <w:tc>
          <w:tcPr>
            <w:tcW w:w="111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ne, euro mi nedělá problémy</w:t>
            </w:r>
          </w:p>
        </w:tc>
        <w:tc>
          <w:tcPr>
            <w:tcW w:w="108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d) </w:t>
            </w:r>
            <w:r w:rsidRPr="00045547">
              <w:rPr>
                <w:b/>
                <w:bCs/>
                <w:i/>
                <w:color w:val="C00000"/>
                <w:sz w:val="16"/>
                <w:szCs w:val="16"/>
              </w:rPr>
              <w:t>ne, pořád mám s eurem problémy</w:t>
            </w:r>
            <w:r w:rsidRPr="00045547">
              <w:rPr>
                <w:b/>
                <w:bCs/>
                <w:i/>
                <w:color w:val="0070C0"/>
                <w:sz w:val="16"/>
                <w:szCs w:val="16"/>
              </w:rPr>
              <w:t xml:space="preserve"> </w:t>
            </w:r>
          </w:p>
        </w:tc>
      </w:tr>
      <w:tr w:rsidR="00712E44" w:rsidTr="00045547">
        <w:trPr>
          <w:trHeight w:val="61"/>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9</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20</w:t>
            </w:r>
          </w:p>
        </w:tc>
        <w:tc>
          <w:tcPr>
            <w:tcW w:w="1086" w:type="dxa"/>
          </w:tcPr>
          <w:p w:rsidR="00712E44" w:rsidRPr="00045547" w:rsidRDefault="00712E44" w:rsidP="00045547">
            <w:pPr>
              <w:spacing w:line="360" w:lineRule="auto"/>
              <w:jc w:val="center"/>
              <w:rPr>
                <w:bCs/>
                <w:sz w:val="16"/>
                <w:szCs w:val="16"/>
              </w:rPr>
            </w:pPr>
            <w:r w:rsidRPr="00045547">
              <w:rPr>
                <w:bCs/>
                <w:sz w:val="16"/>
                <w:szCs w:val="16"/>
              </w:rPr>
              <w:t>5</w:t>
            </w:r>
          </w:p>
        </w:tc>
      </w:tr>
      <w:tr w:rsidR="00712E44" w:rsidTr="00045547">
        <w:trPr>
          <w:trHeight w:val="61"/>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27</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17</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11</w:t>
            </w:r>
          </w:p>
        </w:tc>
      </w:tr>
      <w:tr w:rsidR="00712E44"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063" w:type="dxa"/>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1128"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36</w:t>
            </w:r>
          </w:p>
        </w:tc>
        <w:tc>
          <w:tcPr>
            <w:tcW w:w="1119" w:type="dxa"/>
            <w:vAlign w:val="center"/>
          </w:tcPr>
          <w:p w:rsidR="00712E44" w:rsidRPr="00045547" w:rsidRDefault="00712E44" w:rsidP="00045547">
            <w:pPr>
              <w:spacing w:line="360" w:lineRule="auto"/>
              <w:jc w:val="center"/>
              <w:rPr>
                <w:b/>
                <w:bCs/>
                <w:sz w:val="16"/>
                <w:szCs w:val="16"/>
              </w:rPr>
            </w:pPr>
            <w:r w:rsidRPr="00045547">
              <w:rPr>
                <w:b/>
                <w:bCs/>
                <w:sz w:val="16"/>
                <w:szCs w:val="16"/>
              </w:rPr>
              <w:t>37</w:t>
            </w:r>
          </w:p>
        </w:tc>
        <w:tc>
          <w:tcPr>
            <w:tcW w:w="1086" w:type="dxa"/>
          </w:tcPr>
          <w:p w:rsidR="00712E44" w:rsidRPr="00045547" w:rsidRDefault="00712E44" w:rsidP="00045547">
            <w:pPr>
              <w:spacing w:line="360" w:lineRule="auto"/>
              <w:jc w:val="center"/>
              <w:rPr>
                <w:b/>
                <w:bCs/>
                <w:sz w:val="16"/>
                <w:szCs w:val="16"/>
              </w:rPr>
            </w:pPr>
            <w:r w:rsidRPr="00045547">
              <w:rPr>
                <w:b/>
                <w:bCs/>
                <w:sz w:val="16"/>
                <w:szCs w:val="16"/>
              </w:rPr>
              <w:t>16</w:t>
            </w:r>
          </w:p>
        </w:tc>
      </w:tr>
      <w:tr w:rsidR="00712E44" w:rsidRPr="00255A8D" w:rsidTr="00045547">
        <w:trPr>
          <w:trHeight w:val="60"/>
          <w:jc w:val="center"/>
        </w:trPr>
        <w:tc>
          <w:tcPr>
            <w:tcW w:w="2203"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4396"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4</w:t>
            </w:r>
          </w:p>
        </w:tc>
      </w:tr>
      <w:tr w:rsidR="00712E44" w:rsidRPr="00F730F2" w:rsidTr="00045547">
        <w:trPr>
          <w:trHeight w:val="23"/>
          <w:jc w:val="center"/>
        </w:trPr>
        <w:tc>
          <w:tcPr>
            <w:tcW w:w="2203" w:type="dxa"/>
            <w:vMerge/>
          </w:tcPr>
          <w:p w:rsidR="00712E44" w:rsidRPr="00045547" w:rsidRDefault="00712E44" w:rsidP="00045547">
            <w:pPr>
              <w:spacing w:line="360" w:lineRule="auto"/>
              <w:jc w:val="center"/>
              <w:rPr>
                <w:bCs/>
                <w:sz w:val="16"/>
                <w:szCs w:val="16"/>
              </w:rPr>
            </w:pPr>
          </w:p>
        </w:tc>
        <w:tc>
          <w:tcPr>
            <w:tcW w:w="1070"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121"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11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08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255A8D" w:rsidTr="00045547">
        <w:trPr>
          <w:trHeight w:val="60"/>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107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121" w:type="dxa"/>
            <w:vAlign w:val="center"/>
          </w:tcPr>
          <w:p w:rsidR="00712E44" w:rsidRPr="00045547" w:rsidRDefault="00712E44" w:rsidP="00045547">
            <w:pPr>
              <w:spacing w:line="360" w:lineRule="auto"/>
              <w:jc w:val="center"/>
              <w:rPr>
                <w:bCs/>
                <w:sz w:val="16"/>
                <w:szCs w:val="16"/>
              </w:rPr>
            </w:pPr>
            <w:r w:rsidRPr="00045547">
              <w:rPr>
                <w:bCs/>
                <w:sz w:val="16"/>
                <w:szCs w:val="16"/>
              </w:rPr>
              <w:t>14</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18</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60"/>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107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121" w:type="dxa"/>
            <w:vAlign w:val="center"/>
          </w:tcPr>
          <w:p w:rsidR="00712E44" w:rsidRPr="00045547" w:rsidRDefault="00712E44" w:rsidP="00045547">
            <w:pPr>
              <w:spacing w:line="360" w:lineRule="auto"/>
              <w:jc w:val="center"/>
              <w:rPr>
                <w:bCs/>
                <w:sz w:val="16"/>
                <w:szCs w:val="16"/>
              </w:rPr>
            </w:pPr>
            <w:r w:rsidRPr="00045547">
              <w:rPr>
                <w:bCs/>
                <w:sz w:val="16"/>
                <w:szCs w:val="16"/>
              </w:rPr>
              <w:t>6</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086" w:type="dxa"/>
          </w:tcPr>
          <w:p w:rsidR="00712E44" w:rsidRPr="00045547" w:rsidRDefault="00712E44" w:rsidP="00045547">
            <w:pPr>
              <w:spacing w:line="360" w:lineRule="auto"/>
              <w:jc w:val="center"/>
              <w:rPr>
                <w:bCs/>
                <w:sz w:val="16"/>
                <w:szCs w:val="16"/>
              </w:rPr>
            </w:pPr>
            <w:r w:rsidRPr="00045547">
              <w:rPr>
                <w:bCs/>
                <w:sz w:val="16"/>
                <w:szCs w:val="16"/>
              </w:rPr>
              <w:t>7</w:t>
            </w:r>
          </w:p>
        </w:tc>
      </w:tr>
      <w:tr w:rsidR="00712E44" w:rsidRPr="00255A8D" w:rsidTr="00045547">
        <w:trPr>
          <w:trHeight w:val="60"/>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107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1"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86" w:type="dxa"/>
          </w:tcPr>
          <w:p w:rsidR="00712E44" w:rsidRPr="00045547" w:rsidRDefault="00712E44" w:rsidP="00045547">
            <w:pPr>
              <w:spacing w:line="360" w:lineRule="auto"/>
              <w:jc w:val="center"/>
              <w:rPr>
                <w:bCs/>
                <w:sz w:val="16"/>
                <w:szCs w:val="16"/>
              </w:rPr>
            </w:pPr>
            <w:r w:rsidRPr="00045547">
              <w:rPr>
                <w:bCs/>
                <w:sz w:val="16"/>
                <w:szCs w:val="16"/>
              </w:rPr>
              <w:t>5</w:t>
            </w:r>
          </w:p>
        </w:tc>
      </w:tr>
      <w:tr w:rsidR="00712E44" w:rsidRPr="00255A8D" w:rsidTr="00045547">
        <w:trPr>
          <w:trHeight w:val="60"/>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107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121"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86" w:type="dxa"/>
          </w:tcPr>
          <w:p w:rsidR="00712E44" w:rsidRPr="00045547" w:rsidRDefault="00712E44" w:rsidP="00045547">
            <w:pPr>
              <w:spacing w:line="360" w:lineRule="auto"/>
              <w:jc w:val="center"/>
              <w:rPr>
                <w:bCs/>
                <w:sz w:val="16"/>
                <w:szCs w:val="16"/>
              </w:rPr>
            </w:pPr>
            <w:r w:rsidRPr="00045547">
              <w:rPr>
                <w:bCs/>
                <w:sz w:val="16"/>
                <w:szCs w:val="16"/>
              </w:rPr>
              <w:t>2</w:t>
            </w:r>
          </w:p>
        </w:tc>
      </w:tr>
      <w:tr w:rsidR="00712E44" w:rsidRPr="00255A8D" w:rsidTr="00045547">
        <w:trPr>
          <w:trHeight w:val="60"/>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1070"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1"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070"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1121" w:type="dxa"/>
            <w:vAlign w:val="center"/>
          </w:tcPr>
          <w:p w:rsidR="00712E44" w:rsidRPr="00045547" w:rsidRDefault="00712E44" w:rsidP="00045547">
            <w:pPr>
              <w:spacing w:line="360" w:lineRule="auto"/>
              <w:jc w:val="center"/>
              <w:rPr>
                <w:b/>
                <w:bCs/>
                <w:sz w:val="16"/>
                <w:szCs w:val="16"/>
              </w:rPr>
            </w:pPr>
            <w:r w:rsidRPr="00045547">
              <w:rPr>
                <w:b/>
                <w:bCs/>
                <w:sz w:val="16"/>
                <w:szCs w:val="16"/>
              </w:rPr>
              <w:t>36</w:t>
            </w:r>
          </w:p>
        </w:tc>
        <w:tc>
          <w:tcPr>
            <w:tcW w:w="1119" w:type="dxa"/>
            <w:vAlign w:val="center"/>
          </w:tcPr>
          <w:p w:rsidR="00712E44" w:rsidRPr="00045547" w:rsidRDefault="00712E44" w:rsidP="00045547">
            <w:pPr>
              <w:spacing w:line="360" w:lineRule="auto"/>
              <w:jc w:val="center"/>
              <w:rPr>
                <w:b/>
                <w:bCs/>
                <w:sz w:val="16"/>
                <w:szCs w:val="16"/>
              </w:rPr>
            </w:pPr>
            <w:r w:rsidRPr="00045547">
              <w:rPr>
                <w:b/>
                <w:bCs/>
                <w:sz w:val="16"/>
                <w:szCs w:val="16"/>
              </w:rPr>
              <w:t>37</w:t>
            </w:r>
          </w:p>
        </w:tc>
        <w:tc>
          <w:tcPr>
            <w:tcW w:w="1086" w:type="dxa"/>
          </w:tcPr>
          <w:p w:rsidR="00712E44" w:rsidRPr="00045547" w:rsidRDefault="00712E44" w:rsidP="00045547">
            <w:pPr>
              <w:spacing w:line="360" w:lineRule="auto"/>
              <w:jc w:val="center"/>
              <w:rPr>
                <w:b/>
                <w:bCs/>
                <w:sz w:val="16"/>
                <w:szCs w:val="16"/>
              </w:rPr>
            </w:pPr>
            <w:r w:rsidRPr="00045547">
              <w:rPr>
                <w:b/>
                <w:bCs/>
                <w:sz w:val="16"/>
                <w:szCs w:val="16"/>
              </w:rPr>
              <w:t>16</w:t>
            </w:r>
          </w:p>
        </w:tc>
      </w:tr>
      <w:tr w:rsidR="00712E44" w:rsidRPr="00B06019" w:rsidTr="00045547">
        <w:trPr>
          <w:trHeight w:val="64"/>
          <w:jc w:val="center"/>
        </w:trPr>
        <w:tc>
          <w:tcPr>
            <w:tcW w:w="2203"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4396"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4</w:t>
            </w:r>
          </w:p>
        </w:tc>
      </w:tr>
      <w:tr w:rsidR="00712E44" w:rsidRPr="00F730F2" w:rsidTr="00045547">
        <w:trPr>
          <w:trHeight w:val="24"/>
          <w:jc w:val="center"/>
        </w:trPr>
        <w:tc>
          <w:tcPr>
            <w:tcW w:w="2203" w:type="dxa"/>
            <w:vMerge/>
            <w:vAlign w:val="center"/>
          </w:tcPr>
          <w:p w:rsidR="00712E44" w:rsidRPr="00045547" w:rsidRDefault="00712E44" w:rsidP="00045547">
            <w:pPr>
              <w:spacing w:line="360" w:lineRule="auto"/>
              <w:jc w:val="center"/>
              <w:rPr>
                <w:bCs/>
                <w:color w:val="00B050"/>
                <w:sz w:val="16"/>
                <w:szCs w:val="16"/>
              </w:rPr>
            </w:pPr>
          </w:p>
        </w:tc>
        <w:tc>
          <w:tcPr>
            <w:tcW w:w="106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128"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119"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08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86"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11</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23</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25</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13</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106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28"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1119"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8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64"/>
          <w:jc w:val="center"/>
        </w:trPr>
        <w:tc>
          <w:tcPr>
            <w:tcW w:w="2203"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063" w:type="dxa"/>
            <w:vAlign w:val="center"/>
          </w:tcPr>
          <w:p w:rsidR="00712E44" w:rsidRPr="00045547" w:rsidRDefault="00712E44" w:rsidP="00045547">
            <w:pPr>
              <w:spacing w:line="360" w:lineRule="auto"/>
              <w:jc w:val="center"/>
              <w:rPr>
                <w:b/>
                <w:bCs/>
                <w:sz w:val="16"/>
                <w:szCs w:val="16"/>
              </w:rPr>
            </w:pPr>
            <w:r w:rsidRPr="00045547">
              <w:rPr>
                <w:b/>
                <w:bCs/>
                <w:sz w:val="16"/>
                <w:szCs w:val="16"/>
              </w:rPr>
              <w:t>11</w:t>
            </w:r>
          </w:p>
        </w:tc>
        <w:tc>
          <w:tcPr>
            <w:tcW w:w="1128"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36</w:t>
            </w:r>
          </w:p>
        </w:tc>
        <w:tc>
          <w:tcPr>
            <w:tcW w:w="1119" w:type="dxa"/>
            <w:vAlign w:val="center"/>
          </w:tcPr>
          <w:p w:rsidR="00712E44" w:rsidRPr="00045547" w:rsidRDefault="00712E44" w:rsidP="00045547">
            <w:pPr>
              <w:spacing w:line="360" w:lineRule="auto"/>
              <w:jc w:val="center"/>
              <w:rPr>
                <w:b/>
                <w:bCs/>
                <w:sz w:val="16"/>
                <w:szCs w:val="16"/>
              </w:rPr>
            </w:pPr>
            <w:r w:rsidRPr="00045547">
              <w:rPr>
                <w:b/>
                <w:bCs/>
                <w:sz w:val="16"/>
                <w:szCs w:val="16"/>
              </w:rPr>
              <w:t>37</w:t>
            </w:r>
          </w:p>
        </w:tc>
        <w:tc>
          <w:tcPr>
            <w:tcW w:w="1086" w:type="dxa"/>
          </w:tcPr>
          <w:p w:rsidR="00712E44" w:rsidRPr="00045547" w:rsidRDefault="00712E44" w:rsidP="00045547">
            <w:pPr>
              <w:spacing w:line="360" w:lineRule="auto"/>
              <w:jc w:val="center"/>
              <w:rPr>
                <w:b/>
                <w:bCs/>
                <w:sz w:val="16"/>
                <w:szCs w:val="16"/>
              </w:rPr>
            </w:pPr>
            <w:r w:rsidRPr="00045547">
              <w:rPr>
                <w:b/>
                <w:bCs/>
                <w:sz w:val="16"/>
                <w:szCs w:val="16"/>
              </w:rPr>
              <w:t>16</w:t>
            </w:r>
          </w:p>
        </w:tc>
      </w:tr>
    </w:tbl>
    <w:p w:rsidR="00712E44" w:rsidRDefault="00712E44" w:rsidP="00F944EF">
      <w:pPr>
        <w:spacing w:line="360" w:lineRule="auto"/>
        <w:jc w:val="both"/>
        <w:rPr>
          <w:bCs/>
          <w:i/>
          <w:sz w:val="20"/>
          <w:szCs w:val="20"/>
        </w:rPr>
      </w:pPr>
      <w:r>
        <w:rPr>
          <w:bCs/>
          <w:i/>
          <w:sz w:val="20"/>
          <w:szCs w:val="20"/>
        </w:rPr>
        <w:t xml:space="preserve">                        Zdroj: vlastní zpracování</w:t>
      </w:r>
    </w:p>
    <w:p w:rsidR="00712E44" w:rsidRDefault="00712E44" w:rsidP="00F944EF">
      <w:pPr>
        <w:spacing w:line="360" w:lineRule="auto"/>
      </w:pPr>
    </w:p>
    <w:p w:rsidR="00712E44" w:rsidRPr="00BA759D" w:rsidRDefault="00712E44" w:rsidP="00F944EF">
      <w:pPr>
        <w:spacing w:line="360" w:lineRule="auto"/>
        <w:jc w:val="both"/>
        <w:rPr>
          <w:bCs/>
        </w:rPr>
      </w:pPr>
      <w:r w:rsidRPr="002536F2">
        <w:rPr>
          <w:bCs/>
        </w:rPr>
        <w:t xml:space="preserve">Otázka č. </w:t>
      </w:r>
      <w:r>
        <w:rPr>
          <w:bCs/>
        </w:rPr>
        <w:t>5</w:t>
      </w:r>
      <w:r w:rsidRPr="002536F2">
        <w:rPr>
          <w:bCs/>
        </w:rPr>
        <w:t xml:space="preserve">: </w:t>
      </w:r>
      <w:r>
        <w:rPr>
          <w:b/>
          <w:bCs/>
        </w:rPr>
        <w:t xml:space="preserve">„Myslíte si, že došlo k zvýšeniu cien výrobkov (služieb) v súvislosti </w:t>
      </w:r>
      <w:r>
        <w:rPr>
          <w:b/>
          <w:bCs/>
        </w:rPr>
        <w:br/>
        <w:t xml:space="preserve">so zavedením novej meny?“ </w:t>
      </w:r>
    </w:p>
    <w:p w:rsidR="00712E44" w:rsidRDefault="00712E44" w:rsidP="00C535FC">
      <w:pPr>
        <w:pStyle w:val="Odstavecseseznamem"/>
        <w:numPr>
          <w:ilvl w:val="0"/>
          <w:numId w:val="21"/>
        </w:numPr>
        <w:spacing w:line="360" w:lineRule="auto"/>
        <w:jc w:val="both"/>
        <w:rPr>
          <w:b/>
          <w:bCs/>
        </w:rPr>
      </w:pPr>
      <w:r>
        <w:rPr>
          <w:b/>
          <w:bCs/>
        </w:rPr>
        <w:t>áno, u prevažnej väčšiny výrobkov (služieb)</w:t>
      </w:r>
    </w:p>
    <w:p w:rsidR="00712E44" w:rsidRDefault="00712E44" w:rsidP="00C535FC">
      <w:pPr>
        <w:pStyle w:val="Odstavecseseznamem"/>
        <w:numPr>
          <w:ilvl w:val="0"/>
          <w:numId w:val="21"/>
        </w:numPr>
        <w:spacing w:line="360" w:lineRule="auto"/>
        <w:jc w:val="both"/>
        <w:rPr>
          <w:b/>
          <w:bCs/>
        </w:rPr>
      </w:pPr>
      <w:r>
        <w:rPr>
          <w:b/>
          <w:bCs/>
        </w:rPr>
        <w:t>áno, ale len u niektorých výrobkov (služieb)</w:t>
      </w:r>
    </w:p>
    <w:p w:rsidR="00712E44" w:rsidRDefault="00712E44" w:rsidP="00C535FC">
      <w:pPr>
        <w:pStyle w:val="Odstavecseseznamem"/>
        <w:numPr>
          <w:ilvl w:val="0"/>
          <w:numId w:val="21"/>
        </w:numPr>
        <w:spacing w:line="360" w:lineRule="auto"/>
        <w:jc w:val="both"/>
        <w:rPr>
          <w:b/>
          <w:bCs/>
        </w:rPr>
      </w:pPr>
      <w:r>
        <w:rPr>
          <w:b/>
          <w:bCs/>
        </w:rPr>
        <w:t>nie, nemyslím si to</w:t>
      </w:r>
    </w:p>
    <w:p w:rsidR="00712E44" w:rsidRDefault="00712E44" w:rsidP="00C535FC">
      <w:pPr>
        <w:pStyle w:val="Odstavecseseznamem"/>
        <w:numPr>
          <w:ilvl w:val="0"/>
          <w:numId w:val="21"/>
        </w:numPr>
        <w:spacing w:line="360" w:lineRule="auto"/>
        <w:jc w:val="both"/>
        <w:rPr>
          <w:b/>
          <w:bCs/>
        </w:rPr>
      </w:pPr>
      <w:r>
        <w:rPr>
          <w:b/>
          <w:bCs/>
        </w:rPr>
        <w:t>neviem, ceny nesledujem</w:t>
      </w:r>
    </w:p>
    <w:p w:rsidR="00712E44" w:rsidRPr="00EE041A" w:rsidRDefault="00712E44" w:rsidP="00C535FC">
      <w:pPr>
        <w:spacing w:line="360" w:lineRule="auto"/>
        <w:ind w:left="705"/>
        <w:jc w:val="both"/>
        <w:rPr>
          <w:b/>
          <w:bCs/>
        </w:rPr>
      </w:pPr>
    </w:p>
    <w:p w:rsidR="00712E44" w:rsidRDefault="00712E44" w:rsidP="00C535FC">
      <w:pPr>
        <w:spacing w:line="360" w:lineRule="auto"/>
        <w:jc w:val="both"/>
        <w:rPr>
          <w:bCs/>
        </w:rPr>
      </w:pPr>
      <w:r>
        <w:rPr>
          <w:bCs/>
        </w:rPr>
        <w:t xml:space="preserve">Příchod eura, konkrétně z hlediska obávaného zdražování (Tab. 7), vnímalo 35% respondentů </w:t>
      </w:r>
      <w:r>
        <w:rPr>
          <w:bCs/>
        </w:rPr>
        <w:br/>
        <w:t xml:space="preserve">dle očekávání. 45 % dotázaných mělo pocit zdražení jen u některých komodit a služeb </w:t>
      </w:r>
      <w:r>
        <w:rPr>
          <w:bCs/>
        </w:rPr>
        <w:br/>
        <w:t xml:space="preserve">a necelá pětina se vyjádřila, že tato očekávání byla neopodstatněná. </w:t>
      </w:r>
    </w:p>
    <w:p w:rsidR="00712E44" w:rsidRDefault="00712E44" w:rsidP="00C535FC">
      <w:pPr>
        <w:spacing w:line="360" w:lineRule="auto"/>
        <w:jc w:val="both"/>
        <w:rPr>
          <w:bCs/>
        </w:rPr>
      </w:pPr>
    </w:p>
    <w:p w:rsidR="00712E44" w:rsidRDefault="00712E44" w:rsidP="00F944EF">
      <w:pPr>
        <w:spacing w:line="360" w:lineRule="auto"/>
        <w:jc w:val="both"/>
        <w:rPr>
          <w:bCs/>
        </w:rPr>
      </w:pPr>
      <w:r>
        <w:rPr>
          <w:bCs/>
        </w:rPr>
        <w:t xml:space="preserve">U důchodců lze předpokládat vnímavější přístup, a to z důvodu, že už nemají tolik možností zvyšovat svůj důchod, takže se sledování cen věnují nejvíce. Do této skupiny je možné </w:t>
      </w:r>
      <w:r>
        <w:rPr>
          <w:bCs/>
        </w:rPr>
        <w:lastRenderedPageBreak/>
        <w:t xml:space="preserve">připočítat i nezaměstnané, z nichž většina odpověděla stejně jako i většina důchodců, </w:t>
      </w:r>
      <w:r>
        <w:rPr>
          <w:bCs/>
        </w:rPr>
        <w:br/>
        <w:t>a to, že ke zvýšení cen došlo, ale jen u některých výrobků, či služeb.</w:t>
      </w:r>
    </w:p>
    <w:p w:rsidR="00712E44" w:rsidRDefault="00712E44" w:rsidP="00F944EF">
      <w:pPr>
        <w:jc w:val="center"/>
        <w:rPr>
          <w:b/>
          <w:bCs/>
        </w:rPr>
      </w:pPr>
    </w:p>
    <w:p w:rsidR="00712E44" w:rsidRPr="00842D93" w:rsidRDefault="00712E44" w:rsidP="00F944EF">
      <w:pPr>
        <w:spacing w:line="276" w:lineRule="auto"/>
        <w:rPr>
          <w:b/>
          <w:bCs/>
        </w:rPr>
      </w:pPr>
      <w:r>
        <w:rPr>
          <w:b/>
          <w:bCs/>
        </w:rPr>
        <w:t xml:space="preserve">                         Tab. 7 Výsledky týkající se otázky č. 5: „Myslíte si, že došlo </w:t>
      </w:r>
      <w:r>
        <w:rPr>
          <w:b/>
          <w:bCs/>
        </w:rPr>
        <w:br/>
        <w:t xml:space="preserve">                         k zvýšeniu cien výrobkov (služieb) v súvislosti so zavedením </w:t>
      </w:r>
      <w:r>
        <w:rPr>
          <w:b/>
          <w:bCs/>
        </w:rPr>
        <w:br/>
        <w:t xml:space="preserve">                         novej meny?“</w:t>
      </w:r>
    </w:p>
    <w:tbl>
      <w:tblPr>
        <w:tblW w:w="0" w:type="auto"/>
        <w:jc w:val="center"/>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17"/>
        <w:gridCol w:w="945"/>
        <w:gridCol w:w="9"/>
        <w:gridCol w:w="1023"/>
        <w:gridCol w:w="1023"/>
        <w:gridCol w:w="995"/>
      </w:tblGrid>
      <w:tr w:rsidR="00712E44" w:rsidTr="00045547">
        <w:trPr>
          <w:trHeight w:val="353"/>
          <w:jc w:val="center"/>
        </w:trPr>
        <w:tc>
          <w:tcPr>
            <w:tcW w:w="2017"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3995"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5</w:t>
            </w:r>
          </w:p>
        </w:tc>
      </w:tr>
      <w:tr w:rsidR="00712E44" w:rsidTr="00045547">
        <w:trPr>
          <w:trHeight w:val="136"/>
          <w:jc w:val="center"/>
        </w:trPr>
        <w:tc>
          <w:tcPr>
            <w:tcW w:w="2017" w:type="dxa"/>
            <w:vMerge/>
            <w:vAlign w:val="center"/>
          </w:tcPr>
          <w:p w:rsidR="00712E44" w:rsidRPr="00045547" w:rsidRDefault="00712E44" w:rsidP="00045547">
            <w:pPr>
              <w:spacing w:line="360" w:lineRule="auto"/>
              <w:jc w:val="center"/>
              <w:rPr>
                <w:bCs/>
                <w:sz w:val="16"/>
                <w:szCs w:val="16"/>
              </w:rPr>
            </w:pPr>
          </w:p>
        </w:tc>
        <w:tc>
          <w:tcPr>
            <w:tcW w:w="945"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r w:rsidRPr="00045547">
              <w:rPr>
                <w:b/>
                <w:bCs/>
                <w:i/>
                <w:color w:val="C00000"/>
                <w:sz w:val="16"/>
                <w:szCs w:val="16"/>
              </w:rPr>
              <w:t>ano,</w:t>
            </w:r>
            <w:r w:rsidRPr="00045547">
              <w:rPr>
                <w:b/>
                <w:bCs/>
                <w:i/>
                <w:color w:val="C00000"/>
                <w:sz w:val="16"/>
                <w:szCs w:val="16"/>
              </w:rPr>
              <w:br/>
              <w:t xml:space="preserve"> u většiny výrobků (služeb)</w:t>
            </w:r>
          </w:p>
        </w:tc>
        <w:tc>
          <w:tcPr>
            <w:tcW w:w="1032"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 xml:space="preserve">ano, </w:t>
            </w:r>
            <w:r w:rsidRPr="00045547">
              <w:rPr>
                <w:b/>
                <w:bCs/>
                <w:i/>
                <w:color w:val="C00000"/>
                <w:sz w:val="16"/>
                <w:szCs w:val="16"/>
              </w:rPr>
              <w:br/>
              <w:t>u některých výrobků (služeb)</w:t>
            </w:r>
          </w:p>
        </w:tc>
        <w:tc>
          <w:tcPr>
            <w:tcW w:w="102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ne, nemyslím si to</w:t>
            </w:r>
          </w:p>
        </w:tc>
        <w:tc>
          <w:tcPr>
            <w:tcW w:w="995"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d) </w:t>
            </w:r>
            <w:r w:rsidRPr="00045547">
              <w:rPr>
                <w:b/>
                <w:bCs/>
                <w:i/>
                <w:color w:val="C00000"/>
                <w:sz w:val="16"/>
                <w:szCs w:val="16"/>
              </w:rPr>
              <w:t>nevím, ceny nesleduji</w:t>
            </w:r>
          </w:p>
        </w:tc>
      </w:tr>
      <w:tr w:rsidR="00712E44" w:rsidTr="00045547">
        <w:trPr>
          <w:trHeight w:val="353"/>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9</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20</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Tr="00045547">
        <w:trPr>
          <w:trHeight w:val="353"/>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26</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25</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10</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r>
      <w:tr w:rsidR="00712E44" w:rsidTr="00045547">
        <w:trPr>
          <w:trHeight w:val="366"/>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945" w:type="dxa"/>
            <w:vAlign w:val="center"/>
          </w:tcPr>
          <w:p w:rsidR="00712E44" w:rsidRPr="00045547" w:rsidRDefault="00712E44" w:rsidP="00045547">
            <w:pPr>
              <w:spacing w:line="360" w:lineRule="auto"/>
              <w:jc w:val="center"/>
              <w:rPr>
                <w:b/>
                <w:bCs/>
                <w:sz w:val="16"/>
                <w:szCs w:val="16"/>
              </w:rPr>
            </w:pPr>
            <w:r w:rsidRPr="00045547">
              <w:rPr>
                <w:b/>
                <w:bCs/>
                <w:sz w:val="16"/>
                <w:szCs w:val="16"/>
              </w:rPr>
              <w:t>35</w:t>
            </w:r>
          </w:p>
        </w:tc>
        <w:tc>
          <w:tcPr>
            <w:tcW w:w="1032"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45</w:t>
            </w:r>
          </w:p>
        </w:tc>
        <w:tc>
          <w:tcPr>
            <w:tcW w:w="1023" w:type="dxa"/>
            <w:vAlign w:val="center"/>
          </w:tcPr>
          <w:p w:rsidR="00712E44" w:rsidRPr="00045547" w:rsidRDefault="00712E44" w:rsidP="00045547">
            <w:pPr>
              <w:spacing w:line="360" w:lineRule="auto"/>
              <w:jc w:val="center"/>
              <w:rPr>
                <w:b/>
                <w:bCs/>
                <w:sz w:val="16"/>
                <w:szCs w:val="16"/>
              </w:rPr>
            </w:pPr>
            <w:r w:rsidRPr="00045547">
              <w:rPr>
                <w:b/>
                <w:bCs/>
                <w:sz w:val="16"/>
                <w:szCs w:val="16"/>
              </w:rPr>
              <w:t>17</w:t>
            </w:r>
          </w:p>
        </w:tc>
        <w:tc>
          <w:tcPr>
            <w:tcW w:w="995" w:type="dxa"/>
            <w:vAlign w:val="center"/>
          </w:tcPr>
          <w:p w:rsidR="00712E44" w:rsidRPr="00045547" w:rsidRDefault="00712E44" w:rsidP="00045547">
            <w:pPr>
              <w:spacing w:line="360" w:lineRule="auto"/>
              <w:jc w:val="center"/>
              <w:rPr>
                <w:b/>
                <w:bCs/>
                <w:sz w:val="16"/>
                <w:szCs w:val="16"/>
              </w:rPr>
            </w:pPr>
            <w:r w:rsidRPr="00045547">
              <w:rPr>
                <w:b/>
                <w:bCs/>
                <w:sz w:val="16"/>
                <w:szCs w:val="16"/>
              </w:rPr>
              <w:t>3</w:t>
            </w:r>
          </w:p>
        </w:tc>
      </w:tr>
      <w:tr w:rsidR="00712E44" w:rsidRPr="00255A8D" w:rsidTr="00045547">
        <w:trPr>
          <w:trHeight w:val="345"/>
          <w:jc w:val="center"/>
        </w:trPr>
        <w:tc>
          <w:tcPr>
            <w:tcW w:w="2017"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3995"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5</w:t>
            </w:r>
          </w:p>
        </w:tc>
      </w:tr>
      <w:tr w:rsidR="00712E44" w:rsidRPr="00F730F2" w:rsidTr="00045547">
        <w:trPr>
          <w:trHeight w:val="134"/>
          <w:jc w:val="center"/>
        </w:trPr>
        <w:tc>
          <w:tcPr>
            <w:tcW w:w="2017" w:type="dxa"/>
            <w:vMerge/>
          </w:tcPr>
          <w:p w:rsidR="00712E44" w:rsidRPr="00045547" w:rsidRDefault="00712E44" w:rsidP="00045547">
            <w:pPr>
              <w:spacing w:line="360" w:lineRule="auto"/>
              <w:jc w:val="center"/>
              <w:rPr>
                <w:bCs/>
                <w:sz w:val="16"/>
                <w:szCs w:val="16"/>
              </w:rPr>
            </w:pPr>
          </w:p>
        </w:tc>
        <w:tc>
          <w:tcPr>
            <w:tcW w:w="954"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02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02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995"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255A8D" w:rsidTr="00045547">
        <w:trPr>
          <w:trHeight w:val="345"/>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954"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 xml:space="preserve">14 </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14</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345"/>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954"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15</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255A8D" w:rsidTr="00045547">
        <w:trPr>
          <w:trHeight w:val="345"/>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954"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255A8D" w:rsidTr="00045547">
        <w:trPr>
          <w:trHeight w:val="345"/>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954"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8</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3</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255A8D" w:rsidTr="00045547">
        <w:trPr>
          <w:trHeight w:val="345"/>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954"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r>
      <w:tr w:rsidR="00712E44" w:rsidRPr="00255A8D" w:rsidTr="00045547">
        <w:trPr>
          <w:trHeight w:val="359"/>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954"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35</w:t>
            </w:r>
          </w:p>
        </w:tc>
        <w:tc>
          <w:tcPr>
            <w:tcW w:w="1023" w:type="dxa"/>
            <w:vAlign w:val="center"/>
          </w:tcPr>
          <w:p w:rsidR="00712E44" w:rsidRPr="00045547" w:rsidRDefault="00712E44" w:rsidP="00045547">
            <w:pPr>
              <w:spacing w:line="360" w:lineRule="auto"/>
              <w:jc w:val="center"/>
              <w:rPr>
                <w:b/>
                <w:bCs/>
                <w:sz w:val="16"/>
                <w:szCs w:val="16"/>
              </w:rPr>
            </w:pPr>
            <w:r w:rsidRPr="00045547">
              <w:rPr>
                <w:b/>
                <w:bCs/>
                <w:sz w:val="16"/>
                <w:szCs w:val="16"/>
              </w:rPr>
              <w:t>45</w:t>
            </w:r>
          </w:p>
        </w:tc>
        <w:tc>
          <w:tcPr>
            <w:tcW w:w="1023" w:type="dxa"/>
            <w:vAlign w:val="center"/>
          </w:tcPr>
          <w:p w:rsidR="00712E44" w:rsidRPr="00045547" w:rsidRDefault="00712E44" w:rsidP="00045547">
            <w:pPr>
              <w:spacing w:line="360" w:lineRule="auto"/>
              <w:jc w:val="center"/>
              <w:rPr>
                <w:b/>
                <w:bCs/>
                <w:sz w:val="16"/>
                <w:szCs w:val="16"/>
              </w:rPr>
            </w:pPr>
            <w:r w:rsidRPr="00045547">
              <w:rPr>
                <w:b/>
                <w:bCs/>
                <w:sz w:val="16"/>
                <w:szCs w:val="16"/>
              </w:rPr>
              <w:t>17</w:t>
            </w:r>
          </w:p>
        </w:tc>
        <w:tc>
          <w:tcPr>
            <w:tcW w:w="995" w:type="dxa"/>
            <w:vAlign w:val="center"/>
          </w:tcPr>
          <w:p w:rsidR="00712E44" w:rsidRPr="00045547" w:rsidRDefault="00712E44" w:rsidP="00045547">
            <w:pPr>
              <w:spacing w:line="360" w:lineRule="auto"/>
              <w:jc w:val="center"/>
              <w:rPr>
                <w:b/>
                <w:bCs/>
                <w:sz w:val="16"/>
                <w:szCs w:val="16"/>
              </w:rPr>
            </w:pPr>
            <w:r w:rsidRPr="00045547">
              <w:rPr>
                <w:b/>
                <w:bCs/>
                <w:sz w:val="16"/>
                <w:szCs w:val="16"/>
              </w:rPr>
              <w:t>3</w:t>
            </w:r>
          </w:p>
        </w:tc>
      </w:tr>
      <w:tr w:rsidR="00712E44" w:rsidRPr="00B06019" w:rsidTr="00045547">
        <w:trPr>
          <w:trHeight w:val="364"/>
          <w:jc w:val="center"/>
        </w:trPr>
        <w:tc>
          <w:tcPr>
            <w:tcW w:w="2017"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3995" w:type="dxa"/>
            <w:gridSpan w:val="5"/>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5</w:t>
            </w:r>
          </w:p>
        </w:tc>
      </w:tr>
      <w:tr w:rsidR="00712E44" w:rsidRPr="00F730F2" w:rsidTr="00045547">
        <w:trPr>
          <w:trHeight w:val="139"/>
          <w:jc w:val="center"/>
        </w:trPr>
        <w:tc>
          <w:tcPr>
            <w:tcW w:w="2017" w:type="dxa"/>
            <w:vMerge/>
            <w:vAlign w:val="center"/>
          </w:tcPr>
          <w:p w:rsidR="00712E44" w:rsidRPr="00045547" w:rsidRDefault="00712E44" w:rsidP="00045547">
            <w:pPr>
              <w:spacing w:line="360" w:lineRule="auto"/>
              <w:jc w:val="center"/>
              <w:rPr>
                <w:bCs/>
                <w:color w:val="00B050"/>
                <w:sz w:val="16"/>
                <w:szCs w:val="16"/>
              </w:rPr>
            </w:pPr>
          </w:p>
        </w:tc>
        <w:tc>
          <w:tcPr>
            <w:tcW w:w="945"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032"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023"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995"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30</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31</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11</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4</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945"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32"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7</w:t>
            </w:r>
          </w:p>
        </w:tc>
        <w:tc>
          <w:tcPr>
            <w:tcW w:w="1023"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995"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r>
      <w:tr w:rsidR="00712E44" w:rsidRPr="00B06019" w:rsidTr="00045547">
        <w:trPr>
          <w:trHeight w:val="364"/>
          <w:jc w:val="center"/>
        </w:trPr>
        <w:tc>
          <w:tcPr>
            <w:tcW w:w="2017"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945" w:type="dxa"/>
            <w:vAlign w:val="center"/>
          </w:tcPr>
          <w:p w:rsidR="00712E44" w:rsidRPr="00045547" w:rsidRDefault="00712E44" w:rsidP="00045547">
            <w:pPr>
              <w:spacing w:line="360" w:lineRule="auto"/>
              <w:jc w:val="center"/>
              <w:rPr>
                <w:b/>
                <w:bCs/>
                <w:sz w:val="16"/>
                <w:szCs w:val="16"/>
              </w:rPr>
            </w:pPr>
            <w:r w:rsidRPr="00045547">
              <w:rPr>
                <w:b/>
                <w:bCs/>
                <w:sz w:val="16"/>
                <w:szCs w:val="16"/>
              </w:rPr>
              <w:t>35</w:t>
            </w:r>
          </w:p>
        </w:tc>
        <w:tc>
          <w:tcPr>
            <w:tcW w:w="1032"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45</w:t>
            </w:r>
          </w:p>
        </w:tc>
        <w:tc>
          <w:tcPr>
            <w:tcW w:w="1023" w:type="dxa"/>
            <w:vAlign w:val="center"/>
          </w:tcPr>
          <w:p w:rsidR="00712E44" w:rsidRPr="00045547" w:rsidRDefault="00712E44" w:rsidP="00045547">
            <w:pPr>
              <w:spacing w:line="360" w:lineRule="auto"/>
              <w:jc w:val="center"/>
              <w:rPr>
                <w:b/>
                <w:bCs/>
                <w:sz w:val="16"/>
                <w:szCs w:val="16"/>
              </w:rPr>
            </w:pPr>
            <w:r w:rsidRPr="00045547">
              <w:rPr>
                <w:b/>
                <w:bCs/>
                <w:sz w:val="16"/>
                <w:szCs w:val="16"/>
              </w:rPr>
              <w:t>17</w:t>
            </w:r>
          </w:p>
        </w:tc>
        <w:tc>
          <w:tcPr>
            <w:tcW w:w="995" w:type="dxa"/>
            <w:vAlign w:val="center"/>
          </w:tcPr>
          <w:p w:rsidR="00712E44" w:rsidRPr="00045547" w:rsidRDefault="00712E44" w:rsidP="00045547">
            <w:pPr>
              <w:spacing w:line="360" w:lineRule="auto"/>
              <w:jc w:val="center"/>
              <w:rPr>
                <w:b/>
                <w:bCs/>
                <w:sz w:val="16"/>
                <w:szCs w:val="16"/>
              </w:rPr>
            </w:pPr>
            <w:r w:rsidRPr="00045547">
              <w:rPr>
                <w:b/>
                <w:bCs/>
                <w:sz w:val="16"/>
                <w:szCs w:val="16"/>
              </w:rPr>
              <w:t>3</w:t>
            </w:r>
          </w:p>
        </w:tc>
      </w:tr>
    </w:tbl>
    <w:p w:rsidR="00712E44" w:rsidRDefault="00712E44" w:rsidP="00F944EF">
      <w:pPr>
        <w:jc w:val="both"/>
        <w:rPr>
          <w:bCs/>
          <w:i/>
          <w:sz w:val="20"/>
          <w:szCs w:val="20"/>
        </w:rPr>
      </w:pPr>
      <w:r>
        <w:rPr>
          <w:bCs/>
          <w:i/>
          <w:sz w:val="20"/>
          <w:szCs w:val="20"/>
        </w:rPr>
        <w:t xml:space="preserve">                              Zdroj: vlastní zpracování</w:t>
      </w:r>
    </w:p>
    <w:p w:rsidR="00712E44" w:rsidRDefault="00712E44" w:rsidP="00F944EF">
      <w:pPr>
        <w:jc w:val="both"/>
        <w:rPr>
          <w:bCs/>
        </w:rPr>
      </w:pPr>
    </w:p>
    <w:p w:rsidR="00712E44" w:rsidRDefault="00712E44" w:rsidP="00F944EF">
      <w:pPr>
        <w:jc w:val="both"/>
        <w:rPr>
          <w:bCs/>
        </w:rPr>
      </w:pPr>
    </w:p>
    <w:p w:rsidR="00712E44" w:rsidRPr="00BA759D" w:rsidRDefault="00712E44" w:rsidP="00F944EF">
      <w:pPr>
        <w:spacing w:line="360" w:lineRule="auto"/>
        <w:jc w:val="both"/>
        <w:rPr>
          <w:bCs/>
        </w:rPr>
      </w:pPr>
      <w:r w:rsidRPr="002536F2">
        <w:rPr>
          <w:bCs/>
        </w:rPr>
        <w:t xml:space="preserve">Otázka č. </w:t>
      </w:r>
      <w:r>
        <w:rPr>
          <w:bCs/>
        </w:rPr>
        <w:t>6</w:t>
      </w:r>
      <w:r w:rsidRPr="002536F2">
        <w:rPr>
          <w:bCs/>
        </w:rPr>
        <w:t xml:space="preserve">: </w:t>
      </w:r>
      <w:r>
        <w:rPr>
          <w:b/>
          <w:bCs/>
        </w:rPr>
        <w:t xml:space="preserve">„Ktorá skupina obyvateľstva, podľa Vášho názoru, mala najväčší problém s prechodom koruny na euro?“ </w:t>
      </w:r>
    </w:p>
    <w:p w:rsidR="00712E44" w:rsidRDefault="00712E44" w:rsidP="00F944EF">
      <w:pPr>
        <w:pStyle w:val="Odstavecseseznamem"/>
        <w:numPr>
          <w:ilvl w:val="0"/>
          <w:numId w:val="22"/>
        </w:numPr>
        <w:spacing w:line="360" w:lineRule="auto"/>
        <w:jc w:val="both"/>
        <w:rPr>
          <w:b/>
          <w:bCs/>
        </w:rPr>
      </w:pPr>
      <w:r>
        <w:rPr>
          <w:b/>
          <w:bCs/>
        </w:rPr>
        <w:t>maloletí</w:t>
      </w:r>
    </w:p>
    <w:p w:rsidR="00712E44" w:rsidRDefault="00712E44" w:rsidP="00C535FC">
      <w:pPr>
        <w:pStyle w:val="Odstavecseseznamem"/>
        <w:numPr>
          <w:ilvl w:val="0"/>
          <w:numId w:val="22"/>
        </w:numPr>
        <w:spacing w:line="360" w:lineRule="auto"/>
        <w:jc w:val="both"/>
        <w:rPr>
          <w:b/>
          <w:bCs/>
        </w:rPr>
      </w:pPr>
      <w:r>
        <w:rPr>
          <w:b/>
          <w:bCs/>
        </w:rPr>
        <w:t>študenti</w:t>
      </w:r>
    </w:p>
    <w:p w:rsidR="00712E44" w:rsidRDefault="00712E44" w:rsidP="00C535FC">
      <w:pPr>
        <w:pStyle w:val="Odstavecseseznamem"/>
        <w:numPr>
          <w:ilvl w:val="0"/>
          <w:numId w:val="22"/>
        </w:numPr>
        <w:spacing w:line="360" w:lineRule="auto"/>
        <w:jc w:val="both"/>
        <w:rPr>
          <w:b/>
          <w:bCs/>
        </w:rPr>
      </w:pPr>
      <w:r>
        <w:rPr>
          <w:b/>
          <w:bCs/>
        </w:rPr>
        <w:t>obyvatelia v produktívnom veku</w:t>
      </w:r>
    </w:p>
    <w:p w:rsidR="00712E44" w:rsidRDefault="00712E44" w:rsidP="00C535FC">
      <w:pPr>
        <w:pStyle w:val="Odstavecseseznamem"/>
        <w:numPr>
          <w:ilvl w:val="0"/>
          <w:numId w:val="22"/>
        </w:numPr>
        <w:spacing w:line="360" w:lineRule="auto"/>
        <w:jc w:val="both"/>
        <w:rPr>
          <w:b/>
          <w:bCs/>
        </w:rPr>
      </w:pPr>
      <w:r>
        <w:rPr>
          <w:b/>
          <w:bCs/>
        </w:rPr>
        <w:t>d</w:t>
      </w:r>
      <w:r w:rsidRPr="00D64F1C">
        <w:rPr>
          <w:b/>
        </w:rPr>
        <w:t>ô</w:t>
      </w:r>
      <w:r w:rsidRPr="00D64F1C">
        <w:rPr>
          <w:b/>
          <w:bCs/>
        </w:rPr>
        <w:t>c</w:t>
      </w:r>
      <w:r>
        <w:rPr>
          <w:b/>
          <w:bCs/>
        </w:rPr>
        <w:t>hodcovia</w:t>
      </w:r>
    </w:p>
    <w:p w:rsidR="00712E44" w:rsidRDefault="00712E44" w:rsidP="00C535FC">
      <w:pPr>
        <w:pStyle w:val="Odstavecseseznamem"/>
        <w:numPr>
          <w:ilvl w:val="0"/>
          <w:numId w:val="22"/>
        </w:numPr>
        <w:spacing w:line="360" w:lineRule="auto"/>
        <w:jc w:val="both"/>
        <w:rPr>
          <w:b/>
          <w:bCs/>
        </w:rPr>
      </w:pPr>
      <w:r>
        <w:rPr>
          <w:b/>
          <w:bCs/>
        </w:rPr>
        <w:t>podnikatelia</w:t>
      </w:r>
    </w:p>
    <w:p w:rsidR="00712E44" w:rsidRDefault="00712E44" w:rsidP="00C535FC">
      <w:pPr>
        <w:spacing w:line="360" w:lineRule="auto"/>
        <w:jc w:val="both"/>
        <w:rPr>
          <w:bCs/>
        </w:rPr>
      </w:pPr>
      <w:r>
        <w:rPr>
          <w:bCs/>
        </w:rPr>
        <w:lastRenderedPageBreak/>
        <w:t xml:space="preserve">Poslední, šestá otázka se věnuje názorům ohledně skupiny obyvatel, jež měla s přechodem z koruny na euro největší problémy.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Nejpočetnější odpovědi se týkaly důchodců (Tab. 8), což výsledky tohoto dotazníku moc nedokazují. Až 87 % respondentů, z nichž se jedná i o 11 důchodců, mělo pocit, že právě tato skupina obyvatel bude mít s novou měnou nejvíce problémy.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8 % dotázaných se shodlo, že tyto problémy postihnou především občany v produktivním věku, což by potvrzovaly i výsledky týkající se 4. otázky, která se věnuje významu státních podpůrných prostředků, kde přes 33 % respondentů ve věku 31 – 50 let, jak již bylo zmíněno, mělo i po roce pořád s novou měnou potíže.</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Ohrožení ostatních skupin obyvatel je dle výsledků dotazníku zanedbatelné. </w:t>
      </w:r>
    </w:p>
    <w:p w:rsidR="00712E44" w:rsidRDefault="00712E44" w:rsidP="00C535FC">
      <w:pPr>
        <w:spacing w:line="360" w:lineRule="auto"/>
        <w:jc w:val="both"/>
        <w:rPr>
          <w:bCs/>
        </w:rPr>
      </w:pPr>
    </w:p>
    <w:p w:rsidR="00712E44" w:rsidRPr="00842D93" w:rsidRDefault="00712E44" w:rsidP="00C535FC">
      <w:pPr>
        <w:spacing w:line="360" w:lineRule="auto"/>
        <w:rPr>
          <w:b/>
          <w:bCs/>
        </w:rPr>
      </w:pPr>
      <w:r>
        <w:rPr>
          <w:b/>
          <w:bCs/>
        </w:rPr>
        <w:t xml:space="preserve">                 Tab. 8 Výsledky týkající se otázky č. 6: „Ktorá skupina obyvateľstva, </w:t>
      </w:r>
      <w:r>
        <w:rPr>
          <w:b/>
          <w:bCs/>
        </w:rPr>
        <w:br/>
        <w:t xml:space="preserve">                  podľa Vášho názoru,  mala najväčší problém  s  prechodom  koruny </w:t>
      </w:r>
      <w:r>
        <w:rPr>
          <w:b/>
          <w:bCs/>
        </w:rPr>
        <w:br/>
        <w:t xml:space="preserve">                  na euro?“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4"/>
        <w:gridCol w:w="1092"/>
        <w:gridCol w:w="9"/>
        <w:gridCol w:w="1182"/>
        <w:gridCol w:w="1217"/>
        <w:gridCol w:w="1096"/>
        <w:gridCol w:w="1096"/>
      </w:tblGrid>
      <w:tr w:rsidR="00712E44" w:rsidTr="00045547">
        <w:trPr>
          <w:trHeight w:val="268"/>
          <w:jc w:val="center"/>
        </w:trPr>
        <w:tc>
          <w:tcPr>
            <w:tcW w:w="1274"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Pohlaví respondentů</w:t>
            </w:r>
          </w:p>
        </w:tc>
        <w:tc>
          <w:tcPr>
            <w:tcW w:w="5652" w:type="dxa"/>
            <w:gridSpan w:val="6"/>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6</w:t>
            </w:r>
          </w:p>
        </w:tc>
      </w:tr>
      <w:tr w:rsidR="00712E44" w:rsidTr="00045547">
        <w:trPr>
          <w:trHeight w:val="103"/>
          <w:jc w:val="center"/>
        </w:trPr>
        <w:tc>
          <w:tcPr>
            <w:tcW w:w="1274" w:type="dxa"/>
            <w:vMerge/>
            <w:vAlign w:val="center"/>
          </w:tcPr>
          <w:p w:rsidR="00712E44" w:rsidRPr="00045547" w:rsidRDefault="00712E44" w:rsidP="00045547">
            <w:pPr>
              <w:spacing w:line="360" w:lineRule="auto"/>
              <w:jc w:val="center"/>
              <w:rPr>
                <w:bCs/>
                <w:sz w:val="16"/>
                <w:szCs w:val="16"/>
              </w:rPr>
            </w:pPr>
          </w:p>
        </w:tc>
        <w:tc>
          <w:tcPr>
            <w:tcW w:w="109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a) </w:t>
            </w:r>
            <w:r w:rsidRPr="00045547">
              <w:rPr>
                <w:b/>
                <w:bCs/>
                <w:i/>
                <w:color w:val="C00000"/>
                <w:sz w:val="16"/>
                <w:szCs w:val="16"/>
              </w:rPr>
              <w:t>maloletní</w:t>
            </w:r>
          </w:p>
        </w:tc>
        <w:tc>
          <w:tcPr>
            <w:tcW w:w="1186"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b) </w:t>
            </w:r>
            <w:r w:rsidRPr="00045547">
              <w:rPr>
                <w:b/>
                <w:bCs/>
                <w:i/>
                <w:color w:val="C00000"/>
                <w:sz w:val="16"/>
                <w:szCs w:val="16"/>
              </w:rPr>
              <w:t>studenti</w:t>
            </w:r>
          </w:p>
        </w:tc>
        <w:tc>
          <w:tcPr>
            <w:tcW w:w="118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c) </w:t>
            </w:r>
            <w:r w:rsidRPr="00045547">
              <w:rPr>
                <w:b/>
                <w:bCs/>
                <w:i/>
                <w:color w:val="C00000"/>
                <w:sz w:val="16"/>
                <w:szCs w:val="16"/>
              </w:rPr>
              <w:t>obyvatelé v produktivním věku</w:t>
            </w:r>
          </w:p>
        </w:tc>
        <w:tc>
          <w:tcPr>
            <w:tcW w:w="1096"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d) </w:t>
            </w:r>
            <w:r w:rsidRPr="00045547">
              <w:rPr>
                <w:b/>
                <w:bCs/>
                <w:i/>
                <w:color w:val="C00000"/>
                <w:sz w:val="16"/>
                <w:szCs w:val="16"/>
              </w:rPr>
              <w:t>důchodci</w:t>
            </w:r>
          </w:p>
        </w:tc>
        <w:tc>
          <w:tcPr>
            <w:tcW w:w="1096"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 xml:space="preserve">e) </w:t>
            </w:r>
            <w:r w:rsidRPr="00045547">
              <w:rPr>
                <w:b/>
                <w:bCs/>
                <w:i/>
                <w:color w:val="C00000"/>
                <w:sz w:val="16"/>
                <w:szCs w:val="16"/>
              </w:rPr>
              <w:t>podnikatelé</w:t>
            </w:r>
          </w:p>
        </w:tc>
      </w:tr>
      <w:tr w:rsidR="00712E44" w:rsidTr="00045547">
        <w:trPr>
          <w:trHeight w:val="26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Muž</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96" w:type="dxa"/>
          </w:tcPr>
          <w:p w:rsidR="00712E44" w:rsidRPr="00045547" w:rsidRDefault="00712E44" w:rsidP="00045547">
            <w:pPr>
              <w:spacing w:line="360" w:lineRule="auto"/>
              <w:jc w:val="center"/>
              <w:rPr>
                <w:bCs/>
                <w:sz w:val="16"/>
                <w:szCs w:val="16"/>
              </w:rPr>
            </w:pPr>
            <w:r w:rsidRPr="00045547">
              <w:rPr>
                <w:bCs/>
                <w:sz w:val="16"/>
                <w:szCs w:val="16"/>
              </w:rPr>
              <w:t>33</w:t>
            </w:r>
          </w:p>
        </w:tc>
        <w:tc>
          <w:tcPr>
            <w:tcW w:w="1096" w:type="dxa"/>
          </w:tcPr>
          <w:p w:rsidR="00712E44" w:rsidRPr="00045547" w:rsidRDefault="00712E44" w:rsidP="00045547">
            <w:pPr>
              <w:spacing w:line="360" w:lineRule="auto"/>
              <w:jc w:val="center"/>
              <w:rPr>
                <w:bCs/>
                <w:sz w:val="16"/>
                <w:szCs w:val="16"/>
              </w:rPr>
            </w:pPr>
            <w:r w:rsidRPr="00045547">
              <w:rPr>
                <w:bCs/>
                <w:sz w:val="16"/>
                <w:szCs w:val="16"/>
              </w:rPr>
              <w:t>2</w:t>
            </w:r>
          </w:p>
        </w:tc>
      </w:tr>
      <w:tr w:rsidR="00712E44" w:rsidTr="00045547">
        <w:trPr>
          <w:trHeight w:val="26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Žena</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6</w:t>
            </w:r>
          </w:p>
        </w:tc>
        <w:tc>
          <w:tcPr>
            <w:tcW w:w="1096" w:type="dxa"/>
          </w:tcPr>
          <w:p w:rsidR="00712E44" w:rsidRPr="00045547" w:rsidRDefault="00712E44" w:rsidP="00045547">
            <w:pPr>
              <w:spacing w:line="360" w:lineRule="auto"/>
              <w:jc w:val="center"/>
              <w:rPr>
                <w:bCs/>
                <w:sz w:val="16"/>
                <w:szCs w:val="16"/>
              </w:rPr>
            </w:pPr>
            <w:r w:rsidRPr="00045547">
              <w:rPr>
                <w:bCs/>
                <w:sz w:val="16"/>
                <w:szCs w:val="16"/>
              </w:rPr>
              <w:t>54</w:t>
            </w:r>
          </w:p>
        </w:tc>
        <w:tc>
          <w:tcPr>
            <w:tcW w:w="1096" w:type="dxa"/>
          </w:tcPr>
          <w:p w:rsidR="00712E44" w:rsidRPr="00045547" w:rsidRDefault="00712E44" w:rsidP="00045547">
            <w:pPr>
              <w:spacing w:line="360" w:lineRule="auto"/>
              <w:jc w:val="center"/>
              <w:rPr>
                <w:bCs/>
                <w:sz w:val="16"/>
                <w:szCs w:val="16"/>
              </w:rPr>
            </w:pPr>
            <w:r w:rsidRPr="00045547">
              <w:rPr>
                <w:bCs/>
                <w:sz w:val="16"/>
                <w:szCs w:val="16"/>
              </w:rPr>
              <w:t>2</w:t>
            </w:r>
          </w:p>
        </w:tc>
      </w:tr>
      <w:tr w:rsidR="00712E44" w:rsidTr="00045547">
        <w:trPr>
          <w:trHeight w:val="279"/>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092" w:type="dxa"/>
            <w:vAlign w:val="center"/>
          </w:tcPr>
          <w:p w:rsidR="00712E44" w:rsidRPr="00045547" w:rsidRDefault="00712E44" w:rsidP="00045547">
            <w:pPr>
              <w:spacing w:line="360" w:lineRule="auto"/>
              <w:jc w:val="center"/>
              <w:rPr>
                <w:b/>
                <w:bCs/>
                <w:sz w:val="16"/>
                <w:szCs w:val="16"/>
              </w:rPr>
            </w:pPr>
            <w:r w:rsidRPr="00045547">
              <w:rPr>
                <w:b/>
                <w:bCs/>
                <w:sz w:val="16"/>
                <w:szCs w:val="16"/>
              </w:rPr>
              <w:t>1</w:t>
            </w:r>
          </w:p>
        </w:tc>
        <w:tc>
          <w:tcPr>
            <w:tcW w:w="1186"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0</w:t>
            </w:r>
          </w:p>
        </w:tc>
        <w:tc>
          <w:tcPr>
            <w:tcW w:w="1182" w:type="dxa"/>
            <w:vAlign w:val="center"/>
          </w:tcPr>
          <w:p w:rsidR="00712E44" w:rsidRPr="00045547" w:rsidRDefault="00712E44" w:rsidP="00045547">
            <w:pPr>
              <w:spacing w:line="360" w:lineRule="auto"/>
              <w:jc w:val="center"/>
              <w:rPr>
                <w:b/>
                <w:bCs/>
                <w:sz w:val="16"/>
                <w:szCs w:val="16"/>
              </w:rPr>
            </w:pPr>
            <w:r w:rsidRPr="00045547">
              <w:rPr>
                <w:b/>
                <w:bCs/>
                <w:sz w:val="16"/>
                <w:szCs w:val="16"/>
              </w:rPr>
              <w:t>8</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87</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4</w:t>
            </w:r>
          </w:p>
        </w:tc>
      </w:tr>
      <w:tr w:rsidR="00712E44" w:rsidRPr="00255A8D" w:rsidTr="00045547">
        <w:trPr>
          <w:trHeight w:val="263"/>
          <w:jc w:val="center"/>
        </w:trPr>
        <w:tc>
          <w:tcPr>
            <w:tcW w:w="1274"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Věk respondentů</w:t>
            </w:r>
          </w:p>
        </w:tc>
        <w:tc>
          <w:tcPr>
            <w:tcW w:w="5652" w:type="dxa"/>
            <w:gridSpan w:val="6"/>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6</w:t>
            </w:r>
          </w:p>
        </w:tc>
      </w:tr>
      <w:tr w:rsidR="00712E44" w:rsidRPr="00F730F2" w:rsidTr="00045547">
        <w:trPr>
          <w:trHeight w:val="101"/>
          <w:jc w:val="center"/>
        </w:trPr>
        <w:tc>
          <w:tcPr>
            <w:tcW w:w="1274" w:type="dxa"/>
            <w:vMerge/>
          </w:tcPr>
          <w:p w:rsidR="00712E44" w:rsidRPr="00045547" w:rsidRDefault="00712E44" w:rsidP="00045547">
            <w:pPr>
              <w:spacing w:line="360" w:lineRule="auto"/>
              <w:jc w:val="center"/>
              <w:rPr>
                <w:bCs/>
                <w:sz w:val="16"/>
                <w:szCs w:val="16"/>
              </w:rPr>
            </w:pPr>
          </w:p>
        </w:tc>
        <w:tc>
          <w:tcPr>
            <w:tcW w:w="1101"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18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177"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09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c>
          <w:tcPr>
            <w:tcW w:w="109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e)</w:t>
            </w:r>
          </w:p>
        </w:tc>
      </w:tr>
      <w:tr w:rsidR="00712E44" w:rsidRPr="00255A8D" w:rsidTr="00045547">
        <w:trPr>
          <w:trHeight w:val="26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18 – 30</w:t>
            </w:r>
          </w:p>
        </w:tc>
        <w:tc>
          <w:tcPr>
            <w:tcW w:w="1101"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77"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96" w:type="dxa"/>
          </w:tcPr>
          <w:p w:rsidR="00712E44" w:rsidRPr="00045547" w:rsidRDefault="00712E44" w:rsidP="00045547">
            <w:pPr>
              <w:spacing w:line="360" w:lineRule="auto"/>
              <w:jc w:val="center"/>
              <w:rPr>
                <w:bCs/>
                <w:sz w:val="16"/>
                <w:szCs w:val="16"/>
              </w:rPr>
            </w:pPr>
            <w:r w:rsidRPr="00045547">
              <w:rPr>
                <w:bCs/>
                <w:sz w:val="16"/>
                <w:szCs w:val="16"/>
              </w:rPr>
              <w:t>33</w:t>
            </w:r>
          </w:p>
        </w:tc>
        <w:tc>
          <w:tcPr>
            <w:tcW w:w="1096" w:type="dxa"/>
          </w:tcPr>
          <w:p w:rsidR="00712E44" w:rsidRPr="00045547" w:rsidRDefault="00712E44" w:rsidP="00045547">
            <w:pPr>
              <w:spacing w:line="360" w:lineRule="auto"/>
              <w:jc w:val="center"/>
              <w:rPr>
                <w:bCs/>
                <w:sz w:val="16"/>
                <w:szCs w:val="16"/>
              </w:rPr>
            </w:pPr>
            <w:r w:rsidRPr="00045547">
              <w:rPr>
                <w:bCs/>
                <w:sz w:val="16"/>
                <w:szCs w:val="16"/>
              </w:rPr>
              <w:t>2</w:t>
            </w:r>
          </w:p>
        </w:tc>
      </w:tr>
      <w:tr w:rsidR="00712E44" w:rsidRPr="00255A8D" w:rsidTr="00045547">
        <w:trPr>
          <w:trHeight w:val="26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31 – 40</w:t>
            </w:r>
          </w:p>
        </w:tc>
        <w:tc>
          <w:tcPr>
            <w:tcW w:w="1101"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77"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96" w:type="dxa"/>
          </w:tcPr>
          <w:p w:rsidR="00712E44" w:rsidRPr="00045547" w:rsidRDefault="00712E44" w:rsidP="00045547">
            <w:pPr>
              <w:spacing w:line="360" w:lineRule="auto"/>
              <w:jc w:val="center"/>
              <w:rPr>
                <w:bCs/>
                <w:sz w:val="16"/>
                <w:szCs w:val="16"/>
              </w:rPr>
            </w:pPr>
            <w:r w:rsidRPr="00045547">
              <w:rPr>
                <w:bCs/>
                <w:sz w:val="16"/>
                <w:szCs w:val="16"/>
              </w:rPr>
              <w:t>21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26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41 – 50</w:t>
            </w:r>
          </w:p>
        </w:tc>
        <w:tc>
          <w:tcPr>
            <w:tcW w:w="1101"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77" w:type="dxa"/>
            <w:vAlign w:val="center"/>
          </w:tcPr>
          <w:p w:rsidR="00712E44" w:rsidRPr="00045547" w:rsidRDefault="00712E44" w:rsidP="00045547">
            <w:pPr>
              <w:spacing w:line="360" w:lineRule="auto"/>
              <w:jc w:val="center"/>
              <w:rPr>
                <w:bCs/>
                <w:sz w:val="16"/>
                <w:szCs w:val="16"/>
              </w:rPr>
            </w:pPr>
            <w:r w:rsidRPr="00045547">
              <w:rPr>
                <w:bCs/>
                <w:sz w:val="16"/>
                <w:szCs w:val="16"/>
              </w:rPr>
              <w:t>2</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10</w:t>
            </w:r>
          </w:p>
        </w:tc>
        <w:tc>
          <w:tcPr>
            <w:tcW w:w="1096"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255A8D" w:rsidTr="00045547">
        <w:trPr>
          <w:trHeight w:val="26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51 – 60</w:t>
            </w:r>
          </w:p>
        </w:tc>
        <w:tc>
          <w:tcPr>
            <w:tcW w:w="1101"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77"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15</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255A8D" w:rsidTr="00045547">
        <w:trPr>
          <w:trHeight w:val="26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61 a více</w:t>
            </w:r>
          </w:p>
        </w:tc>
        <w:tc>
          <w:tcPr>
            <w:tcW w:w="1101"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77"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8</w:t>
            </w:r>
          </w:p>
        </w:tc>
        <w:tc>
          <w:tcPr>
            <w:tcW w:w="1096"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255A8D" w:rsidTr="00045547">
        <w:trPr>
          <w:trHeight w:val="273"/>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101"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1</w:t>
            </w:r>
          </w:p>
        </w:tc>
        <w:tc>
          <w:tcPr>
            <w:tcW w:w="1182" w:type="dxa"/>
            <w:vAlign w:val="center"/>
          </w:tcPr>
          <w:p w:rsidR="00712E44" w:rsidRPr="00045547" w:rsidRDefault="00712E44" w:rsidP="00045547">
            <w:pPr>
              <w:spacing w:line="360" w:lineRule="auto"/>
              <w:jc w:val="center"/>
              <w:rPr>
                <w:b/>
                <w:bCs/>
                <w:sz w:val="16"/>
                <w:szCs w:val="16"/>
              </w:rPr>
            </w:pPr>
            <w:r w:rsidRPr="00045547">
              <w:rPr>
                <w:b/>
                <w:bCs/>
                <w:sz w:val="16"/>
                <w:szCs w:val="16"/>
              </w:rPr>
              <w:t>0</w:t>
            </w:r>
          </w:p>
        </w:tc>
        <w:tc>
          <w:tcPr>
            <w:tcW w:w="1177" w:type="dxa"/>
            <w:vAlign w:val="center"/>
          </w:tcPr>
          <w:p w:rsidR="00712E44" w:rsidRPr="00045547" w:rsidRDefault="00712E44" w:rsidP="00045547">
            <w:pPr>
              <w:spacing w:line="360" w:lineRule="auto"/>
              <w:jc w:val="center"/>
              <w:rPr>
                <w:b/>
                <w:bCs/>
                <w:sz w:val="16"/>
                <w:szCs w:val="16"/>
              </w:rPr>
            </w:pPr>
            <w:r w:rsidRPr="00045547">
              <w:rPr>
                <w:b/>
                <w:bCs/>
                <w:sz w:val="16"/>
                <w:szCs w:val="16"/>
              </w:rPr>
              <w:t>8</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87</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4</w:t>
            </w:r>
          </w:p>
        </w:tc>
      </w:tr>
      <w:tr w:rsidR="00712E44" w:rsidRPr="00B06019" w:rsidTr="00045547">
        <w:trPr>
          <w:trHeight w:val="278"/>
          <w:jc w:val="center"/>
        </w:trPr>
        <w:tc>
          <w:tcPr>
            <w:tcW w:w="1274" w:type="dxa"/>
            <w:vMerge w:val="restart"/>
            <w:vAlign w:val="center"/>
          </w:tcPr>
          <w:p w:rsidR="00712E44" w:rsidRPr="00045547" w:rsidRDefault="00712E44" w:rsidP="00045547">
            <w:pPr>
              <w:spacing w:line="360" w:lineRule="auto"/>
              <w:jc w:val="center"/>
              <w:rPr>
                <w:b/>
                <w:bCs/>
                <w:color w:val="0070C0"/>
                <w:sz w:val="16"/>
                <w:szCs w:val="16"/>
              </w:rPr>
            </w:pPr>
            <w:r w:rsidRPr="00045547">
              <w:rPr>
                <w:b/>
                <w:bCs/>
                <w:color w:val="0070C0"/>
                <w:sz w:val="16"/>
                <w:szCs w:val="16"/>
              </w:rPr>
              <w:t>Zaměstnanost respondentů</w:t>
            </w:r>
          </w:p>
        </w:tc>
        <w:tc>
          <w:tcPr>
            <w:tcW w:w="5652" w:type="dxa"/>
            <w:gridSpan w:val="6"/>
            <w:vAlign w:val="center"/>
          </w:tcPr>
          <w:p w:rsidR="00712E44" w:rsidRPr="00045547" w:rsidRDefault="00712E44" w:rsidP="00045547">
            <w:pPr>
              <w:spacing w:line="360" w:lineRule="auto"/>
              <w:jc w:val="center"/>
              <w:rPr>
                <w:b/>
                <w:bCs/>
                <w:sz w:val="16"/>
                <w:szCs w:val="16"/>
              </w:rPr>
            </w:pPr>
            <w:r w:rsidRPr="00045547">
              <w:rPr>
                <w:b/>
                <w:bCs/>
                <w:sz w:val="16"/>
                <w:szCs w:val="16"/>
              </w:rPr>
              <w:t>Odpovědi na otázku č. 6</w:t>
            </w:r>
          </w:p>
        </w:tc>
      </w:tr>
      <w:tr w:rsidR="00712E44" w:rsidRPr="00F730F2" w:rsidTr="00045547">
        <w:trPr>
          <w:trHeight w:val="106"/>
          <w:jc w:val="center"/>
        </w:trPr>
        <w:tc>
          <w:tcPr>
            <w:tcW w:w="1274" w:type="dxa"/>
            <w:vMerge/>
            <w:vAlign w:val="center"/>
          </w:tcPr>
          <w:p w:rsidR="00712E44" w:rsidRPr="00045547" w:rsidRDefault="00712E44" w:rsidP="00045547">
            <w:pPr>
              <w:spacing w:line="360" w:lineRule="auto"/>
              <w:jc w:val="center"/>
              <w:rPr>
                <w:bCs/>
                <w:color w:val="00B050"/>
                <w:sz w:val="16"/>
                <w:szCs w:val="16"/>
              </w:rPr>
            </w:pPr>
          </w:p>
        </w:tc>
        <w:tc>
          <w:tcPr>
            <w:tcW w:w="109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a)</w:t>
            </w:r>
          </w:p>
        </w:tc>
        <w:tc>
          <w:tcPr>
            <w:tcW w:w="1186" w:type="dxa"/>
            <w:gridSpan w:val="2"/>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b)</w:t>
            </w:r>
          </w:p>
        </w:tc>
        <w:tc>
          <w:tcPr>
            <w:tcW w:w="1182" w:type="dxa"/>
            <w:shd w:val="clear" w:color="auto" w:fill="D6E3BC"/>
            <w:vAlign w:val="center"/>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c)</w:t>
            </w:r>
          </w:p>
        </w:tc>
        <w:tc>
          <w:tcPr>
            <w:tcW w:w="109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d)</w:t>
            </w:r>
          </w:p>
        </w:tc>
        <w:tc>
          <w:tcPr>
            <w:tcW w:w="1096" w:type="dxa"/>
            <w:shd w:val="clear" w:color="auto" w:fill="D6E3BC"/>
          </w:tcPr>
          <w:p w:rsidR="00712E44" w:rsidRPr="00045547" w:rsidRDefault="00712E44" w:rsidP="00045547">
            <w:pPr>
              <w:spacing w:line="360" w:lineRule="auto"/>
              <w:jc w:val="center"/>
              <w:rPr>
                <w:b/>
                <w:bCs/>
                <w:i/>
                <w:color w:val="0070C0"/>
                <w:sz w:val="16"/>
                <w:szCs w:val="16"/>
              </w:rPr>
            </w:pPr>
            <w:r w:rsidRPr="00045547">
              <w:rPr>
                <w:b/>
                <w:bCs/>
                <w:i/>
                <w:color w:val="0070C0"/>
                <w:sz w:val="16"/>
                <w:szCs w:val="16"/>
              </w:rPr>
              <w:t>e)</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Student</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096" w:type="dxa"/>
          </w:tcPr>
          <w:p w:rsidR="00712E44" w:rsidRPr="00045547" w:rsidRDefault="00712E44" w:rsidP="00045547">
            <w:pPr>
              <w:spacing w:line="360" w:lineRule="auto"/>
              <w:jc w:val="center"/>
              <w:rPr>
                <w:bCs/>
                <w:sz w:val="16"/>
                <w:szCs w:val="16"/>
              </w:rPr>
            </w:pPr>
            <w:r w:rsidRPr="00045547">
              <w:rPr>
                <w:bCs/>
                <w:sz w:val="16"/>
                <w:szCs w:val="16"/>
              </w:rPr>
              <w:t>4</w:t>
            </w:r>
          </w:p>
        </w:tc>
        <w:tc>
          <w:tcPr>
            <w:tcW w:w="1096"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Zaměstnaný</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5</w:t>
            </w:r>
          </w:p>
        </w:tc>
        <w:tc>
          <w:tcPr>
            <w:tcW w:w="1096" w:type="dxa"/>
          </w:tcPr>
          <w:p w:rsidR="00712E44" w:rsidRPr="00045547" w:rsidRDefault="00712E44" w:rsidP="00045547">
            <w:pPr>
              <w:spacing w:line="360" w:lineRule="auto"/>
              <w:jc w:val="center"/>
              <w:rPr>
                <w:bCs/>
                <w:sz w:val="16"/>
                <w:szCs w:val="16"/>
              </w:rPr>
            </w:pPr>
            <w:r w:rsidRPr="00045547">
              <w:rPr>
                <w:bCs/>
                <w:sz w:val="16"/>
                <w:szCs w:val="16"/>
              </w:rPr>
              <w:t>64</w:t>
            </w:r>
          </w:p>
        </w:tc>
        <w:tc>
          <w:tcPr>
            <w:tcW w:w="1096" w:type="dxa"/>
          </w:tcPr>
          <w:p w:rsidR="00712E44" w:rsidRPr="00045547" w:rsidRDefault="00712E44" w:rsidP="00045547">
            <w:pPr>
              <w:spacing w:line="360" w:lineRule="auto"/>
              <w:jc w:val="center"/>
              <w:rPr>
                <w:bCs/>
                <w:sz w:val="16"/>
                <w:szCs w:val="16"/>
              </w:rPr>
            </w:pPr>
            <w:r w:rsidRPr="00045547">
              <w:rPr>
                <w:bCs/>
                <w:sz w:val="16"/>
                <w:szCs w:val="16"/>
              </w:rPr>
              <w:t>2</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Nezaměstnaný</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5</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Podnikatel</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3</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Důchodce</w:t>
            </w:r>
          </w:p>
        </w:tc>
        <w:tc>
          <w:tcPr>
            <w:tcW w:w="1092" w:type="dxa"/>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6" w:type="dxa"/>
            <w:gridSpan w:val="2"/>
            <w:vAlign w:val="center"/>
          </w:tcPr>
          <w:p w:rsidR="00712E44" w:rsidRPr="00045547" w:rsidRDefault="00712E44" w:rsidP="00045547">
            <w:pPr>
              <w:spacing w:line="360" w:lineRule="auto"/>
              <w:jc w:val="center"/>
              <w:rPr>
                <w:bCs/>
                <w:sz w:val="16"/>
                <w:szCs w:val="16"/>
              </w:rPr>
            </w:pPr>
            <w:r w:rsidRPr="00045547">
              <w:rPr>
                <w:bCs/>
                <w:sz w:val="16"/>
                <w:szCs w:val="16"/>
              </w:rPr>
              <w:t>0</w:t>
            </w:r>
          </w:p>
        </w:tc>
        <w:tc>
          <w:tcPr>
            <w:tcW w:w="1182" w:type="dxa"/>
            <w:vAlign w:val="center"/>
          </w:tcPr>
          <w:p w:rsidR="00712E44" w:rsidRPr="00045547" w:rsidRDefault="00712E44" w:rsidP="00045547">
            <w:pPr>
              <w:spacing w:line="360" w:lineRule="auto"/>
              <w:jc w:val="center"/>
              <w:rPr>
                <w:bCs/>
                <w:sz w:val="16"/>
                <w:szCs w:val="16"/>
              </w:rPr>
            </w:pPr>
            <w:r w:rsidRPr="00045547">
              <w:rPr>
                <w:bCs/>
                <w:sz w:val="16"/>
                <w:szCs w:val="16"/>
              </w:rPr>
              <w:t>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11</w:t>
            </w:r>
          </w:p>
        </w:tc>
        <w:tc>
          <w:tcPr>
            <w:tcW w:w="1096" w:type="dxa"/>
          </w:tcPr>
          <w:p w:rsidR="00712E44" w:rsidRPr="00045547" w:rsidRDefault="00712E44" w:rsidP="00045547">
            <w:pPr>
              <w:spacing w:line="360" w:lineRule="auto"/>
              <w:jc w:val="center"/>
              <w:rPr>
                <w:bCs/>
                <w:sz w:val="16"/>
                <w:szCs w:val="16"/>
              </w:rPr>
            </w:pPr>
            <w:r w:rsidRPr="00045547">
              <w:rPr>
                <w:bCs/>
                <w:sz w:val="16"/>
                <w:szCs w:val="16"/>
              </w:rPr>
              <w:t>0</w:t>
            </w:r>
          </w:p>
        </w:tc>
      </w:tr>
      <w:tr w:rsidR="00712E44" w:rsidRPr="00B06019" w:rsidTr="00045547">
        <w:trPr>
          <w:trHeight w:val="278"/>
          <w:jc w:val="center"/>
        </w:trPr>
        <w:tc>
          <w:tcPr>
            <w:tcW w:w="1274" w:type="dxa"/>
            <w:vAlign w:val="center"/>
          </w:tcPr>
          <w:p w:rsidR="00712E44" w:rsidRPr="00045547" w:rsidRDefault="00712E44" w:rsidP="00045547">
            <w:pPr>
              <w:spacing w:line="360" w:lineRule="auto"/>
              <w:jc w:val="center"/>
              <w:rPr>
                <w:b/>
                <w:bCs/>
                <w:sz w:val="16"/>
                <w:szCs w:val="16"/>
              </w:rPr>
            </w:pPr>
            <w:r w:rsidRPr="00045547">
              <w:rPr>
                <w:b/>
                <w:bCs/>
                <w:sz w:val="16"/>
                <w:szCs w:val="16"/>
              </w:rPr>
              <w:t>Celkem</w:t>
            </w:r>
          </w:p>
        </w:tc>
        <w:tc>
          <w:tcPr>
            <w:tcW w:w="1092" w:type="dxa"/>
            <w:vAlign w:val="center"/>
          </w:tcPr>
          <w:p w:rsidR="00712E44" w:rsidRPr="00045547" w:rsidRDefault="00712E44" w:rsidP="00045547">
            <w:pPr>
              <w:spacing w:line="360" w:lineRule="auto"/>
              <w:jc w:val="center"/>
              <w:rPr>
                <w:b/>
                <w:bCs/>
                <w:sz w:val="16"/>
                <w:szCs w:val="16"/>
              </w:rPr>
            </w:pPr>
            <w:r w:rsidRPr="00045547">
              <w:rPr>
                <w:b/>
                <w:bCs/>
                <w:sz w:val="16"/>
                <w:szCs w:val="16"/>
              </w:rPr>
              <w:t>1</w:t>
            </w:r>
          </w:p>
        </w:tc>
        <w:tc>
          <w:tcPr>
            <w:tcW w:w="1186" w:type="dxa"/>
            <w:gridSpan w:val="2"/>
            <w:vAlign w:val="center"/>
          </w:tcPr>
          <w:p w:rsidR="00712E44" w:rsidRPr="00045547" w:rsidRDefault="00712E44" w:rsidP="00045547">
            <w:pPr>
              <w:spacing w:line="360" w:lineRule="auto"/>
              <w:jc w:val="center"/>
              <w:rPr>
                <w:b/>
                <w:bCs/>
                <w:sz w:val="16"/>
                <w:szCs w:val="16"/>
              </w:rPr>
            </w:pPr>
            <w:r w:rsidRPr="00045547">
              <w:rPr>
                <w:b/>
                <w:bCs/>
                <w:sz w:val="16"/>
                <w:szCs w:val="16"/>
              </w:rPr>
              <w:t>0</w:t>
            </w:r>
          </w:p>
        </w:tc>
        <w:tc>
          <w:tcPr>
            <w:tcW w:w="1182" w:type="dxa"/>
            <w:vAlign w:val="center"/>
          </w:tcPr>
          <w:p w:rsidR="00712E44" w:rsidRPr="00045547" w:rsidRDefault="00712E44" w:rsidP="00045547">
            <w:pPr>
              <w:spacing w:line="360" w:lineRule="auto"/>
              <w:jc w:val="center"/>
              <w:rPr>
                <w:b/>
                <w:bCs/>
                <w:sz w:val="16"/>
                <w:szCs w:val="16"/>
              </w:rPr>
            </w:pPr>
            <w:r w:rsidRPr="00045547">
              <w:rPr>
                <w:b/>
                <w:bCs/>
                <w:sz w:val="16"/>
                <w:szCs w:val="16"/>
              </w:rPr>
              <w:t>8</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87</w:t>
            </w:r>
          </w:p>
        </w:tc>
        <w:tc>
          <w:tcPr>
            <w:tcW w:w="1096" w:type="dxa"/>
          </w:tcPr>
          <w:p w:rsidR="00712E44" w:rsidRPr="00045547" w:rsidRDefault="00712E44" w:rsidP="00045547">
            <w:pPr>
              <w:spacing w:line="360" w:lineRule="auto"/>
              <w:jc w:val="center"/>
              <w:rPr>
                <w:b/>
                <w:bCs/>
                <w:sz w:val="16"/>
                <w:szCs w:val="16"/>
              </w:rPr>
            </w:pPr>
            <w:r w:rsidRPr="00045547">
              <w:rPr>
                <w:b/>
                <w:bCs/>
                <w:sz w:val="16"/>
                <w:szCs w:val="16"/>
              </w:rPr>
              <w:t>4</w:t>
            </w:r>
          </w:p>
        </w:tc>
      </w:tr>
    </w:tbl>
    <w:p w:rsidR="00712E44" w:rsidRDefault="00712E44" w:rsidP="00C535FC">
      <w:pPr>
        <w:spacing w:line="360" w:lineRule="auto"/>
        <w:jc w:val="both"/>
        <w:rPr>
          <w:bCs/>
          <w:i/>
          <w:sz w:val="20"/>
          <w:szCs w:val="20"/>
        </w:rPr>
      </w:pPr>
      <w:r>
        <w:rPr>
          <w:bCs/>
          <w:i/>
          <w:sz w:val="20"/>
          <w:szCs w:val="20"/>
        </w:rPr>
        <w:t xml:space="preserve">                     Zdroj: vlastní zpracování</w:t>
      </w:r>
    </w:p>
    <w:p w:rsidR="00712E44" w:rsidRDefault="00712E44" w:rsidP="00C535FC">
      <w:pPr>
        <w:spacing w:line="360" w:lineRule="auto"/>
        <w:jc w:val="both"/>
        <w:rPr>
          <w:b/>
          <w:bCs/>
          <w:sz w:val="28"/>
          <w:szCs w:val="28"/>
        </w:rPr>
      </w:pPr>
      <w:r>
        <w:rPr>
          <w:b/>
          <w:bCs/>
          <w:sz w:val="28"/>
          <w:szCs w:val="28"/>
        </w:rPr>
        <w:lastRenderedPageBreak/>
        <w:t>5.2.2 Shrnutí dotazníkového šetření</w:t>
      </w:r>
    </w:p>
    <w:p w:rsidR="00712E44" w:rsidRDefault="00712E44" w:rsidP="00C535FC">
      <w:pPr>
        <w:spacing w:line="360" w:lineRule="auto"/>
        <w:jc w:val="both"/>
        <w:rPr>
          <w:b/>
          <w:bCs/>
          <w:sz w:val="28"/>
          <w:szCs w:val="28"/>
        </w:rPr>
      </w:pPr>
    </w:p>
    <w:p w:rsidR="00712E44" w:rsidRDefault="00712E44" w:rsidP="00C535FC">
      <w:pPr>
        <w:spacing w:line="360" w:lineRule="auto"/>
        <w:jc w:val="both"/>
        <w:rPr>
          <w:bCs/>
        </w:rPr>
      </w:pPr>
      <w:r>
        <w:rPr>
          <w:bCs/>
        </w:rPr>
        <w:t xml:space="preserve">Když shrneme výsledky dotazníkového šetření, převážná většina dotazovaných novou měnu uvítala.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Po prvním roce eura na Slovensku z výše uvedených negativ respondenti nejvíce pociťovali zvýšení cen a z hlediska uvedených přínosů byly výsledky zanedbatelné. Až 87 % </w:t>
      </w:r>
      <w:r>
        <w:rPr>
          <w:bCs/>
        </w:rPr>
        <w:br/>
        <w:t xml:space="preserve">se přiklonilo k názoru, že žádný z těchto přínosů nezaznamenalo.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Státní podpůrné prostředky byly využívány skoro polovinou respondentů. Z toho plyne, </w:t>
      </w:r>
      <w:r>
        <w:rPr>
          <w:bCs/>
        </w:rPr>
        <w:br/>
        <w:t xml:space="preserve">že měly své opodstatnění.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Vnímání změny, v tomto případě růstu spotřebitelských cen, bylo ze strany respondentů dost značné. V celkovém vyčíslení se až 80 % dotázaných vyjádřilo, že zdražení nějakým způsobem pociťovalo. Na základě zjištění, která jsou obsahem </w:t>
      </w:r>
      <w:r w:rsidRPr="005A337A">
        <w:rPr>
          <w:bCs/>
        </w:rPr>
        <w:t>kapitoly 4</w:t>
      </w:r>
      <w:r>
        <w:rPr>
          <w:bCs/>
        </w:rPr>
        <w:t>.5.2</w:t>
      </w:r>
      <w:r w:rsidRPr="005A337A">
        <w:rPr>
          <w:bCs/>
        </w:rPr>
        <w:t>,</w:t>
      </w:r>
      <w:r>
        <w:rPr>
          <w:bCs/>
          <w:color w:val="FF0000"/>
        </w:rPr>
        <w:t xml:space="preserve"> </w:t>
      </w:r>
      <w:r>
        <w:rPr>
          <w:bCs/>
        </w:rPr>
        <w:t xml:space="preserve">lze tímto konstatovat, že se jedná spíše o vnímanou inflaci, jež byla pozorována po zavedení eura </w:t>
      </w:r>
      <w:r>
        <w:rPr>
          <w:bCs/>
        </w:rPr>
        <w:br/>
        <w:t xml:space="preserve">i v jiných členských zemí eurozóny. Výsledky výše uvedených analýz zabývajících se vlivem zavedení eura na změny ve vývoji spotřebitelských cen potvrdily, že obavy občanů </w:t>
      </w:r>
      <w:r>
        <w:rPr>
          <w:bCs/>
        </w:rPr>
        <w:br/>
        <w:t xml:space="preserve">ze zdražování byly neopodstatněné. Ale na druhé straně, analyzované období mělo rozpětí prosinec 2008 – leden 2009 a názor občanů se týkal celého roku 2009. Z toho plyne závěr, </w:t>
      </w:r>
      <w:r>
        <w:rPr>
          <w:bCs/>
        </w:rPr>
        <w:br/>
        <w:t>že se ani Slovenská republika nevyhnula</w:t>
      </w:r>
      <w:r w:rsidRPr="00727550">
        <w:rPr>
          <w:bCs/>
        </w:rPr>
        <w:t xml:space="preserve"> </w:t>
      </w:r>
      <w:r>
        <w:rPr>
          <w:bCs/>
        </w:rPr>
        <w:t xml:space="preserve">vnímané inflaci. </w:t>
      </w:r>
    </w:p>
    <w:p w:rsidR="00712E44" w:rsidRDefault="00712E44" w:rsidP="00C535FC">
      <w:pPr>
        <w:spacing w:line="360" w:lineRule="auto"/>
        <w:jc w:val="both"/>
        <w:rPr>
          <w:bCs/>
        </w:rPr>
      </w:pPr>
    </w:p>
    <w:p w:rsidR="00712E44" w:rsidRDefault="00712E44" w:rsidP="00C535FC">
      <w:pPr>
        <w:spacing w:line="360" w:lineRule="auto"/>
        <w:jc w:val="both"/>
        <w:rPr>
          <w:bCs/>
        </w:rPr>
      </w:pPr>
      <w:r>
        <w:rPr>
          <w:bCs/>
        </w:rPr>
        <w:t xml:space="preserve">Posledním zjištěním bylo, že se za nejohroženější skupinu obyvatelstva v souvislosti s přechodem z koruny na euro považují především důchodci. Tento závěr je celkem logický, jelikož se starší generace hůře přizpůsobuje novým věcem. Je zajímavým zjištěním, že četnost </w:t>
      </w:r>
      <w:r>
        <w:rPr>
          <w:bCs/>
        </w:rPr>
        <w:br/>
        <w:t>a vypovídací schopnost odpovědí na některé otázky tohoto dotazníku nižší přizpůsobivost věkově starších občanů nepotvrzují.</w:t>
      </w:r>
    </w:p>
    <w:p w:rsidR="00712E44" w:rsidRPr="00E32001" w:rsidRDefault="00712E44" w:rsidP="00C535FC">
      <w:pPr>
        <w:spacing w:line="360" w:lineRule="auto"/>
        <w:jc w:val="both"/>
        <w:rPr>
          <w:bCs/>
        </w:rPr>
      </w:pPr>
      <w:r>
        <w:rPr>
          <w:bCs/>
        </w:rPr>
        <w:t xml:space="preserve"> </w:t>
      </w:r>
    </w:p>
    <w:p w:rsidR="00712E44" w:rsidRDefault="00712E44" w:rsidP="00C535FC">
      <w:pPr>
        <w:spacing w:line="360" w:lineRule="auto"/>
        <w:jc w:val="both"/>
        <w:rPr>
          <w:bCs/>
        </w:rPr>
      </w:pPr>
      <w:r>
        <w:rPr>
          <w:bCs/>
        </w:rPr>
        <w:t xml:space="preserve">Závěrečná část dotazníkového šetření byla věnovaná postřehům a připomínkám dotázaných </w:t>
      </w:r>
      <w:r>
        <w:rPr>
          <w:bCs/>
        </w:rPr>
        <w:br/>
        <w:t>na novou měnu po zkušenostech s jejím používáním. Následující názory se v mnoha případech shodovaly, opakovaly a dokazují některé již výše popsané výhody a nevýhody nové zavedené měny:</w:t>
      </w:r>
    </w:p>
    <w:p w:rsidR="00712E44" w:rsidRDefault="00712E44" w:rsidP="00C535FC">
      <w:pPr>
        <w:pStyle w:val="Odstavecseseznamem"/>
        <w:numPr>
          <w:ilvl w:val="0"/>
          <w:numId w:val="13"/>
        </w:numPr>
        <w:spacing w:line="360" w:lineRule="auto"/>
        <w:jc w:val="both"/>
        <w:rPr>
          <w:bCs/>
        </w:rPr>
      </w:pPr>
      <w:r>
        <w:rPr>
          <w:bCs/>
        </w:rPr>
        <w:t>zjednodušení cestování – odstranění nutnosti výměny valut,</w:t>
      </w:r>
    </w:p>
    <w:p w:rsidR="00712E44" w:rsidRDefault="00712E44" w:rsidP="00C535FC">
      <w:pPr>
        <w:pStyle w:val="Odstavecseseznamem"/>
        <w:numPr>
          <w:ilvl w:val="0"/>
          <w:numId w:val="13"/>
        </w:numPr>
        <w:spacing w:line="360" w:lineRule="auto"/>
        <w:jc w:val="both"/>
        <w:rPr>
          <w:bCs/>
        </w:rPr>
      </w:pPr>
      <w:r>
        <w:rPr>
          <w:bCs/>
        </w:rPr>
        <w:lastRenderedPageBreak/>
        <w:t>transparentnost cen – možnost porovnat s cenami v zahraničí, což přináší zvýšení schopnosti výhodnějšího nakupování,</w:t>
      </w:r>
    </w:p>
    <w:p w:rsidR="00712E44" w:rsidRDefault="00712E44" w:rsidP="00C535FC">
      <w:pPr>
        <w:pStyle w:val="Odstavecseseznamem"/>
        <w:numPr>
          <w:ilvl w:val="0"/>
          <w:numId w:val="13"/>
        </w:numPr>
        <w:spacing w:line="360" w:lineRule="auto"/>
        <w:jc w:val="both"/>
        <w:rPr>
          <w:bCs/>
        </w:rPr>
      </w:pPr>
      <w:r>
        <w:rPr>
          <w:bCs/>
        </w:rPr>
        <w:t>odstranění rizika kurzových ztrát v rámci eurozóny,</w:t>
      </w:r>
    </w:p>
    <w:p w:rsidR="00712E44" w:rsidRDefault="00712E44" w:rsidP="00C535FC">
      <w:pPr>
        <w:pStyle w:val="Odstavecseseznamem"/>
        <w:numPr>
          <w:ilvl w:val="0"/>
          <w:numId w:val="13"/>
        </w:numPr>
        <w:spacing w:line="360" w:lineRule="auto"/>
        <w:jc w:val="both"/>
        <w:rPr>
          <w:bCs/>
        </w:rPr>
      </w:pPr>
      <w:r>
        <w:rPr>
          <w:bCs/>
        </w:rPr>
        <w:t>zjednodušení platebního styku,</w:t>
      </w:r>
    </w:p>
    <w:p w:rsidR="00712E44" w:rsidRDefault="00712E44" w:rsidP="00C535FC">
      <w:pPr>
        <w:pStyle w:val="Odstavecseseznamem"/>
        <w:numPr>
          <w:ilvl w:val="0"/>
          <w:numId w:val="13"/>
        </w:numPr>
        <w:spacing w:line="360" w:lineRule="auto"/>
        <w:jc w:val="both"/>
        <w:rPr>
          <w:bCs/>
        </w:rPr>
      </w:pPr>
      <w:r>
        <w:rPr>
          <w:bCs/>
        </w:rPr>
        <w:t>rychlejší spotřeba finančních prostředků z důvodu převažujících mincí (psychologický aspekt),</w:t>
      </w:r>
    </w:p>
    <w:p w:rsidR="00712E44" w:rsidRDefault="00712E44" w:rsidP="00C535FC">
      <w:pPr>
        <w:pStyle w:val="Odstavecseseznamem"/>
        <w:numPr>
          <w:ilvl w:val="0"/>
          <w:numId w:val="13"/>
        </w:numPr>
        <w:spacing w:line="360" w:lineRule="auto"/>
        <w:jc w:val="both"/>
        <w:rPr>
          <w:bCs/>
        </w:rPr>
      </w:pPr>
      <w:r>
        <w:rPr>
          <w:bCs/>
        </w:rPr>
        <w:t>duální zobrazování je považováno za značného pomocníka, ale na druhé straně brzdí rychlejšímu přizpůsobování se nové měně,</w:t>
      </w:r>
    </w:p>
    <w:p w:rsidR="00712E44" w:rsidRDefault="00712E44" w:rsidP="00C535FC">
      <w:pPr>
        <w:pStyle w:val="Odstavecseseznamem"/>
        <w:numPr>
          <w:ilvl w:val="0"/>
          <w:numId w:val="13"/>
        </w:numPr>
        <w:spacing w:line="360" w:lineRule="auto"/>
        <w:jc w:val="both"/>
        <w:rPr>
          <w:bCs/>
        </w:rPr>
      </w:pPr>
      <w:r>
        <w:rPr>
          <w:bCs/>
        </w:rPr>
        <w:t>větší vliv na životní úroveň a nezaměstnanost má hospodářská krize,</w:t>
      </w:r>
    </w:p>
    <w:p w:rsidR="00712E44" w:rsidRDefault="00712E44" w:rsidP="00C535FC">
      <w:pPr>
        <w:pStyle w:val="Odstavecseseznamem"/>
        <w:numPr>
          <w:ilvl w:val="0"/>
          <w:numId w:val="13"/>
        </w:numPr>
        <w:spacing w:line="360" w:lineRule="auto"/>
        <w:jc w:val="both"/>
        <w:rPr>
          <w:bCs/>
        </w:rPr>
      </w:pPr>
      <w:r>
        <w:rPr>
          <w:bCs/>
        </w:rPr>
        <w:t>vyjádření nesouhlasu s novou měnou z důvodu ztráty jednoho z významných symbolů Slovenské republiky, čímž byla slovenská koruna,</w:t>
      </w:r>
    </w:p>
    <w:p w:rsidR="00712E44" w:rsidRDefault="00712E44" w:rsidP="00C535FC">
      <w:pPr>
        <w:pStyle w:val="Odstavecseseznamem"/>
        <w:numPr>
          <w:ilvl w:val="0"/>
          <w:numId w:val="13"/>
        </w:numPr>
        <w:spacing w:line="360" w:lineRule="auto"/>
        <w:jc w:val="both"/>
        <w:rPr>
          <w:bCs/>
        </w:rPr>
      </w:pPr>
      <w:r>
        <w:rPr>
          <w:bCs/>
        </w:rPr>
        <w:t>několik názorů ohledně zrušení nejdrobnějších mincí, které mají značně nízkou nominální hodnotu a současně jsou i těžko rozeznatelné,</w:t>
      </w:r>
    </w:p>
    <w:p w:rsidR="00712E44" w:rsidRDefault="00712E44" w:rsidP="00C535FC">
      <w:pPr>
        <w:pStyle w:val="Odstavecseseznamem"/>
        <w:numPr>
          <w:ilvl w:val="0"/>
          <w:numId w:val="13"/>
        </w:numPr>
        <w:spacing w:line="360" w:lineRule="auto"/>
        <w:jc w:val="both"/>
        <w:rPr>
          <w:bCs/>
        </w:rPr>
      </w:pPr>
      <w:r>
        <w:rPr>
          <w:bCs/>
        </w:rPr>
        <w:t>přizpůsobování se cenové hladiny na úroveň vyspělých krajin eurozóny.</w:t>
      </w:r>
    </w:p>
    <w:p w:rsidR="00712E44" w:rsidRPr="00842D93" w:rsidRDefault="00712E44" w:rsidP="00C535FC">
      <w:pPr>
        <w:spacing w:line="360" w:lineRule="auto"/>
        <w:jc w:val="both"/>
        <w:rPr>
          <w:bCs/>
          <w:i/>
          <w:sz w:val="20"/>
          <w:szCs w:val="20"/>
        </w:rPr>
      </w:pPr>
    </w:p>
    <w:p w:rsidR="00712E44" w:rsidRDefault="00712E44" w:rsidP="00C535FC"/>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DD55D3"/>
    <w:p w:rsidR="00712E44" w:rsidRDefault="00712E44" w:rsidP="000630B4">
      <w:pPr>
        <w:spacing w:line="360" w:lineRule="auto"/>
        <w:jc w:val="both"/>
      </w:pPr>
      <w:r>
        <w:rPr>
          <w:b/>
          <w:sz w:val="32"/>
          <w:szCs w:val="32"/>
        </w:rPr>
        <w:lastRenderedPageBreak/>
        <w:t>6 Závěr a zhodnocení dosažených cílů</w:t>
      </w:r>
    </w:p>
    <w:p w:rsidR="00712E44" w:rsidRDefault="00712E44" w:rsidP="000630B4">
      <w:pPr>
        <w:spacing w:line="360" w:lineRule="auto"/>
        <w:jc w:val="both"/>
      </w:pPr>
    </w:p>
    <w:p w:rsidR="00712E44" w:rsidRDefault="00712E44" w:rsidP="000630B4">
      <w:pPr>
        <w:spacing w:line="360" w:lineRule="auto"/>
        <w:jc w:val="both"/>
      </w:pPr>
    </w:p>
    <w:p w:rsidR="00712E44" w:rsidRDefault="00712E44" w:rsidP="000630B4">
      <w:pPr>
        <w:spacing w:line="360" w:lineRule="auto"/>
        <w:jc w:val="both"/>
      </w:pPr>
      <w:r>
        <w:t xml:space="preserve">Poslední kapitola práce je mimo jiné věnovaná zhodnocení dosažených cílů. V první kapitole bylo vyjmenováno několik hypotéz, jejichž potvrzení, nebo vyvrácení je rovněž součástí následující subkapitoly. Návrhy řešení se nachází v závěru šesté kapitoly.  </w:t>
      </w:r>
    </w:p>
    <w:p w:rsidR="00712E44" w:rsidRDefault="00712E44" w:rsidP="000630B4">
      <w:pPr>
        <w:spacing w:line="360" w:lineRule="auto"/>
        <w:jc w:val="both"/>
      </w:pPr>
    </w:p>
    <w:p w:rsidR="00712E44" w:rsidRPr="00823679" w:rsidRDefault="00712E44" w:rsidP="000630B4">
      <w:pPr>
        <w:spacing w:line="360" w:lineRule="auto"/>
        <w:jc w:val="both"/>
      </w:pPr>
    </w:p>
    <w:p w:rsidR="00712E44" w:rsidRDefault="00712E44" w:rsidP="000630B4">
      <w:r>
        <w:rPr>
          <w:b/>
          <w:sz w:val="28"/>
          <w:szCs w:val="28"/>
        </w:rPr>
        <w:t>6.1 Zhodnocení dosažených cílů</w:t>
      </w:r>
    </w:p>
    <w:p w:rsidR="00712E44" w:rsidRDefault="00712E44" w:rsidP="000630B4"/>
    <w:p w:rsidR="00712E44" w:rsidRDefault="00712E44" w:rsidP="000630B4">
      <w:pPr>
        <w:spacing w:line="360" w:lineRule="auto"/>
        <w:jc w:val="both"/>
      </w:pPr>
    </w:p>
    <w:p w:rsidR="00712E44" w:rsidRDefault="00712E44" w:rsidP="000630B4">
      <w:pPr>
        <w:spacing w:line="360" w:lineRule="auto"/>
        <w:jc w:val="both"/>
      </w:pPr>
      <w:r>
        <w:t xml:space="preserve">Prvním cílem práce bylo zdůvodnit smysl evropské hospodářské a především měnové unie. Pro dosažení tohoto cíle se vycházelo z historického vývoje, který byl popsán v rámci první kapitoly. Jednotlivé kroky směřující k nejužšímu druhu společenství států vedly k hlavní podstatě EMU a tou je jednotná měna na jednotném trhu. Stejně tak, jako ostatní členské státy eurozóny, i Slovenská republika udělala všechna potřebná opatření, aby se stala její součástí </w:t>
      </w:r>
      <w:r>
        <w:br/>
        <w:t xml:space="preserve">a díky tomu využila všech výhod a přínosů ke zlepšení své ekonomické výkonnosti. Smysl EMU byl zdůvodněn a potvrzen na základě vyjmenovaných a rozebíraných výhod a přínosů jednotné měny, které převýšily všechny náklady a nevýhody spojené s jejím zavedením. </w:t>
      </w:r>
    </w:p>
    <w:p w:rsidR="00712E44" w:rsidRDefault="00712E44" w:rsidP="000630B4">
      <w:pPr>
        <w:spacing w:line="360" w:lineRule="auto"/>
        <w:jc w:val="both"/>
      </w:pPr>
    </w:p>
    <w:p w:rsidR="00712E44" w:rsidRDefault="00712E44" w:rsidP="000630B4">
      <w:pPr>
        <w:spacing w:line="360" w:lineRule="auto"/>
        <w:jc w:val="both"/>
      </w:pPr>
      <w:r>
        <w:t xml:space="preserve">Nevýhody, náklady a rizika, které evropská měna přinesla, rovněž nelze opomenout. Vyjmenované náklady souvisely především s obdobím zavádění nové měny u nových členů, které, jak již bylo zmíněno, lze považovat za investice, jejichž návratnost má především dlouhodobý charakter. Nejpodstatnější nevýhodou, která s eurem souvisí, je bezpochyby ztráta nezávislé měnové politiky. Jde o zásadní změnu režimu fungování ekonomiky. Avšak </w:t>
      </w:r>
      <w:r>
        <w:br/>
        <w:t xml:space="preserve">i v podmínkách liberalizovaných kapitálových toků a liberalizovaného devizového režimu jsou možnosti v realizaci nezávislé měnové politiky velmi omezené. Z tohoto důvodu </w:t>
      </w:r>
      <w:r>
        <w:br/>
        <w:t xml:space="preserve">je pro malou vysoce otevřenou ekonomiku s velkou pravděpodobností lepším řešením vstup do měnové unie. Koordinovaný postup politik může zmírňovat nerovnováhu při působení globálních kapitálových trhů, ale nemůže ho plně odstranit. Po vstupu země do měnové unie je tento problém transformován do nestability na úrovni jednotlivých podnikatelských subjektů a jeho řešení může být v čase plynuleji rozložené. Tímto dochází k poklesu celkových národohospodářských nákladů. Rizika plynoucí ze zavedení nové měny </w:t>
      </w:r>
      <w:r>
        <w:br/>
        <w:t xml:space="preserve">na Slovensku byla v maximální míře eliminována prostřednictvím působení státních zásahů </w:t>
      </w:r>
      <w:r>
        <w:br/>
      </w:r>
      <w:r>
        <w:lastRenderedPageBreak/>
        <w:t>a opatření.</w:t>
      </w:r>
    </w:p>
    <w:p w:rsidR="00712E44" w:rsidRDefault="00712E44" w:rsidP="000630B4">
      <w:pPr>
        <w:spacing w:line="360" w:lineRule="auto"/>
        <w:jc w:val="both"/>
      </w:pPr>
    </w:p>
    <w:p w:rsidR="00712E44" w:rsidRDefault="00712E44" w:rsidP="000630B4">
      <w:pPr>
        <w:spacing w:line="360" w:lineRule="auto"/>
        <w:jc w:val="both"/>
      </w:pPr>
      <w:r>
        <w:t>Hlavním cílem této diplomové práce bylo seznámit čtenáře:</w:t>
      </w:r>
    </w:p>
    <w:p w:rsidR="00712E44" w:rsidRDefault="00712E44" w:rsidP="000630B4">
      <w:pPr>
        <w:pStyle w:val="Odstavecseseznamem"/>
        <w:numPr>
          <w:ilvl w:val="0"/>
          <w:numId w:val="6"/>
        </w:numPr>
        <w:spacing w:line="360" w:lineRule="auto"/>
        <w:jc w:val="both"/>
        <w:rPr>
          <w:bCs/>
        </w:rPr>
      </w:pPr>
      <w:r w:rsidRPr="009D5438">
        <w:rPr>
          <w:bCs/>
        </w:rPr>
        <w:t xml:space="preserve">s problematikou zavedení evropské měny na Slovensku, </w:t>
      </w:r>
    </w:p>
    <w:p w:rsidR="00712E44" w:rsidRDefault="00712E44" w:rsidP="000630B4">
      <w:pPr>
        <w:pStyle w:val="Odstavecseseznamem"/>
        <w:numPr>
          <w:ilvl w:val="0"/>
          <w:numId w:val="6"/>
        </w:numPr>
        <w:spacing w:line="360" w:lineRule="auto"/>
        <w:jc w:val="both"/>
        <w:rPr>
          <w:bCs/>
        </w:rPr>
      </w:pPr>
      <w:r w:rsidRPr="009D5438">
        <w:rPr>
          <w:bCs/>
        </w:rPr>
        <w:t>s přínosy</w:t>
      </w:r>
      <w:r>
        <w:rPr>
          <w:bCs/>
        </w:rPr>
        <w:t xml:space="preserve"> a</w:t>
      </w:r>
      <w:r w:rsidRPr="009D5438">
        <w:rPr>
          <w:bCs/>
        </w:rPr>
        <w:t xml:space="preserve"> náklady</w:t>
      </w:r>
      <w:r>
        <w:rPr>
          <w:bCs/>
        </w:rPr>
        <w:t xml:space="preserve"> evropské měny,</w:t>
      </w:r>
    </w:p>
    <w:p w:rsidR="00712E44" w:rsidRDefault="00712E44" w:rsidP="000630B4">
      <w:pPr>
        <w:pStyle w:val="Odstavecseseznamem"/>
        <w:numPr>
          <w:ilvl w:val="0"/>
          <w:numId w:val="6"/>
        </w:numPr>
        <w:spacing w:line="360" w:lineRule="auto"/>
        <w:jc w:val="both"/>
        <w:rPr>
          <w:bCs/>
        </w:rPr>
      </w:pPr>
      <w:r>
        <w:rPr>
          <w:bCs/>
        </w:rPr>
        <w:t>s vlivem</w:t>
      </w:r>
      <w:r w:rsidRPr="009D5438">
        <w:rPr>
          <w:bCs/>
        </w:rPr>
        <w:t xml:space="preserve"> působení</w:t>
      </w:r>
      <w:r>
        <w:rPr>
          <w:bCs/>
        </w:rPr>
        <w:t xml:space="preserve"> eura</w:t>
      </w:r>
      <w:r w:rsidRPr="009D5438">
        <w:rPr>
          <w:bCs/>
        </w:rPr>
        <w:t xml:space="preserve"> na účinky hospodářské krize ve slovenské ekonomice během roku 2009 a 2010</w:t>
      </w:r>
      <w:r>
        <w:rPr>
          <w:bCs/>
        </w:rPr>
        <w:t>,</w:t>
      </w:r>
    </w:p>
    <w:p w:rsidR="00712E44" w:rsidRDefault="00712E44" w:rsidP="000630B4">
      <w:pPr>
        <w:pStyle w:val="Odstavecseseznamem"/>
        <w:numPr>
          <w:ilvl w:val="0"/>
          <w:numId w:val="6"/>
        </w:numPr>
        <w:spacing w:line="360" w:lineRule="auto"/>
        <w:jc w:val="both"/>
        <w:rPr>
          <w:bCs/>
        </w:rPr>
      </w:pPr>
      <w:r>
        <w:rPr>
          <w:bCs/>
        </w:rPr>
        <w:t>s názory slovenských obyvatel na novou měnu.</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K naplnění hlavního cíle vedl obsah druhé až páté kapitoly. Jejich úkolem bylo přiblížit význam členství v eurozóně pro Slovenskou republiku. 1. ledna 2009 se euro stalo neodmyslitelnou součástí života všech slovenských obyvatel. Neměli jinou možnost, nežli přijmout novou měnu a přizpůsobit se změnám, které tímto nastaly. Stát se snažil po všech stránkách přizpůsobovací proces ulehčit a zajistit hladký přechod na novou měnu </w:t>
      </w:r>
      <w:r>
        <w:rPr>
          <w:bCs/>
        </w:rPr>
        <w:br/>
        <w:t xml:space="preserve">s co nejnižšími náklady. Podle zjištění byly vzniklé náklady převýšeny přínosy, ale působení hospodářské krize míru těchto přínosů značně ovlivnilo, což postřehli i občané SR. Jejich názory na novou měnu byly zjištěny prostřednictvím dobrovolně vyjádřených postřehů </w:t>
      </w:r>
      <w:r>
        <w:rPr>
          <w:bCs/>
        </w:rPr>
        <w:br/>
        <w:t xml:space="preserve">ve vyplněných dotaznících.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Popis přímých výhod a nevýhod nové měny i s konkrétní aplikací na Slovenskou republiku pomohl splnit další z výše jmenovaných cílů práce. Prostřednictvím stručných analýz vybraných veřejně dostupných makroekonomických ukazatelů bylo možné vypracovat závěry ohledně vlivu eura na míru přínosů a nákladů v souvislosti s ekonomickým vývojem. Jelikož Slovenskou republiku v roce jejího vstupu do EMU hluboko zasáhla globální krize, proto kvůli jejím dopadům na výkonnost ekonomiky SR nelze posoudit kladné ani záporné vlivy eura v plné míře. Na základě výpovědi guvernéra Národnej banky Slovenska Jozefa Makúcha je možné vyvodit závěr, že vlastní domácí měna je výhodou, když se ekonomice daří. V opačném případě by si její regulace a udržení v žádoucích mezích vyžádaly vysoké finanční náklady.</w:t>
      </w:r>
      <w:r>
        <w:rPr>
          <w:rStyle w:val="Znakapoznpodarou"/>
        </w:rPr>
        <w:footnoteReference w:id="62"/>
      </w:r>
      <w:r>
        <w:rPr>
          <w:bCs/>
        </w:rPr>
        <w:t xml:space="preserve">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Diplomová práce byla zaměřená na ekonomický vývoj SR po vstupu do eurozóny. Z důvodu </w:t>
      </w:r>
      <w:r>
        <w:rPr>
          <w:bCs/>
        </w:rPr>
        <w:lastRenderedPageBreak/>
        <w:t xml:space="preserve">krátkodobého působení lze posuzovat vliv eura na výkonnost ekonomiky země jen například podle úspěšnosti podnikatelského sektoru, a to zhodnocením vývoje produkce, exportu </w:t>
      </w:r>
      <w:r>
        <w:rPr>
          <w:bCs/>
        </w:rPr>
        <w:br/>
        <w:t xml:space="preserve">a tržeb. Dalšími ukazateli mohou být vytvořená přidaná hodnota, krátkodobý vývoj cen, nezaměstnanosti atd. v době účasti v EMU. To všechno platí jen v případě neexistence vlivů jiných neočekávaných nepříznivých makroekonomických jevů, jako je například celosvětová hospodářská krize.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V období přechodu na novou měnu Slovensko zaznamenalo rapidní pokles průmyslové produkce a exportu. Tento fakt by mohl být na první pohled přisuzován silnému konverznímu kurzu a oslabování kurzů měn sousedních zemí. Jenomže za těchto okolností by docházelo k pomalejšímu růstu průmyslové produkce, než v sousedních zemích, což se na základě zjištění nestalo. Produkce SR rostla rychleji než v České republice, která zatím není členem EMU a její ekonomika je se slovenskou srovnatelná. V průběhu roku byla hodnota indexu průmyslové produkce na Slovensku dokonce vyšší, než byl průměr eurozóny a i průměr celé EU. Pod vlivem negativního vývoje globálního hospodářství a rostoucí averzi k riziku docházelo k rapidnímu poklesu domácí i zahraniční poptávky, tím k omezení produkce, </w:t>
      </w:r>
      <w:r>
        <w:rPr>
          <w:bCs/>
        </w:rPr>
        <w:br/>
        <w:t>což mělo za následek snižování nákladů, a to včetně mzdových. Mnoho podniků, především průmyslových, zvolilo razantní přístup, a to vedlo k značnému propouštění. Důsledkem toho byl nepříznivý vývoj míry nezaměstnanosti. Nižší produktivita vedla k celoročnímu poklesu výkonnosti až na úroveň – 4,7 %. Mírný kladný vývoj inflace byl v době krize příznivý, jelikož částečně snižoval negativní dopady. Zahraniční obchod zaznamenal v roce 2009 nejrazantnější pokles, ale díky tomu, že šlo o obě strany, jak export, tak i import, konečné saldo vykázalo po prvé od roku 1994 kladný výsledek.</w:t>
      </w:r>
      <w:r w:rsidRPr="009A6CDE">
        <w:rPr>
          <w:bCs/>
        </w:rPr>
        <w:t xml:space="preserve"> </w:t>
      </w:r>
      <w:r>
        <w:rPr>
          <w:bCs/>
        </w:rPr>
        <w:t xml:space="preserve">V případě přímých zahraničních investic přijetí eura mohlo způsobit přesun části likvidity dceřiných společností zahraničních skupin do jiných zahraničních zemí, ale už v následujícím roce začaly opět volně proudit </w:t>
      </w:r>
      <w:r>
        <w:rPr>
          <w:bCs/>
        </w:rPr>
        <w:br/>
        <w:t xml:space="preserve">a zaznamenaly nárůst o 9 % oproti roku předešlému. K očekávanému výraznému poklesu úrokových sazeb vlivem eura nedošlo, i když si během obou let zachovávaly klesající tendenci. Je to z důvodu nízké konkurence na slovenském finančním trhu.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Hypotézy, týkající se střednědobého a dlouhodobého hlediska, nelze přímo a s jistotou potvrdit ani vyvrátit. Lze jen vyvodit závěry, zdali se naplňuje, nebo nenaplňuje jejich obsah. Dalším faktorem je hospodářská krize, která zjištěné výsledky zkresluje. V hypotéze bylo zmíněno, že zavedení eura povede k růstu zaměstnanosti. Prozatím se míra nezaměstnanosti pouze prohlubovala, a protože bylo zjištěno, že to není z důvodu nové měny, opět nelze </w:t>
      </w:r>
      <w:r>
        <w:rPr>
          <w:bCs/>
        </w:rPr>
        <w:lastRenderedPageBreak/>
        <w:t xml:space="preserve">hypotézu potvrdit ani vyvrátit.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Dalším rozebíraným efektem nové měny byla inflace. Hypoteticky mělo docházet k poklesu míry spotřebitelských cen. Ale jelikož je růst inflace průvodním efektem hospodářského růstu a rovněž zvyšování mezd a tím i životní úrovně, nemusí být rostoucí inflace vždy negativním jevem. Na základě zjištění, kdy bylo použito národní metodiky pro výpočet průměrné míry inflace, lze konstatovat, že si průměrná míra spotřebitelských cen držela lehce rostoucí tendenci, která byla v době krize více příznivá. Jelikož nerostli ceny, nezaměstnanost </w:t>
      </w:r>
      <w:r>
        <w:rPr>
          <w:bCs/>
        </w:rPr>
        <w:br/>
        <w:t xml:space="preserve">se zvyšovala, výrazný růst nezaznamenaly ani mzdy. Veřejné finance také nenaplnily programová vyhlášení a ještě nějakou dobu potrvá, než se ekonomika Slovenska dopracuje k vyrovnanému rozpočtu veřejných financí. Jak již bylo zmíněno, uplynula krátká doba na to, aby byly všechny efekty a přínosy eura projeveny v plné míře. Globální hospodářská krize tyto cíle ještě více oddálila. </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Na základě všech těchto zjištění lze vyvodit závěr, že i když došlo v roce 2009 k rapidnímu zhoršení hospodářské výkonnosti slovenské ekonomiky, jeho příčinou nebyl přechod </w:t>
      </w:r>
      <w:r>
        <w:rPr>
          <w:bCs/>
        </w:rPr>
        <w:br/>
        <w:t xml:space="preserve">na novou měnu, ale především negativní působení celosvětové hospodářské krize. </w:t>
      </w:r>
      <w:r>
        <w:rPr>
          <w:bCs/>
        </w:rPr>
        <w:br/>
        <w:t>V roce 2010 došlo k částečnému oživení a dokazují to i výsledky makroekonomických ukazatelů, jejichž hodnoty jsou zmíněny v předešlých kapitolách.</w:t>
      </w:r>
    </w:p>
    <w:p w:rsidR="00712E44" w:rsidRDefault="00712E44" w:rsidP="000630B4">
      <w:pPr>
        <w:spacing w:line="360" w:lineRule="auto"/>
        <w:jc w:val="both"/>
        <w:rPr>
          <w:bCs/>
        </w:rPr>
      </w:pPr>
    </w:p>
    <w:p w:rsidR="00712E44" w:rsidRDefault="00712E44" w:rsidP="000630B4">
      <w:pPr>
        <w:spacing w:line="360" w:lineRule="auto"/>
        <w:jc w:val="both"/>
        <w:rPr>
          <w:bCs/>
        </w:rPr>
      </w:pPr>
      <w:r>
        <w:rPr>
          <w:bCs/>
        </w:rPr>
        <w:t xml:space="preserve">Díky značné ochotě účastníků dotazníkového šetření bylo dosaženo i posledního cíle. Celkem se ho zúčastnilo 100 slovenských dobrovolníků. I jejich názory a zkušenosti pomohly nastínit dopady eura, a to především na sektor domácností.  </w:t>
      </w:r>
    </w:p>
    <w:p w:rsidR="00712E44" w:rsidRDefault="00712E44" w:rsidP="000630B4">
      <w:pPr>
        <w:spacing w:line="360" w:lineRule="auto"/>
        <w:jc w:val="both"/>
        <w:rPr>
          <w:bCs/>
        </w:rPr>
      </w:pPr>
    </w:p>
    <w:p w:rsidR="00712E44" w:rsidRPr="005D0D2C" w:rsidRDefault="00712E44" w:rsidP="000630B4">
      <w:pPr>
        <w:spacing w:line="360" w:lineRule="auto"/>
        <w:jc w:val="both"/>
        <w:rPr>
          <w:bCs/>
        </w:rPr>
      </w:pPr>
      <w:r>
        <w:rPr>
          <w:bCs/>
        </w:rPr>
        <w:t xml:space="preserve">V konečném souhrnu lze konstatovat, že byly všechny cíle diplomové práce splněny.  </w:t>
      </w:r>
    </w:p>
    <w:p w:rsidR="00712E44" w:rsidRDefault="00712E44" w:rsidP="000630B4">
      <w:pPr>
        <w:spacing w:line="360" w:lineRule="auto"/>
        <w:jc w:val="both"/>
        <w:rPr>
          <w:bCs/>
        </w:rPr>
      </w:pPr>
    </w:p>
    <w:p w:rsidR="00712E44" w:rsidRDefault="00712E44" w:rsidP="000630B4">
      <w:pPr>
        <w:spacing w:line="360" w:lineRule="auto"/>
        <w:jc w:val="both"/>
        <w:rPr>
          <w:bCs/>
        </w:rPr>
      </w:pPr>
    </w:p>
    <w:p w:rsidR="00712E44" w:rsidRDefault="00712E44" w:rsidP="000630B4">
      <w:pPr>
        <w:spacing w:line="360" w:lineRule="auto"/>
        <w:jc w:val="both"/>
      </w:pPr>
      <w:r>
        <w:rPr>
          <w:b/>
          <w:sz w:val="28"/>
          <w:szCs w:val="28"/>
        </w:rPr>
        <w:t>6.2 Návrh řešení</w:t>
      </w:r>
    </w:p>
    <w:p w:rsidR="00712E44" w:rsidRDefault="00712E44" w:rsidP="000630B4">
      <w:pPr>
        <w:spacing w:line="360" w:lineRule="auto"/>
        <w:jc w:val="both"/>
      </w:pPr>
    </w:p>
    <w:p w:rsidR="00712E44" w:rsidRDefault="00712E44" w:rsidP="000630B4">
      <w:pPr>
        <w:spacing w:line="360" w:lineRule="auto"/>
        <w:jc w:val="both"/>
      </w:pPr>
      <w:r>
        <w:t xml:space="preserve">Slovensko patří k malým vysoce otevřeným ekonomikám, ale ve srovnání s jinými zeměmi, které lze zahrnout do stejné skupiny rozvinutosti, patří Slovenská republika k těm, co mají nejnižší odborné a inovační předpoklady. Nedostatky jsou patrné především v oblasti základní infrastruktury a v oblasti vyššího vzdělávání. V zájmu zajištění udržitelného růstu slovenské </w:t>
      </w:r>
      <w:r>
        <w:lastRenderedPageBreak/>
        <w:t xml:space="preserve">ekonomiky je nutné zvýšení kvality vzdělávacího procesu a výraznější zaměření na výzkum, vývoj a inovace. </w:t>
      </w:r>
    </w:p>
    <w:p w:rsidR="00712E44" w:rsidRDefault="00712E44" w:rsidP="000630B4">
      <w:pPr>
        <w:spacing w:line="360" w:lineRule="auto"/>
        <w:jc w:val="both"/>
      </w:pPr>
    </w:p>
    <w:p w:rsidR="00712E44" w:rsidRDefault="00712E44" w:rsidP="000630B4">
      <w:pPr>
        <w:spacing w:line="360" w:lineRule="auto"/>
        <w:jc w:val="both"/>
      </w:pPr>
      <w:r>
        <w:t>K nejpodstatnějším konkurenčním nevýhodám Slovenska podle některých studií patří nízká efektivnost právního systému, s tím související administrativní zatížení podnikání, neefektivní vládní byrokracie, účelnost vládní spotřeby a v neposlední řadě korupce. Eliminace těchto negativních faktorů by mohla vést na Slovensku k lepší konkurenceschopnosti.</w:t>
      </w:r>
    </w:p>
    <w:p w:rsidR="00712E44" w:rsidRDefault="00712E44" w:rsidP="000630B4">
      <w:pPr>
        <w:spacing w:line="360" w:lineRule="auto"/>
        <w:jc w:val="both"/>
      </w:pPr>
    </w:p>
    <w:p w:rsidR="00712E44" w:rsidRDefault="00712E44" w:rsidP="000630B4">
      <w:pPr>
        <w:spacing w:line="360" w:lineRule="auto"/>
        <w:jc w:val="both"/>
      </w:pPr>
      <w:r>
        <w:t>Pro zajištění dlouhodobého udržení hospodářského růstu je důležitá i fiskální disciplína. Prostřednictvím vhodných strukturálních reforem by mohlo dojít ke zvyšování flexibility hospodářství a pružnosti trhu, což je výhodné i pro rozvoj konkurenceschopnosti slovenského ekonomického prostředí a především pro rozvoj pružnosti trhu práce.</w:t>
      </w:r>
    </w:p>
    <w:p w:rsidR="00712E44" w:rsidRDefault="00712E44" w:rsidP="000630B4">
      <w:pPr>
        <w:spacing w:line="360" w:lineRule="auto"/>
        <w:jc w:val="both"/>
      </w:pPr>
    </w:p>
    <w:p w:rsidR="00712E44" w:rsidRPr="003A0D4B" w:rsidRDefault="00712E44" w:rsidP="000630B4">
      <w:pPr>
        <w:spacing w:line="360" w:lineRule="auto"/>
        <w:jc w:val="both"/>
      </w:pPr>
      <w:r>
        <w:t xml:space="preserve">Ekonomické cykly patří k přirozenému vývoji tržní ekonomiky. Stabilita ekonomického prostředí se projevuje tím, že i v době recese dokáže země fungovat s co nejnižšími náklady. Podílet se na zajišťování hospodářské stability je v zájmu všech ekonomických subjektů. </w:t>
      </w:r>
    </w:p>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0630B4"/>
    <w:p w:rsidR="00712E44" w:rsidRDefault="00712E44" w:rsidP="00B27C12">
      <w:pPr>
        <w:spacing w:line="360" w:lineRule="auto"/>
        <w:jc w:val="both"/>
        <w:rPr>
          <w:b/>
          <w:sz w:val="28"/>
          <w:szCs w:val="28"/>
        </w:rPr>
      </w:pPr>
    </w:p>
    <w:p w:rsidR="00712E44" w:rsidRDefault="00712E44" w:rsidP="00B27C12">
      <w:pPr>
        <w:spacing w:line="360" w:lineRule="auto"/>
        <w:jc w:val="both"/>
        <w:rPr>
          <w:b/>
          <w:sz w:val="28"/>
          <w:szCs w:val="28"/>
        </w:rPr>
      </w:pPr>
    </w:p>
    <w:p w:rsidR="00712E44" w:rsidRDefault="00712E44" w:rsidP="00B27C12">
      <w:pPr>
        <w:spacing w:line="360" w:lineRule="auto"/>
        <w:jc w:val="both"/>
        <w:rPr>
          <w:b/>
          <w:sz w:val="28"/>
          <w:szCs w:val="28"/>
        </w:rPr>
      </w:pPr>
    </w:p>
    <w:p w:rsidR="00712E44" w:rsidRDefault="00712E44" w:rsidP="00B27C12">
      <w:pPr>
        <w:spacing w:line="360" w:lineRule="auto"/>
        <w:jc w:val="both"/>
        <w:rPr>
          <w:b/>
          <w:sz w:val="28"/>
          <w:szCs w:val="28"/>
        </w:rPr>
      </w:pPr>
    </w:p>
    <w:p w:rsidR="00712E44" w:rsidRDefault="00712E44" w:rsidP="00B27C12">
      <w:pPr>
        <w:spacing w:line="360" w:lineRule="auto"/>
        <w:jc w:val="both"/>
      </w:pPr>
      <w:r>
        <w:rPr>
          <w:b/>
          <w:sz w:val="28"/>
          <w:szCs w:val="28"/>
        </w:rPr>
        <w:lastRenderedPageBreak/>
        <w:t>Závěr</w:t>
      </w:r>
    </w:p>
    <w:p w:rsidR="00712E44" w:rsidRDefault="00712E44" w:rsidP="00B27C12">
      <w:pPr>
        <w:spacing w:line="360" w:lineRule="auto"/>
        <w:jc w:val="both"/>
      </w:pPr>
    </w:p>
    <w:p w:rsidR="00712E44" w:rsidRDefault="00712E44" w:rsidP="00D76083">
      <w:pPr>
        <w:spacing w:line="360" w:lineRule="auto"/>
        <w:jc w:val="both"/>
      </w:pPr>
      <w:r>
        <w:t xml:space="preserve">Při příležitosti desetiletého výročí EMU se shodou okolností stala jeho členskou zemí Slovenská republika. Jejím cílem bylo využít všech výhod a přínosů, jež převyšují </w:t>
      </w:r>
      <w:r>
        <w:br/>
        <w:t xml:space="preserve">nad náklady a riziky s tím spojených. </w:t>
      </w:r>
    </w:p>
    <w:p w:rsidR="00712E44" w:rsidRDefault="00712E44" w:rsidP="00D76083">
      <w:pPr>
        <w:spacing w:line="360" w:lineRule="auto"/>
        <w:jc w:val="both"/>
      </w:pPr>
    </w:p>
    <w:p w:rsidR="00712E44" w:rsidRDefault="00712E44" w:rsidP="00D76083">
      <w:pPr>
        <w:spacing w:line="360" w:lineRule="auto"/>
        <w:jc w:val="both"/>
      </w:pPr>
      <w:r>
        <w:t xml:space="preserve">Podstatou diplomové práce bylo dosažení stanovených cílů a současně potvrzení, či vyvrácení hypotéz uvedených v první kapitole. </w:t>
      </w:r>
    </w:p>
    <w:p w:rsidR="00712E44" w:rsidRDefault="00712E44" w:rsidP="00D76083">
      <w:pPr>
        <w:spacing w:line="360" w:lineRule="auto"/>
        <w:jc w:val="both"/>
      </w:pPr>
    </w:p>
    <w:p w:rsidR="00712E44" w:rsidRDefault="00712E44" w:rsidP="00D76083">
      <w:pPr>
        <w:spacing w:line="360" w:lineRule="auto"/>
        <w:jc w:val="both"/>
      </w:pPr>
      <w:r>
        <w:t xml:space="preserve">Smysl a význam evropské měnové integrace dokládá obsah druhé kapitoly diplomové práce, který vychází z historického vývoje EMU. Představuje stručnou analýzu jednotlivých kroků </w:t>
      </w:r>
      <w:r>
        <w:br/>
        <w:t xml:space="preserve">a přehled událostí, které vedly ke vzniku eurozóny, a to od první myšlenky o vytvoření jednotné Hospodářské a měnové unie až po její současné složení. </w:t>
      </w:r>
    </w:p>
    <w:p w:rsidR="00712E44" w:rsidRDefault="00712E44" w:rsidP="00D76083">
      <w:pPr>
        <w:spacing w:line="360" w:lineRule="auto"/>
        <w:jc w:val="both"/>
      </w:pPr>
    </w:p>
    <w:p w:rsidR="00712E44" w:rsidRDefault="00712E44" w:rsidP="00D76083">
      <w:pPr>
        <w:spacing w:line="360" w:lineRule="auto"/>
        <w:jc w:val="both"/>
      </w:pPr>
      <w:r>
        <w:t xml:space="preserve">Třetí kapitola potvrzuje hladký průběh procesu a organizace zavedení nové měny </w:t>
      </w:r>
      <w:r>
        <w:br/>
        <w:t>na Slovensku. Byla zaměřená na celý integrační postup Slovenské republiky, což zahrnuje např. plnění konvergenčních kritérií nebo zásady zavedení nové měny uvedené v </w:t>
      </w:r>
      <w:r w:rsidRPr="00DF6911">
        <w:rPr>
          <w:i/>
        </w:rPr>
        <w:t>Národnom pláne zavedenia eura v SR</w:t>
      </w:r>
      <w:r>
        <w:t xml:space="preserve">. </w:t>
      </w:r>
    </w:p>
    <w:p w:rsidR="00712E44" w:rsidRDefault="00712E44" w:rsidP="00D76083">
      <w:pPr>
        <w:spacing w:line="360" w:lineRule="auto"/>
        <w:jc w:val="both"/>
      </w:pPr>
    </w:p>
    <w:p w:rsidR="00712E44" w:rsidRDefault="00712E44" w:rsidP="00D76083">
      <w:pPr>
        <w:spacing w:line="360" w:lineRule="auto"/>
        <w:jc w:val="both"/>
      </w:pPr>
      <w:r>
        <w:t xml:space="preserve">Nové přínosy a příležitosti jednotné měny, které plynou z rozsahu hospodářství eurozóny, mají vést k větší efektivnosti jednotného trhu. Jedním z hlavních cílů diplomové práce bylo zjistit, jestli tyto výhody a nové možnosti přinesly slibovaný prospěch i Slovenské republice. Všechny přímé výhody i nepřímé přínosy byly uvedeny a rozebírány ve čtvrté kapitole.  </w:t>
      </w:r>
    </w:p>
    <w:p w:rsidR="00712E44" w:rsidRDefault="00712E44" w:rsidP="00D76083">
      <w:pPr>
        <w:spacing w:line="360" w:lineRule="auto"/>
        <w:jc w:val="both"/>
      </w:pPr>
    </w:p>
    <w:p w:rsidR="00712E44" w:rsidRDefault="00712E44" w:rsidP="00D76083">
      <w:pPr>
        <w:spacing w:line="360" w:lineRule="auto"/>
        <w:jc w:val="both"/>
      </w:pPr>
      <w:r>
        <w:t xml:space="preserve">Zavedení eura eliminovalo potřebu směňovat peníze a tím i dodatečné náklady, rizika </w:t>
      </w:r>
      <w:r>
        <w:br/>
        <w:t xml:space="preserve">a nedostatečnou transparentnost v rámci přeshraničních operací. Společná měna zajistila podnikání v rámci EMU a současně i ostatních zemí, které přijaly euro za zákonné platidlo, méně riskantní a nákladově efektivnější. Dalším zjištěním bylo, že ne každá výhoda představuje přínos pro všechny subjekty, což lze podložit fakty uvedenými např. v subkapitole o eliminaci transakčních nákladů.  </w:t>
      </w:r>
    </w:p>
    <w:p w:rsidR="00712E44" w:rsidRDefault="00712E44" w:rsidP="00D76083">
      <w:pPr>
        <w:spacing w:line="360" w:lineRule="auto"/>
        <w:jc w:val="both"/>
      </w:pPr>
    </w:p>
    <w:p w:rsidR="00712E44" w:rsidRDefault="00712E44" w:rsidP="00D76083">
      <w:pPr>
        <w:spacing w:line="360" w:lineRule="auto"/>
        <w:jc w:val="both"/>
      </w:pPr>
      <w:r>
        <w:t xml:space="preserve">Obsah diplomové práce byl zaměřen na působení vlivů eura v souvislosti s vývojem ekonomické výkonnosti Slovenska. Bylo nutné vycházet již z prvotních nákladů, které </w:t>
      </w:r>
      <w:r>
        <w:lastRenderedPageBreak/>
        <w:t xml:space="preserve">představovaly pouze výdaje krátkodobého charakteru. Na základě zjištění, která plynou z analýzy v kapitole 4, byly tyto náklady z ekonomického hlediska nižší, než přímé výhody zavedení nové měny. </w:t>
      </w:r>
    </w:p>
    <w:p w:rsidR="00712E44" w:rsidRDefault="00712E44" w:rsidP="00D76083">
      <w:pPr>
        <w:spacing w:line="360" w:lineRule="auto"/>
        <w:jc w:val="both"/>
      </w:pPr>
    </w:p>
    <w:p w:rsidR="00712E44" w:rsidRDefault="00712E44" w:rsidP="00D76083">
      <w:pPr>
        <w:spacing w:line="360" w:lineRule="auto"/>
        <w:jc w:val="both"/>
      </w:pPr>
      <w:r>
        <w:t xml:space="preserve">Vývoj nepřímých přínosů nebylo možné z důvodu krátkého působení SR v EMU klasifikovat. Další ovlivňující faktor, který vývoj nepřímých přínosů zkreslil, představovala v té době silně probíhající globální hospodářská krize.  </w:t>
      </w:r>
    </w:p>
    <w:p w:rsidR="00712E44" w:rsidRDefault="00712E44" w:rsidP="00D76083">
      <w:pPr>
        <w:spacing w:line="360" w:lineRule="auto"/>
        <w:jc w:val="both"/>
      </w:pPr>
    </w:p>
    <w:p w:rsidR="00712E44" w:rsidRDefault="00712E44" w:rsidP="00D76083">
      <w:pPr>
        <w:spacing w:line="360" w:lineRule="auto"/>
        <w:jc w:val="both"/>
      </w:pPr>
      <w:r>
        <w:t>Ekonomika Slovenska se v roce vstupu do eurozóny vyvíjela více negativně. Pokles poptávky po výrobcích slovenské produkce výrazně ovlivnil v roce zavedení nové měny výsledky hospodaření všech ekonomických subjektů. Z tohoto důvodu bylo několik subkapitol ve čtvrté kapitole věnovaných zjišťování, zdali stojí za rapidním ekonomickým propadem vybraných odvětví a makroekonomických ukazatelů právě zavedení nové měny.</w:t>
      </w:r>
    </w:p>
    <w:p w:rsidR="00712E44" w:rsidRDefault="00712E44" w:rsidP="00D76083">
      <w:pPr>
        <w:spacing w:line="360" w:lineRule="auto"/>
        <w:jc w:val="both"/>
      </w:pPr>
    </w:p>
    <w:p w:rsidR="00712E44" w:rsidRDefault="00712E44" w:rsidP="00D76083">
      <w:pPr>
        <w:spacing w:line="360" w:lineRule="auto"/>
        <w:jc w:val="both"/>
      </w:pPr>
      <w:r>
        <w:t xml:space="preserve">Prostřednictvím všech zjištění lze konstatovat, že k značně nepříznivému průběhu došlo v závislosti na působení celosvětové hospodářské krize. Dramatický pokles významných makroekonomických ukazatelů naznačuje recesi slovenského hospodářství, jejíž počátky sahají do posledního kvartálu v roce 2008. </w:t>
      </w:r>
    </w:p>
    <w:p w:rsidR="00712E44" w:rsidRDefault="00712E44" w:rsidP="00D76083">
      <w:pPr>
        <w:spacing w:line="360" w:lineRule="auto"/>
        <w:jc w:val="both"/>
      </w:pPr>
    </w:p>
    <w:p w:rsidR="00712E44" w:rsidRDefault="00712E44" w:rsidP="00D76083">
      <w:pPr>
        <w:spacing w:line="360" w:lineRule="auto"/>
        <w:jc w:val="both"/>
      </w:pPr>
      <w:r>
        <w:t>Jak bylo dokázáno v kapitole 4, Slovensko ke vstupu do eurozóny využilo nejvhodnějšího časového okamžiku ještě - před plným vypuknutím globální krize. V případě, že by tak neučinilo, jeho vstup do EMU by byl značně oddálen.</w:t>
      </w:r>
    </w:p>
    <w:p w:rsidR="00712E44" w:rsidRDefault="00712E44" w:rsidP="00D76083">
      <w:pPr>
        <w:spacing w:line="360" w:lineRule="auto"/>
        <w:jc w:val="both"/>
      </w:pPr>
    </w:p>
    <w:p w:rsidR="00712E44" w:rsidRDefault="00712E44" w:rsidP="00D76083">
      <w:pPr>
        <w:spacing w:line="360" w:lineRule="auto"/>
        <w:jc w:val="both"/>
      </w:pPr>
      <w:r>
        <w:t xml:space="preserve">Euro ovlivnilo životy všech slovenských obyvatel. Pro lepší představu čtenáře, jakou míru zásahu slovenští občané pocítili, byl sestaven anonymní dotazník, jehož součástí byla možnost dobrovolného vyjádření názoru na novou měnu. Bylo zjištěno, že převážná většina dotázaných novou měnu uvítala. Dalším zjištěním bylo, že státní podpůrné prostředky měly své opodstatnění a pomohly obyvatelům při uvědomování si nové hodnoty.  Obavy z růstu cen při zavedení nové měny byly sice ve čtvrté kapitole označeny za neopodstatněné </w:t>
      </w:r>
      <w:r>
        <w:br/>
        <w:t>a i přes veškerou snahu státu nepoškodit občany, se vnímané inflaci nepodařilo zabránit. Závěr lze podložit analýzou dotazníkového šetření v kapitole 5.</w:t>
      </w:r>
    </w:p>
    <w:p w:rsidR="00712E44" w:rsidRDefault="00712E44" w:rsidP="00D76083">
      <w:pPr>
        <w:spacing w:line="360" w:lineRule="auto"/>
        <w:jc w:val="both"/>
      </w:pPr>
    </w:p>
    <w:p w:rsidR="00712E44" w:rsidRDefault="00712E44" w:rsidP="00D76083">
      <w:pPr>
        <w:spacing w:line="360" w:lineRule="auto"/>
        <w:jc w:val="both"/>
      </w:pPr>
      <w:r>
        <w:t>Úkolem šesté závěrečné kapitoly bylo zjistit splnění všech stanovených cílů diplomové práce a navrhnout možná řešení v souvislosti s rozebíranou problematikou.</w:t>
      </w:r>
    </w:p>
    <w:p w:rsidR="00712E44" w:rsidRDefault="00712E44" w:rsidP="00D76083">
      <w:pPr>
        <w:spacing w:line="360" w:lineRule="auto"/>
        <w:jc w:val="both"/>
      </w:pPr>
      <w:r>
        <w:lastRenderedPageBreak/>
        <w:t xml:space="preserve">Společná evropská měna nepřináší hospodářskou stabilitu a růst členských zemí EMU sama </w:t>
      </w:r>
      <w:r>
        <w:br/>
        <w:t xml:space="preserve">o sobě. K jejich dosažení je potřebné řádné řízení hospodářství v rámci celé eurozóny, </w:t>
      </w:r>
      <w:r>
        <w:br/>
        <w:t>a to podle pravidel Smlouvy a Paktu o stabilitě a růstu. Cílem jednotné měny je zvyšování přínosů jednotného trhu, obchodní politiky a politické spolupráce.</w:t>
      </w:r>
    </w:p>
    <w:p w:rsidR="00712E44" w:rsidRDefault="00712E44" w:rsidP="00D76083">
      <w:pPr>
        <w:spacing w:line="360" w:lineRule="auto"/>
        <w:jc w:val="both"/>
      </w:pPr>
    </w:p>
    <w:p w:rsidR="00712E44" w:rsidRDefault="00712E44" w:rsidP="00D76083">
      <w:pPr>
        <w:spacing w:line="360" w:lineRule="auto"/>
        <w:jc w:val="both"/>
      </w:pPr>
      <w:r>
        <w:t xml:space="preserve">Členství v eurozóně představuje pro jednotlivé ekonomiky fungování v jednotné měnové unii s jednotnou měnovou politikou. S tímto souvisí riziko, že společná měnová politika nebude schopna reagovat na specifické potřeby jednotlivých ekonomik. Z tohoto důvodu </w:t>
      </w:r>
      <w:r>
        <w:br/>
        <w:t xml:space="preserve">je nevyhnutná fiskální disciplína a současně i flexibilita trhu práce, mzdové politiky </w:t>
      </w:r>
      <w:r>
        <w:br/>
        <w:t>a v neposlední řadě kapitálového trhu, jež svou reakcí mohou pomoci rovnováhu obnovit.</w:t>
      </w:r>
    </w:p>
    <w:p w:rsidR="00712E44" w:rsidRDefault="00712E44" w:rsidP="00D76083">
      <w:pPr>
        <w:spacing w:line="360" w:lineRule="auto"/>
        <w:jc w:val="both"/>
      </w:pPr>
    </w:p>
    <w:p w:rsidR="00712E44" w:rsidRDefault="00712E44" w:rsidP="00D76083">
      <w:pPr>
        <w:spacing w:line="360" w:lineRule="auto"/>
        <w:jc w:val="both"/>
      </w:pPr>
      <w:r>
        <w:t xml:space="preserve">K pozitivnímu rozvoji konkurenceschopnosti Slovenska by bezpochyby pomohlo zvýšení kvality vzdělávacího procesu a výraznější zaměření na výzkum, vývoj a inovace, jelikož v uvedených oblastech za evropským průměrem výrazně zaostává. Toto tvrzení, uvedené </w:t>
      </w:r>
      <w:r>
        <w:br/>
        <w:t xml:space="preserve">i v rámci šesté kapitoly, je současně návrhem možného řešení, které souvisí s rozebíranou problematikou diplomové práce. </w:t>
      </w:r>
    </w:p>
    <w:p w:rsidR="00712E44" w:rsidRDefault="00712E44" w:rsidP="00D76083">
      <w:pPr>
        <w:spacing w:line="360" w:lineRule="auto"/>
        <w:jc w:val="both"/>
      </w:pPr>
    </w:p>
    <w:p w:rsidR="00712E44" w:rsidRDefault="00712E44" w:rsidP="00D76083">
      <w:pPr>
        <w:spacing w:line="360" w:lineRule="auto"/>
        <w:jc w:val="both"/>
      </w:pPr>
      <w:r>
        <w:t xml:space="preserve">Jednotná měna mimo jiné umožňuje méně nákladné a jednodušší fungování obchodních vztahů mezi členskými zeměmi. Současně usnadňuje jak pohyb kapitálu, tak i cestování občanů v rámci eurozóny. </w:t>
      </w:r>
    </w:p>
    <w:p w:rsidR="00712E44" w:rsidRDefault="00712E44" w:rsidP="00D76083">
      <w:pPr>
        <w:spacing w:line="360" w:lineRule="auto"/>
        <w:jc w:val="both"/>
      </w:pPr>
    </w:p>
    <w:p w:rsidR="00712E44" w:rsidRDefault="00712E44" w:rsidP="00D76083">
      <w:pPr>
        <w:spacing w:line="360" w:lineRule="auto"/>
        <w:jc w:val="both"/>
      </w:pPr>
      <w:r>
        <w:t>V období krize se sice projevily i negativní důsledky spojené se zavedením jednotné měny, přesto nelze s jistotou tvrdit, že by byly členské státy eurozóny bez eura v menší recesi, nežli s ním.</w:t>
      </w:r>
    </w:p>
    <w:p w:rsidR="00712E44" w:rsidRDefault="00712E44" w:rsidP="00D76083">
      <w:pPr>
        <w:spacing w:line="360" w:lineRule="auto"/>
        <w:jc w:val="both"/>
      </w:pPr>
    </w:p>
    <w:p w:rsidR="00712E44" w:rsidRDefault="00712E44" w:rsidP="00D76083">
      <w:pPr>
        <w:spacing w:line="360" w:lineRule="auto"/>
        <w:jc w:val="both"/>
      </w:pPr>
      <w:r>
        <w:t xml:space="preserve">Nečekané ekonomické zvraty by měly vést k intenzivnější komunikaci a spolupráci mezi příslušnými evropskými institucemi i orgány a rovněž k  efektivnějším způsobům sladění ekonomik jednotlivých členů eurozóny, aby bylo možné lépe zvládat důsledky negativních hospodářských jevů v rámci celé EMU. </w:t>
      </w:r>
    </w:p>
    <w:p w:rsidR="00712E44" w:rsidRDefault="00712E44" w:rsidP="00D76083">
      <w:pPr>
        <w:spacing w:line="360" w:lineRule="auto"/>
        <w:jc w:val="both"/>
      </w:pPr>
    </w:p>
    <w:p w:rsidR="00712E44" w:rsidRDefault="00712E44" w:rsidP="00D76083">
      <w:pPr>
        <w:spacing w:line="360" w:lineRule="auto"/>
        <w:jc w:val="both"/>
      </w:pPr>
      <w:r>
        <w:t xml:space="preserve">Jedním z hlavních problémů eurozóny je, že i když mají její členské státy jednotnou monetární politiku, rozhodování o fiskální politice každého státu je v kompetenci samostatných ministrů financí. Lepší koordinace hospodářských politik jednotlivých členských zemí by mohla posílit význam a efektivitu eurozóny. </w:t>
      </w:r>
    </w:p>
    <w:p w:rsidR="00712E44" w:rsidRDefault="00712E44" w:rsidP="00D76083">
      <w:pPr>
        <w:spacing w:line="360" w:lineRule="auto"/>
        <w:jc w:val="both"/>
      </w:pPr>
      <w:r>
        <w:lastRenderedPageBreak/>
        <w:t xml:space="preserve">Euro jako konkurenceschopné mezinárodní platidlo bude s největší pravděpodobností hrát </w:t>
      </w:r>
      <w:r>
        <w:br/>
        <w:t xml:space="preserve">i díky rychle rozvíjejícím se asijským ekonomikám stále důležitější globální roli. </w:t>
      </w:r>
    </w:p>
    <w:p w:rsidR="00712E44" w:rsidRDefault="00712E44" w:rsidP="00D76083">
      <w:pPr>
        <w:spacing w:line="360" w:lineRule="auto"/>
        <w:jc w:val="both"/>
      </w:pPr>
      <w:r>
        <w:t xml:space="preserve"> </w:t>
      </w:r>
    </w:p>
    <w:p w:rsidR="00712E44" w:rsidRDefault="00712E44" w:rsidP="00D76083">
      <w:pPr>
        <w:spacing w:line="360" w:lineRule="auto"/>
        <w:jc w:val="both"/>
      </w:pPr>
      <w:r>
        <w:t>Vstupem prozatím poslední 17. země, Estonska, do eurozóny vzrostl počet Evropanů používajících jednotnou měnu přibližně na 331 milionů lidí. Toto rozšíření bude mít pozitivní vliv i na Slovenskou republiku, protože je s Estonskem obchodně propojená. Zároveň dokazuje, že i přes současnou nepříznivou situaci má Evropská měnová unie zájem a snahu dosahovat stanovené cíle jednotné měnové politiky a zvyšovat míru přínosů pro jednotlivé členské země eurozóny.</w:t>
      </w:r>
    </w:p>
    <w:p w:rsidR="00712E44" w:rsidRDefault="00712E44" w:rsidP="00B27C12">
      <w:pPr>
        <w:spacing w:line="360" w:lineRule="auto"/>
        <w:jc w:val="both"/>
      </w:pPr>
    </w:p>
    <w:p w:rsidR="00712E44" w:rsidRPr="000630B4" w:rsidRDefault="00712E44" w:rsidP="00B27C12">
      <w:pPr>
        <w:spacing w:line="360" w:lineRule="auto"/>
        <w:jc w:val="both"/>
        <w:rPr>
          <w:b/>
          <w:sz w:val="28"/>
          <w:szCs w:val="28"/>
        </w:rPr>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Default="00712E44" w:rsidP="000C51B0">
      <w:pPr>
        <w:pStyle w:val="Textpoznpodarou"/>
        <w:spacing w:line="360" w:lineRule="auto"/>
        <w:rPr>
          <w:b/>
          <w:sz w:val="26"/>
          <w:szCs w:val="26"/>
        </w:rPr>
      </w:pPr>
    </w:p>
    <w:p w:rsidR="00712E44" w:rsidRPr="008A7CA2" w:rsidRDefault="00712E44" w:rsidP="000C51B0">
      <w:pPr>
        <w:pStyle w:val="Textpoznpodarou"/>
        <w:spacing w:line="360" w:lineRule="auto"/>
        <w:rPr>
          <w:b/>
          <w:sz w:val="26"/>
          <w:szCs w:val="26"/>
        </w:rPr>
      </w:pPr>
      <w:r w:rsidRPr="008A7CA2">
        <w:rPr>
          <w:b/>
          <w:sz w:val="26"/>
          <w:szCs w:val="26"/>
        </w:rPr>
        <w:lastRenderedPageBreak/>
        <w:t>Seznam citací</w:t>
      </w:r>
    </w:p>
    <w:p w:rsidR="00712E44"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Analýza dopadov zavedenia eura na slovenský finančný trh  </w:t>
      </w:r>
      <w:r w:rsidRPr="00007BBD">
        <w:t xml:space="preserve">[online]. Bratislava: Národná banka Slovenska, </w:t>
      </w:r>
      <w:r w:rsidRPr="00007BBD">
        <w:br/>
        <w:t>[cit. 2011-04-10]. Dostupný z WWW:</w:t>
      </w:r>
      <w:r>
        <w:t xml:space="preserve"> </w:t>
      </w:r>
      <w:r w:rsidRPr="00007BBD">
        <w:rPr>
          <w:i/>
        </w:rPr>
        <w:t>&lt;http://www.nbs.sk/_img/Documents/_Dohlad%5CORM%5CAnalyzy%5CANALEUR.PDF</w:t>
      </w:r>
      <w:r w:rsidRPr="00E67258">
        <w:rPr>
          <w:i/>
        </w:rPr>
        <w:t xml:space="preserve"> &gt;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Analýza vplyvu zavedenia eura na infláciu na Slovensku (euro changeover effect) </w:t>
      </w:r>
      <w:r w:rsidRPr="00007BBD">
        <w:t xml:space="preserve">[online]. Bratislava: Ministerstvo financií Slovenskej republiky, 2009 [cit. 2011-04-08]. Dostupný z WWW: </w:t>
      </w:r>
      <w:r w:rsidRPr="00007BBD">
        <w:rPr>
          <w:lang w:val="en-US"/>
        </w:rPr>
        <w:t>&lt;http://www.finance.gov.sk/Documents/Ifp/Publikacie/makro/EA15_EURO_A_INFLACIA.pdf</w:t>
      </w:r>
      <w:r w:rsidRPr="00007BBD">
        <w:t>&gt;</w:t>
      </w:r>
    </w:p>
    <w:p w:rsidR="00712E44" w:rsidRPr="00007BBD" w:rsidRDefault="00712E44" w:rsidP="000C51B0">
      <w:pPr>
        <w:pStyle w:val="Textpoznpodarou"/>
        <w:spacing w:line="360" w:lineRule="auto"/>
        <w:rPr>
          <w:i/>
          <w:color w:val="FF0000"/>
        </w:rPr>
      </w:pPr>
    </w:p>
    <w:p w:rsidR="00712E44" w:rsidRPr="00E67258" w:rsidRDefault="00712E44" w:rsidP="000C51B0">
      <w:pPr>
        <w:pStyle w:val="Textpoznpodarou"/>
        <w:spacing w:line="360" w:lineRule="auto"/>
        <w:ind w:left="0" w:firstLine="0"/>
        <w:rPr>
          <w:i/>
          <w:lang w:val="de-DE"/>
        </w:rPr>
      </w:pPr>
      <w:r w:rsidRPr="000C51B0">
        <w:rPr>
          <w:i/>
        </w:rPr>
        <w:t xml:space="preserve">Co je to hedging? </w:t>
      </w:r>
      <w:r w:rsidRPr="000C51B0">
        <w:t xml:space="preserve">[online]. [cit. 2011-04-15]. Dostupný z WWW: </w:t>
      </w:r>
      <w:r w:rsidRPr="000C51B0">
        <w:rPr>
          <w:i/>
        </w:rPr>
        <w:t>&lt;</w:t>
      </w:r>
      <w:r w:rsidRPr="000C51B0">
        <w:t>h</w:t>
      </w:r>
      <w:r w:rsidRPr="000C51B0">
        <w:rPr>
          <w:i/>
        </w:rPr>
        <w:t>ttp://www.xtb.cz/vzdelani/hedging/co_je_to_hedging/</w:t>
      </w:r>
      <w:r w:rsidRPr="00E67258">
        <w:rPr>
          <w:i/>
          <w:lang w:val="de-DE"/>
        </w:rPr>
        <w:t>&gt;</w:t>
      </w:r>
    </w:p>
    <w:p w:rsidR="00712E44" w:rsidRPr="000C51B0" w:rsidRDefault="00712E44" w:rsidP="000C51B0">
      <w:pPr>
        <w:pStyle w:val="Textpoznpodarou"/>
        <w:spacing w:line="360" w:lineRule="auto"/>
        <w:rPr>
          <w:i/>
        </w:rPr>
      </w:pPr>
    </w:p>
    <w:p w:rsidR="00712E44" w:rsidRPr="000C51B0" w:rsidRDefault="00712E44" w:rsidP="000C51B0">
      <w:pPr>
        <w:pStyle w:val="Textpoznpodarou"/>
        <w:spacing w:line="360" w:lineRule="auto"/>
        <w:ind w:left="0" w:firstLine="0"/>
      </w:pPr>
      <w:r w:rsidRPr="000C51B0">
        <w:rPr>
          <w:i/>
        </w:rPr>
        <w:t xml:space="preserve">Co je to inflace </w:t>
      </w:r>
      <w:r w:rsidRPr="000C51B0">
        <w:t xml:space="preserve">[online]. [cit. 2011-04-04]. Dostupný z WWW: </w:t>
      </w:r>
      <w:r w:rsidRPr="000C51B0">
        <w:rPr>
          <w:i/>
        </w:rPr>
        <w:t xml:space="preserve"> &lt;http://www.finance.cz/ekonomika/informace/inflace/co-je-inflace/</w:t>
      </w:r>
      <w:r w:rsidRPr="00E67258">
        <w:rPr>
          <w:i/>
          <w:lang w:val="de-DE"/>
        </w:rPr>
        <w:t>&gt;</w:t>
      </w:r>
    </w:p>
    <w:p w:rsidR="00712E44"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Čo je inflácia? </w:t>
      </w:r>
      <w:r w:rsidRPr="00007BBD">
        <w:t xml:space="preserve">[online]. Frankfurt nad Mohanem: Evropská centrální banka [cit. 2011-04-04]. Dostupný </w:t>
      </w:r>
      <w:r>
        <w:br/>
        <w:t xml:space="preserve">z </w:t>
      </w:r>
      <w:r w:rsidRPr="00007BBD">
        <w:t xml:space="preserve">WWW: </w:t>
      </w:r>
      <w:r w:rsidRPr="00E67258">
        <w:t>&lt;http://www.ecb.int/ecb/educational/hicp/html/index.sk.html</w:t>
      </w:r>
      <w:r w:rsidRPr="00007BBD">
        <w:t xml:space="preserve"> &gt;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Dlh verejnej správy - konsolidovaný</w:t>
      </w:r>
      <w:r w:rsidRPr="00007BBD">
        <w:t>[online]. Bratislava: Ministerstvo financií SR [cit. 2011-04-11]. Dostupný z WWW:h</w:t>
      </w:r>
      <w:r w:rsidRPr="00E67258">
        <w:t>ttp://www.finance.gov.sk/Components/CategoryDocuments/s_LoadDocument.aspx?categoryId=5234&amp;documentId=5219</w:t>
      </w:r>
      <w:r w:rsidRPr="00007BBD">
        <w:t xml:space="preserve"> &gt;</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ERM II </w:t>
      </w:r>
      <w:r w:rsidRPr="00007BBD">
        <w:t xml:space="preserve">[online]. Bratislava: Úrad vlády SR, 1998 - 2011 [cit. 2011-03-12]. Dostupný z WWW: </w:t>
      </w:r>
      <w:r w:rsidRPr="00E67258">
        <w:t>&lt;http://www.government.gov.sk/index.php?ID=1044</w:t>
      </w:r>
      <w:r w:rsidRPr="00007BBD">
        <w:t xml:space="preserve"> &gt;</w:t>
      </w:r>
    </w:p>
    <w:p w:rsidR="00712E44" w:rsidRPr="00007BBD" w:rsidRDefault="00712E44" w:rsidP="000C51B0">
      <w:pPr>
        <w:pStyle w:val="Textpoznpodarou"/>
        <w:spacing w:line="360" w:lineRule="auto"/>
        <w:rPr>
          <w:i/>
          <w:color w:val="FF0000"/>
        </w:rPr>
      </w:pPr>
    </w:p>
    <w:p w:rsidR="00712E44" w:rsidRPr="000C51B0" w:rsidRDefault="00712E44" w:rsidP="000C51B0">
      <w:pPr>
        <w:pStyle w:val="Textpoznpodarou"/>
        <w:spacing w:line="360" w:lineRule="auto"/>
        <w:ind w:left="0" w:firstLine="0"/>
      </w:pPr>
      <w:r w:rsidRPr="000C51B0">
        <w:rPr>
          <w:i/>
        </w:rPr>
        <w:t xml:space="preserve">Euro ušetrí Slovensku na transakčných nákladoch 7 miliárd </w:t>
      </w:r>
      <w:r w:rsidRPr="000C51B0">
        <w:t xml:space="preserve">[online]. Bratislava: Ministerstvo financií Slovenskej republiky, 2008 [cit. 2010-11-26]. Dostupný z WWW: </w:t>
      </w:r>
      <w:r w:rsidRPr="000C51B0">
        <w:rPr>
          <w:lang w:val="en-US"/>
        </w:rPr>
        <w:t>&lt;</w:t>
      </w:r>
      <w:r w:rsidRPr="000C51B0">
        <w:t xml:space="preserve">http://www.euromena.sk/aktuality/11226c&gt; </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Evropský měnový institut (EMI) </w:t>
      </w:r>
      <w:r w:rsidRPr="00007BBD">
        <w:t>[online]. Praha: Czech Trade, Ministerstvo průmyslu a obchodu ČR</w:t>
      </w:r>
      <w:r w:rsidRPr="00007BBD">
        <w:br/>
        <w:t xml:space="preserve"> [cit. 2010-06-12]. Dostupný z WWW: </w:t>
      </w:r>
      <w:r w:rsidRPr="00E67258">
        <w:t>&lt;</w:t>
      </w:r>
      <w:r w:rsidRPr="00007BBD">
        <w:t xml:space="preserve">http://www.businessinfo.cz/cz/clanek/e/evropsky-menovy-institut-emi/1000697/6301/ &gt; </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Evropský měnový systém </w:t>
      </w:r>
      <w:r w:rsidRPr="00007BBD">
        <w:t xml:space="preserve">[online]. Praha: Ministerstvo financí ČR [cit. 2010-06-12]. Dostupný z WWW:    </w:t>
      </w:r>
      <w:r w:rsidRPr="00007BBD">
        <w:rPr>
          <w:i/>
        </w:rPr>
        <w:t xml:space="preserve"> </w:t>
      </w:r>
      <w:r w:rsidRPr="00E67258">
        <w:t>&lt;</w:t>
      </w:r>
      <w:r w:rsidRPr="00007BBD">
        <w:t>http://www.zavedenieura.cz/cps/rde/xchg/euro/xsl/euro_pocatky_men_spolupr.html&gt;</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Evropský nástroj finanční stability </w:t>
      </w:r>
      <w:r w:rsidRPr="00007BBD">
        <w:t>[online]. Praha: Ministerstvo financí, 2010 [cit. 2011-04-13]. Dostupný z WWW:</w:t>
      </w:r>
      <w:r w:rsidRPr="00007BBD">
        <w:rPr>
          <w:i/>
        </w:rPr>
        <w:t xml:space="preserve"> </w:t>
      </w:r>
      <w:r w:rsidRPr="00E67258">
        <w:t>&lt;</w:t>
      </w:r>
      <w:r w:rsidRPr="00007BBD">
        <w:t>http://www.zavedenieura.cz/ cps/rde/xchg/euro/xsl/index_1631.html &gt;</w:t>
      </w:r>
    </w:p>
    <w:p w:rsidR="00712E44" w:rsidRPr="00007BBD" w:rsidRDefault="00712E44" w:rsidP="000C51B0">
      <w:pPr>
        <w:pStyle w:val="Textpoznpodarou"/>
        <w:spacing w:line="360" w:lineRule="auto"/>
        <w:rPr>
          <w:i/>
        </w:rPr>
      </w:pPr>
    </w:p>
    <w:p w:rsidR="00712E44" w:rsidRDefault="00712E44" w:rsidP="008A7CA2">
      <w:pPr>
        <w:pStyle w:val="Textpoznpodarou"/>
        <w:spacing w:line="360" w:lineRule="auto"/>
        <w:ind w:left="0" w:firstLine="0"/>
        <w:rPr>
          <w:i/>
        </w:rPr>
      </w:pPr>
    </w:p>
    <w:p w:rsidR="00712E44" w:rsidRPr="00007BBD" w:rsidRDefault="00712E44" w:rsidP="008A7CA2">
      <w:pPr>
        <w:pStyle w:val="Textpoznpodarou"/>
        <w:spacing w:line="360" w:lineRule="auto"/>
        <w:ind w:left="0" w:firstLine="0"/>
      </w:pPr>
      <w:r w:rsidRPr="00007BBD">
        <w:rPr>
          <w:i/>
        </w:rPr>
        <w:lastRenderedPageBreak/>
        <w:t xml:space="preserve">Hlavní cíle EU </w:t>
      </w:r>
      <w:r w:rsidRPr="00007BBD">
        <w:t xml:space="preserve">[online]. Praha: Ministerstvo financí ČR [cit. 2011-04-16]. Dostupný z WWW:    </w:t>
      </w:r>
      <w:r w:rsidRPr="00007BBD">
        <w:rPr>
          <w:i/>
        </w:rPr>
        <w:t xml:space="preserve"> </w:t>
      </w:r>
      <w:r w:rsidRPr="00E67258">
        <w:t>&lt;http://www.mfcr.cz/cps/rde/xchg/mfcr/xsl/pom_eu_ukonprogr_11303.html?year=PRESENT</w:t>
      </w:r>
      <w:r w:rsidRPr="00007BBD">
        <w:t xml:space="preserve"> &gt;</w:t>
      </w:r>
    </w:p>
    <w:p w:rsidR="00712E44" w:rsidRDefault="00712E44" w:rsidP="008A7CA2">
      <w:pPr>
        <w:pStyle w:val="Textpoznpodarou"/>
        <w:spacing w:line="360" w:lineRule="auto"/>
        <w:ind w:left="0" w:firstLine="0"/>
        <w:rPr>
          <w:i/>
        </w:rPr>
      </w:pPr>
    </w:p>
    <w:p w:rsidR="00712E44" w:rsidRPr="00007BBD" w:rsidRDefault="00712E44" w:rsidP="008A7CA2">
      <w:pPr>
        <w:pStyle w:val="Textpoznpodarou"/>
        <w:spacing w:line="360" w:lineRule="auto"/>
        <w:ind w:left="0" w:firstLine="0"/>
      </w:pPr>
      <w:r w:rsidRPr="00007BBD">
        <w:rPr>
          <w:i/>
        </w:rPr>
        <w:t xml:space="preserve">Hospodárenie bánk rok 2010 – předběžné údaje </w:t>
      </w:r>
      <w:r w:rsidRPr="00007BBD">
        <w:rPr>
          <w:i/>
          <w:vertAlign w:val="superscript"/>
        </w:rPr>
        <w:t>1</w:t>
      </w:r>
      <w:r w:rsidRPr="00007BBD">
        <w:rPr>
          <w:i/>
        </w:rPr>
        <w:t xml:space="preserve"> </w:t>
      </w:r>
      <w:r w:rsidRPr="00007BBD">
        <w:t>[online]. [cit. 2011-04-03]. Dostupný z WWW:</w:t>
      </w:r>
      <w:r w:rsidRPr="00007BBD">
        <w:rPr>
          <w:i/>
        </w:rPr>
        <w:t xml:space="preserve"> &lt;http://www.sbaonline.sk/files/subory/analyzy/verejne/Hospodarenie-bank-rok-2010.pdf</w:t>
      </w:r>
      <w:r w:rsidRPr="00E67258">
        <w:rPr>
          <w:i/>
          <w:lang w:val="de-DE"/>
        </w:rPr>
        <w:t xml:space="preserve"> &gt;</w:t>
      </w:r>
    </w:p>
    <w:p w:rsidR="00712E44" w:rsidRPr="00007BBD" w:rsidRDefault="00712E44" w:rsidP="008A7CA2">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Hospodářská a měnová unie </w:t>
      </w:r>
      <w:r w:rsidRPr="00007BBD">
        <w:t xml:space="preserve">[online]. Frankfurt nad Mohanem: Evropská centrální banka [cit. 2010-06-12]. Dostupný z WWW: </w:t>
      </w:r>
      <w:r w:rsidRPr="00E67258">
        <w:t>&lt;</w:t>
      </w:r>
      <w:r w:rsidRPr="00007BBD">
        <w:t>http://www.ecb.int/ecb/history/emu/html/index.cs.html &gt;</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Hrubý domáci produkt </w:t>
      </w:r>
      <w:r w:rsidRPr="00007BBD">
        <w:t>[online]. Bratislava: Štatistický úrad SR [cit. 2011-04-17]. Dostupný z WWW:</w:t>
      </w:r>
      <w:r w:rsidRPr="00007BBD">
        <w:rPr>
          <w:i/>
        </w:rPr>
        <w:t xml:space="preserve"> &lt;http://portal.statistics.sk/showdoc.do?docid=172</w:t>
      </w:r>
      <w:r w:rsidRPr="00E67258">
        <w:rPr>
          <w:i/>
        </w:rPr>
        <w:t>&gt;</w:t>
      </w:r>
    </w:p>
    <w:p w:rsidR="00712E44" w:rsidRPr="00007BBD" w:rsidRDefault="00712E44" w:rsidP="000C51B0">
      <w:pPr>
        <w:pStyle w:val="Textpoznpodarou"/>
        <w:spacing w:line="360" w:lineRule="auto"/>
        <w:rPr>
          <w:i/>
          <w:color w:val="FF0000"/>
        </w:rPr>
      </w:pPr>
    </w:p>
    <w:p w:rsidR="00712E44" w:rsidRPr="000C51B0" w:rsidRDefault="00712E44" w:rsidP="000C51B0">
      <w:pPr>
        <w:pStyle w:val="Textpoznpodarou"/>
        <w:spacing w:line="360" w:lineRule="auto"/>
        <w:ind w:left="0" w:firstLine="0"/>
      </w:pPr>
      <w:r w:rsidRPr="000C51B0">
        <w:rPr>
          <w:i/>
        </w:rPr>
        <w:t xml:space="preserve">Inflačné kritérium pre euro nemá na Slovensku zmysel hodnotiť </w:t>
      </w:r>
      <w:r w:rsidRPr="000C51B0">
        <w:t xml:space="preserve">[online]. Bratislava: Pravda.sk [cit. 2011-04-11]. Dostupný z WWW: </w:t>
      </w:r>
      <w:r w:rsidRPr="000C51B0">
        <w:rPr>
          <w:lang w:val="en-US"/>
        </w:rPr>
        <w:t>&lt;http://spravy.pravda.sk/inflacne-kriterium-pre-euro-nema-na-slovensku-zmysel-hodnotit-p73-/sk_ekonomika.asp?c=A090717_134414_sk_ekonomika_p01</w:t>
      </w:r>
      <w:r w:rsidRPr="000C51B0">
        <w:t>&gt;</w:t>
      </w:r>
    </w:p>
    <w:p w:rsidR="00712E44" w:rsidRPr="00007BBD" w:rsidRDefault="00712E44" w:rsidP="000C51B0">
      <w:pPr>
        <w:pStyle w:val="Textpoznpodarou"/>
        <w:spacing w:line="360" w:lineRule="auto"/>
        <w:ind w:left="0" w:firstLine="0"/>
        <w:rPr>
          <w:i/>
          <w:color w:val="FF0000"/>
        </w:rPr>
      </w:pPr>
    </w:p>
    <w:p w:rsidR="00712E44" w:rsidRPr="00007BBD" w:rsidRDefault="00712E44" w:rsidP="000C51B0">
      <w:pPr>
        <w:pStyle w:val="Textpoznpodarou"/>
        <w:spacing w:line="360" w:lineRule="auto"/>
        <w:ind w:left="0" w:firstLine="0"/>
      </w:pPr>
      <w:r w:rsidRPr="00007BBD">
        <w:t xml:space="preserve">LACINA, L. a kol. </w:t>
      </w:r>
      <w:r w:rsidRPr="00007BBD">
        <w:rPr>
          <w:i/>
        </w:rPr>
        <w:t>MĚNOVÁ INTEGRACE náklady a přínosy v měnové unii</w:t>
      </w:r>
      <w:r w:rsidRPr="00007BBD">
        <w:t>. Praha: C. H. Beck, 2007. 71- 75 s. ISBN 978-80-7179-560-5.</w:t>
      </w:r>
    </w:p>
    <w:p w:rsidR="00712E44" w:rsidRPr="00007BBD" w:rsidRDefault="00712E44" w:rsidP="000C51B0">
      <w:pPr>
        <w:pStyle w:val="Textpoznpodarou"/>
        <w:spacing w:line="360" w:lineRule="auto"/>
        <w:rPr>
          <w:i/>
        </w:rPr>
      </w:pPr>
    </w:p>
    <w:p w:rsidR="00712E44" w:rsidRDefault="00712E44" w:rsidP="00F623A7">
      <w:pPr>
        <w:pStyle w:val="Textpoznpodarou"/>
        <w:spacing w:line="360" w:lineRule="auto"/>
        <w:ind w:left="0" w:firstLine="0"/>
      </w:pPr>
      <w:r>
        <w:t xml:space="preserve">LALINSKÝ, T. </w:t>
      </w:r>
      <w:r>
        <w:rPr>
          <w:i/>
        </w:rPr>
        <w:t xml:space="preserve">Konkurencieschopnosť podnikov po zavedení eura na Slovensku </w:t>
      </w:r>
      <w:r>
        <w:t xml:space="preserve">[online]. 2010, </w:t>
      </w:r>
      <w:r>
        <w:br/>
        <w:t xml:space="preserve">[cit. 2011-04-20]. ISSN 1337 - 5830. Dostupný z WWW: </w:t>
      </w:r>
      <w:r>
        <w:rPr>
          <w:lang w:val="en-US"/>
        </w:rPr>
        <w:t>&lt;</w:t>
      </w:r>
      <w:r w:rsidRPr="002C5BAA">
        <w:rPr>
          <w:lang w:val="en-US"/>
        </w:rPr>
        <w:t>http://www.nbs.sk/_img/Documents/PUBLIK/OP_03_2010_Lalinsky-Konkurencieschopnost_podnikov_po_zavedeni_eura.pdf</w:t>
      </w:r>
      <w:r>
        <w:t xml:space="preserve"> &gt;</w:t>
      </w:r>
    </w:p>
    <w:p w:rsidR="00712E44" w:rsidRDefault="00712E44" w:rsidP="00F623A7">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Národný plán zavedenia eura v SR </w:t>
      </w:r>
      <w:r w:rsidRPr="00007BBD">
        <w:t xml:space="preserve">[online]. Bratislava: Národná banka Slovenska, 2005 [cit. 2011-03-12]. Dostupný z WWW: </w:t>
      </w:r>
      <w:r w:rsidRPr="00E67258">
        <w:t>&lt;</w:t>
      </w:r>
      <w:r w:rsidRPr="00007BBD">
        <w:t>http://www.nbs.sk/_img/Documents/_PUBLIK_NBS_EURO/NPzavedeniaEura2005.pdf &gt;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Návrh záverečného účtu verejnej správy SR za rok 2009 – aktualizácia podľa finálnych údajov vykázaných v metodike ESA 95</w:t>
      </w:r>
      <w:r w:rsidRPr="00007BBD">
        <w:t xml:space="preserve">[online]. Bratislava: Ministerstvo financií SR [cit. 2011-04-11]. Dostupný z WWW: </w:t>
      </w:r>
      <w:r w:rsidRPr="00E67258">
        <w:t>&lt;http://www.finance.gov.sk/Components/CategoryDocuments/s_LoadDocument.aspx?categoryId=7803&amp;documentId=5357</w:t>
      </w:r>
      <w:r w:rsidRPr="00007BBD">
        <w:t xml:space="preserve"> &gt;</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NBS: v čase krízy je euro výhodou </w:t>
      </w:r>
      <w:r w:rsidRPr="00007BBD">
        <w:t>[online]. [cit. 2011-04-19]. Dostupný z WWW:</w:t>
      </w:r>
      <w:r w:rsidRPr="00007BBD">
        <w:rPr>
          <w:i/>
        </w:rPr>
        <w:t xml:space="preserve"> &lt;http://ekonomika.sme.sk/c/5213769/nbs-v-case-krizy-je-euro-vyhodou.html</w:t>
      </w:r>
      <w:r w:rsidRPr="00E67258">
        <w:rPr>
          <w:i/>
          <w:lang w:val="de-DE"/>
        </w:rPr>
        <w:t xml:space="preserve"> &gt;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Nezamestnanosť podľa Výberového zisťovania pracovných síl v roku 2010 </w:t>
      </w:r>
      <w:r w:rsidRPr="00007BBD">
        <w:t xml:space="preserve">[online]. Bratislava: Štatistický úrad Slovenskej republiky, 2011 [cit. 2011-04-11]. Dostupný z WWW: </w:t>
      </w:r>
      <w:r w:rsidRPr="00007BBD">
        <w:rPr>
          <w:lang w:val="en-US"/>
        </w:rPr>
        <w:t>&lt;http://portal.statistics.sk/showdoc.do?docid=24138</w:t>
      </w:r>
      <w:r w:rsidRPr="00007BBD">
        <w:t xml:space="preserve">&gt; </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Počátky měnové spolupráce </w:t>
      </w:r>
      <w:r w:rsidRPr="00007BBD">
        <w:t xml:space="preserve">[online]. Praha: Ministerstvo financí ČR[cit. 2010-06-12]. Dostupný z WWW:    </w:t>
      </w:r>
      <w:r w:rsidRPr="00007BBD">
        <w:rPr>
          <w:i/>
        </w:rPr>
        <w:t xml:space="preserve"> </w:t>
      </w:r>
      <w:r w:rsidRPr="00E67258">
        <w:lastRenderedPageBreak/>
        <w:t>&lt;</w:t>
      </w:r>
      <w:r w:rsidRPr="00007BBD">
        <w:t>http://www.zavedenieura.cz/cps/rde/xchg/euro/xsl/euro_pocatky_men_spolupr.html&gt;</w:t>
      </w:r>
    </w:p>
    <w:p w:rsidR="00712E44" w:rsidRPr="00007BBD" w:rsidRDefault="00712E44" w:rsidP="000C51B0">
      <w:pPr>
        <w:pStyle w:val="Textpoznpodarou"/>
        <w:spacing w:line="360" w:lineRule="auto"/>
        <w:rPr>
          <w:i/>
        </w:rPr>
      </w:pPr>
    </w:p>
    <w:p w:rsidR="00712E44" w:rsidRPr="000C51B0" w:rsidRDefault="00712E44" w:rsidP="000C51B0">
      <w:pPr>
        <w:pStyle w:val="Textpoznpodarou"/>
        <w:spacing w:line="360" w:lineRule="auto"/>
        <w:ind w:left="0" w:firstLine="0"/>
      </w:pPr>
      <w:r w:rsidRPr="000C51B0">
        <w:rPr>
          <w:i/>
        </w:rPr>
        <w:t xml:space="preserve">Predkladacia správa </w:t>
      </w:r>
      <w:r w:rsidRPr="000C51B0">
        <w:t xml:space="preserve">[online]. Bratislava: Ministerstvo financií SR [cit. 2011-04-11]. Dostupný z WWW: </w:t>
      </w:r>
      <w:r w:rsidRPr="00E67258">
        <w:t>&lt;http://www.finance.gov.sk/Documents/1_Adresar_redaktorov/Filo/Rozpo%C4%8Det%20%20VS/rozpocet_VS_%20na_%20roky_%202011%20az%202013%20-%20schvaleny_NR%20SR.pdf</w:t>
      </w:r>
      <w:r w:rsidRPr="000C51B0">
        <w:t xml:space="preserve"> &gt;</w:t>
      </w:r>
    </w:p>
    <w:p w:rsidR="00712E44" w:rsidRPr="000C51B0" w:rsidRDefault="00712E44" w:rsidP="000C51B0">
      <w:pPr>
        <w:pStyle w:val="Textpoznpodarou"/>
        <w:spacing w:line="360" w:lineRule="auto"/>
        <w:rPr>
          <w:i/>
        </w:rPr>
      </w:pPr>
    </w:p>
    <w:p w:rsidR="00712E44" w:rsidRDefault="00712E44" w:rsidP="000C51B0">
      <w:pPr>
        <w:pStyle w:val="Textpoznpodarou"/>
        <w:spacing w:line="360" w:lineRule="auto"/>
        <w:ind w:left="0" w:firstLine="0"/>
        <w:rPr>
          <w:i/>
        </w:rPr>
      </w:pPr>
    </w:p>
    <w:p w:rsidR="00712E44" w:rsidRPr="000C51B0" w:rsidRDefault="00712E44" w:rsidP="000C51B0">
      <w:pPr>
        <w:pStyle w:val="Textpoznpodarou"/>
        <w:spacing w:line="360" w:lineRule="auto"/>
        <w:ind w:left="0" w:firstLine="0"/>
      </w:pPr>
      <w:r w:rsidRPr="000C51B0">
        <w:rPr>
          <w:i/>
        </w:rPr>
        <w:t xml:space="preserve">Priame zahraničné investície do krajín strednej a východnej Európy vzrástli v roku 2010 o 9% </w:t>
      </w:r>
      <w:r w:rsidRPr="000C51B0">
        <w:t xml:space="preserve">[online]. </w:t>
      </w:r>
      <w:r w:rsidRPr="000C51B0">
        <w:br/>
        <w:t xml:space="preserve">[cit. 2011-04-17]. Dostupný z WWW: </w:t>
      </w:r>
      <w:r w:rsidRPr="00E67258">
        <w:rPr>
          <w:lang w:val="de-DE"/>
        </w:rPr>
        <w:t>&lt;</w:t>
      </w:r>
      <w:r w:rsidRPr="000C51B0">
        <w:t xml:space="preserve"> </w:t>
      </w:r>
      <w:r w:rsidRPr="00E67258">
        <w:rPr>
          <w:lang w:val="de-DE"/>
        </w:rPr>
        <w:t>http://fin-magazin.sk/priame-zahranicne-investicie-do-krajin-strednej-a-vychodnej-europy-vzrastli-v-roku-2010-o-9/</w:t>
      </w:r>
      <w:r w:rsidRPr="000C51B0">
        <w:t xml:space="preserve">&gt; </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t xml:space="preserve">SIPKO, J. </w:t>
      </w:r>
      <w:r w:rsidRPr="00007BBD">
        <w:rPr>
          <w:i/>
        </w:rPr>
        <w:t>Európska menová únia a euro</w:t>
      </w:r>
      <w:r w:rsidRPr="00007BBD">
        <w:t>. Bratislava: ELITA, 1999. 11 - 37 s. ISBN 80-8044-061-1.</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Slovensko splnilo a</w:t>
      </w:r>
      <w:r>
        <w:rPr>
          <w:i/>
        </w:rPr>
        <w:t>j</w:t>
      </w:r>
      <w:r w:rsidRPr="00007BBD">
        <w:rPr>
          <w:i/>
        </w:rPr>
        <w:t xml:space="preserve"> fiškálne maastrichtské kritérium </w:t>
      </w:r>
      <w:r w:rsidRPr="00007BBD">
        <w:t>[online]. Bratislava: Vydavateľstvo ECOPRESS, a.s., 2008 [cit. 2011-04-05]. Dostupný z WWW:</w:t>
      </w:r>
      <w:r w:rsidRPr="00007BBD">
        <w:rPr>
          <w:i/>
        </w:rPr>
        <w:t xml:space="preserve"> &lt;</w:t>
      </w:r>
      <w:r w:rsidRPr="00007BBD">
        <w:t>http://hnonline.sk/ekonomika/c1-24121670-slovensko-splnilo-aj-fiskalne-maastrichtske-kriterium&gt;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Slovensko splnilo maastrichtské kritérium hospodárenia verejnej správy (apríl 2008) </w:t>
      </w:r>
      <w:r w:rsidRPr="00007BBD">
        <w:t xml:space="preserve">[online]. Bratislava: Ministerstvo financií Slovenskej republiky [cit. 2011-04-05]. Dostupný z WWW: </w:t>
      </w:r>
      <w:r w:rsidRPr="00007BBD">
        <w:rPr>
          <w:lang w:val="en-US"/>
        </w:rPr>
        <w:t>&lt;</w:t>
      </w:r>
      <w:r w:rsidRPr="00007BBD">
        <w:t>http://www.finance.gov.sk/Default.aspx?CatID=677 &gt;</w:t>
      </w:r>
    </w:p>
    <w:p w:rsidR="00712E44" w:rsidRPr="00007BBD" w:rsidRDefault="00712E44" w:rsidP="000C51B0">
      <w:pPr>
        <w:pStyle w:val="Textpoznpodarou"/>
        <w:spacing w:line="360" w:lineRule="auto"/>
        <w:ind w:left="0" w:firstLine="0"/>
        <w:rPr>
          <w:i/>
          <w:color w:val="FF0000"/>
        </w:rPr>
      </w:pPr>
    </w:p>
    <w:p w:rsidR="00712E44" w:rsidRPr="000C51B0" w:rsidRDefault="00712E44" w:rsidP="000C51B0">
      <w:pPr>
        <w:pStyle w:val="Textpoznpodarou"/>
        <w:spacing w:line="360" w:lineRule="auto"/>
        <w:ind w:left="0" w:firstLine="0"/>
      </w:pPr>
      <w:r w:rsidRPr="000C51B0">
        <w:rPr>
          <w:i/>
        </w:rPr>
        <w:t xml:space="preserve">Slovensko v roku 2010: HDP rástlo o 4 %, nezaměstnaných už pribúdalo meněj </w:t>
      </w:r>
      <w:r w:rsidRPr="000C51B0">
        <w:t>[online]. [cit. 2011-04-17]. Dostupný z WWW:</w:t>
      </w:r>
      <w:r w:rsidRPr="000C51B0">
        <w:rPr>
          <w:i/>
        </w:rPr>
        <w:t xml:space="preserve"> &lt;http://www.investujeme.sk/clanky/slovensko-v-roku-2010-hdp-rastlo-o-4-nezamestnanych-pribudalo-menej/</w:t>
      </w:r>
      <w:r w:rsidRPr="00E67258">
        <w:rPr>
          <w:i/>
          <w:lang w:val="de-DE"/>
        </w:rPr>
        <w:t>&gt;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Spotrebiteľské ceny (INFLÁCIA) </w:t>
      </w:r>
      <w:r w:rsidRPr="00007BBD">
        <w:t xml:space="preserve">[online]. Bratislava: Štatistický úrad Slovenskej republiky [cit. 2011-04-11]. Dostupný z WWW: </w:t>
      </w:r>
      <w:r w:rsidRPr="00E67258">
        <w:t>&lt;http://portal.statistics.sk/showdoc.do?docid=11153</w:t>
      </w:r>
      <w:r w:rsidRPr="00007BBD">
        <w:t>&gt;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Správa o finančnej stabilite 2009 </w:t>
      </w:r>
      <w:r w:rsidRPr="00007BBD">
        <w:t>[online]. Bratislava: Národná banka Slovenska, 2009 [cit. 2011-04-03]. Dostupný z WWW:</w:t>
      </w:r>
      <w:r w:rsidRPr="00007BBD">
        <w:rPr>
          <w:i/>
        </w:rPr>
        <w:t xml:space="preserve"> &lt;http://www.nbs.sk/_img/Documents/ZAKLNBS/PUBLIK/SFS/SFS2009.pdf</w:t>
      </w:r>
      <w:r w:rsidRPr="00E67258">
        <w:rPr>
          <w:i/>
        </w:rPr>
        <w:t xml:space="preserve"> &gt;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rPr>
          <w:i/>
        </w:rPr>
      </w:pPr>
      <w:r w:rsidRPr="00007BBD">
        <w:rPr>
          <w:i/>
        </w:rPr>
        <w:t xml:space="preserve">Správa o postupe príprav na prijatie eura v SR k 29. 07. 2008 </w:t>
      </w:r>
      <w:r w:rsidRPr="00007BBD">
        <w:t>[online]. Bratislava: Národná banka Slovenska, 2008 [cit. 2011-04-05]. Dostupný z WWW:</w:t>
      </w:r>
      <w:r w:rsidRPr="00007BBD">
        <w:rPr>
          <w:i/>
        </w:rPr>
        <w:t xml:space="preserve"> &lt;http://www.nbs.sk/_img/Documents/_PUBLIK_NBS_EURO/20_8_2008_sprava.pdf</w:t>
      </w:r>
      <w:r w:rsidRPr="00E67258">
        <w:rPr>
          <w:i/>
        </w:rPr>
        <w:t>&gt;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Vplyv zavedenia eura na infláciu v Slovenskej republike v januári 2009 </w:t>
      </w:r>
      <w:r w:rsidRPr="00007BBD">
        <w:t>[online]. Bratislava: Národná banka Slovenska, 2009 [cit. 2011-04-08]. Dostupný z WWW:</w:t>
      </w:r>
      <w:r w:rsidRPr="00007BBD">
        <w:rPr>
          <w:i/>
        </w:rPr>
        <w:t xml:space="preserve"> &lt;http://www.nbs.sk/_img/Documents/PUBLIK/MU/vplyvEURA.pdf</w:t>
      </w:r>
      <w:r w:rsidRPr="00E67258">
        <w:rPr>
          <w:i/>
        </w:rPr>
        <w:t xml:space="preserve"> &gt;</w:t>
      </w:r>
    </w:p>
    <w:p w:rsidR="00712E44" w:rsidRPr="00007BBD" w:rsidRDefault="00712E44" w:rsidP="000C51B0">
      <w:pPr>
        <w:pStyle w:val="Textpoznpodarou"/>
        <w:spacing w:line="360" w:lineRule="auto"/>
        <w:rPr>
          <w:i/>
        </w:rPr>
      </w:pPr>
    </w:p>
    <w:p w:rsidR="00712E44" w:rsidRPr="00007BBD" w:rsidRDefault="00712E44" w:rsidP="000C51B0">
      <w:pPr>
        <w:pStyle w:val="Textpoznpodarou"/>
        <w:spacing w:line="360" w:lineRule="auto"/>
        <w:ind w:left="0" w:firstLine="0"/>
      </w:pPr>
      <w:r w:rsidRPr="00007BBD">
        <w:rPr>
          <w:i/>
        </w:rPr>
        <w:t xml:space="preserve">Vplyv zavedenia eura na slovenské hospodárstvo  </w:t>
      </w:r>
      <w:r w:rsidRPr="00007BBD">
        <w:t xml:space="preserve">[online]. Bratislava: Národná banka Slovenska, 2006 </w:t>
      </w:r>
      <w:r w:rsidRPr="00007BBD">
        <w:br/>
      </w:r>
      <w:r w:rsidRPr="00007BBD">
        <w:lastRenderedPageBreak/>
        <w:t>[cit. 2011-04-10]. Dostupný z WWW:</w:t>
      </w:r>
      <w:r w:rsidRPr="00007BBD">
        <w:rPr>
          <w:i/>
        </w:rPr>
        <w:t xml:space="preserve"> &lt;http://www.nbs.sk/_img/Documents/PUBLIK/06_kol1.pdf</w:t>
      </w:r>
      <w:r w:rsidRPr="00E67258">
        <w:rPr>
          <w:i/>
        </w:rPr>
        <w:t>&gt;</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Vývoj hospodárstva v SR v decembri 2010 a za rok 2010 </w:t>
      </w:r>
      <w:r w:rsidRPr="00007BBD">
        <w:t xml:space="preserve">[online]. Bratislava: Štatistický úrad Slovenskej republiky [cit. 2011-04-20]. Dostupný z WWW: </w:t>
      </w:r>
      <w:r w:rsidRPr="00E67258">
        <w:t>&lt;http://portal.statistics.sk/showdoc.do?docid=31099</w:t>
      </w:r>
      <w:r w:rsidRPr="00007BBD">
        <w:t xml:space="preserve">&gt; </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Zahraničný obchod podľa mesiacov v rokoch 2004 - 2011</w:t>
      </w:r>
      <w:r w:rsidRPr="00007BBD">
        <w:t xml:space="preserve">[online]. Bratislava: Štatistický úrad SR </w:t>
      </w:r>
      <w:r w:rsidRPr="00007BBD">
        <w:br/>
        <w:t>[cit. 2011-04-17]. Dostupný z WWW:</w:t>
      </w:r>
      <w:r w:rsidRPr="00007BBD">
        <w:rPr>
          <w:i/>
        </w:rPr>
        <w:t xml:space="preserve"> &lt;http://portal.statistics.sk/showdoc.do?docid=16555</w:t>
      </w:r>
      <w:r w:rsidRPr="00E67258">
        <w:rPr>
          <w:i/>
        </w:rPr>
        <w:t>&gt;</w:t>
      </w:r>
    </w:p>
    <w:p w:rsidR="00712E44"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Zamestnanosť podľa Výberového zisťovania pracovných síl v roku 2009 </w:t>
      </w:r>
      <w:r w:rsidRPr="00007BBD">
        <w:t xml:space="preserve">[online]. Bratislava: Štatistický úrad Slovenskej republiky, 2010 [cit. 2011-04-11]. Dostupný z WWW: </w:t>
      </w:r>
      <w:r w:rsidRPr="00007BBD">
        <w:rPr>
          <w:lang w:val="en-US"/>
        </w:rPr>
        <w:t>&lt;http://portal.statistics.sk/showdoc.do?docid=17681</w:t>
      </w:r>
      <w:r w:rsidRPr="00007BBD">
        <w:t xml:space="preserve">&gt; </w:t>
      </w:r>
    </w:p>
    <w:p w:rsidR="00712E44" w:rsidRPr="00007BBD" w:rsidRDefault="00712E44" w:rsidP="000C51B0">
      <w:pPr>
        <w:pStyle w:val="Textpoznpodarou"/>
        <w:spacing w:line="360" w:lineRule="auto"/>
        <w:ind w:left="0" w:firstLine="0"/>
        <w:rPr>
          <w:i/>
        </w:rPr>
      </w:pPr>
    </w:p>
    <w:p w:rsidR="00712E44" w:rsidRPr="00007BBD" w:rsidRDefault="00712E44" w:rsidP="000C51B0">
      <w:pPr>
        <w:pStyle w:val="Textpoznpodarou"/>
        <w:spacing w:line="360" w:lineRule="auto"/>
        <w:ind w:left="0" w:firstLine="0"/>
      </w:pPr>
      <w:r w:rsidRPr="00007BBD">
        <w:rPr>
          <w:i/>
        </w:rPr>
        <w:t xml:space="preserve">Zavedení hotovostního eura </w:t>
      </w:r>
      <w:r w:rsidRPr="00007BBD">
        <w:t xml:space="preserve">[online]. Praha: Ministerstvo financí ČR [cit. 2010-06-12]. Dostupný z WWW:    </w:t>
      </w:r>
      <w:r w:rsidRPr="00007BBD">
        <w:rPr>
          <w:i/>
        </w:rPr>
        <w:t xml:space="preserve"> </w:t>
      </w:r>
      <w:r w:rsidRPr="00E67258">
        <w:t>&lt;</w:t>
      </w:r>
      <w:r w:rsidRPr="00007BBD">
        <w:t>http://www.zavedenieura.cz/cps/rde/xchg/euro/xsl/676.html &gt;</w:t>
      </w: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Default="00712E44" w:rsidP="00B27C12">
      <w:pPr>
        <w:spacing w:line="360" w:lineRule="auto"/>
        <w:jc w:val="both"/>
      </w:pPr>
    </w:p>
    <w:p w:rsidR="00712E44" w:rsidRPr="008A7CA2" w:rsidRDefault="00712E44" w:rsidP="00B27C12">
      <w:pPr>
        <w:spacing w:line="360" w:lineRule="auto"/>
        <w:jc w:val="both"/>
        <w:rPr>
          <w:b/>
          <w:sz w:val="26"/>
          <w:szCs w:val="26"/>
        </w:rPr>
      </w:pPr>
      <w:r w:rsidRPr="008A7CA2">
        <w:rPr>
          <w:b/>
          <w:sz w:val="26"/>
          <w:szCs w:val="26"/>
        </w:rPr>
        <w:lastRenderedPageBreak/>
        <w:t>Seznam použité literatury</w:t>
      </w:r>
    </w:p>
    <w:p w:rsidR="00712E44" w:rsidRDefault="00712E44" w:rsidP="00B27C12">
      <w:pPr>
        <w:spacing w:line="360" w:lineRule="auto"/>
        <w:jc w:val="both"/>
        <w:rPr>
          <w:b/>
        </w:rPr>
      </w:pPr>
    </w:p>
    <w:p w:rsidR="00712E44" w:rsidRPr="00160D5E" w:rsidRDefault="00712E44" w:rsidP="00160D5E">
      <w:pPr>
        <w:widowControl/>
        <w:suppressAutoHyphens w:val="0"/>
        <w:autoSpaceDE w:val="0"/>
        <w:autoSpaceDN w:val="0"/>
        <w:adjustRightInd w:val="0"/>
        <w:rPr>
          <w:rFonts w:eastAsia="Times New Roman"/>
          <w:kern w:val="0"/>
        </w:rPr>
      </w:pPr>
      <w:r w:rsidRPr="00160D5E">
        <w:rPr>
          <w:rFonts w:eastAsia="Times New Roman"/>
          <w:kern w:val="0"/>
        </w:rPr>
        <w:t>B</w:t>
      </w:r>
      <w:r>
        <w:rPr>
          <w:rFonts w:eastAsia="Times New Roman"/>
          <w:kern w:val="0"/>
        </w:rPr>
        <w:t>Ü</w:t>
      </w:r>
      <w:r w:rsidRPr="00160D5E">
        <w:rPr>
          <w:rFonts w:eastAsia="Times New Roman"/>
          <w:kern w:val="0"/>
        </w:rPr>
        <w:t xml:space="preserve">RGER, C. </w:t>
      </w:r>
      <w:r w:rsidRPr="005D4C3C">
        <w:rPr>
          <w:rFonts w:eastAsia="Times New Roman"/>
          <w:i/>
          <w:kern w:val="0"/>
        </w:rPr>
        <w:t>Euro - Der Start. Was Sie jetzt wissen müssen</w:t>
      </w:r>
      <w:r w:rsidRPr="00160D5E">
        <w:rPr>
          <w:rFonts w:eastAsia="Times New Roman"/>
          <w:kern w:val="0"/>
        </w:rPr>
        <w:t>. Niedernhausen/Ts.: Falken, 2001. 96 s. ISBN 3-635-60701-0.</w:t>
      </w:r>
    </w:p>
    <w:p w:rsidR="00712E44" w:rsidRDefault="00712E44" w:rsidP="00160D5E">
      <w:pPr>
        <w:widowControl/>
        <w:suppressAutoHyphens w:val="0"/>
        <w:autoSpaceDE w:val="0"/>
        <w:autoSpaceDN w:val="0"/>
        <w:adjustRightInd w:val="0"/>
        <w:rPr>
          <w:rFonts w:eastAsia="Times New Roman"/>
          <w:kern w:val="0"/>
        </w:rPr>
      </w:pPr>
    </w:p>
    <w:p w:rsidR="00712E44" w:rsidRPr="00160D5E" w:rsidRDefault="00712E44" w:rsidP="00160D5E">
      <w:pPr>
        <w:widowControl/>
        <w:suppressAutoHyphens w:val="0"/>
        <w:autoSpaceDE w:val="0"/>
        <w:autoSpaceDN w:val="0"/>
        <w:adjustRightInd w:val="0"/>
        <w:rPr>
          <w:rFonts w:eastAsia="Times New Roman"/>
          <w:kern w:val="0"/>
        </w:rPr>
      </w:pPr>
      <w:r>
        <w:rPr>
          <w:rFonts w:eastAsia="Times New Roman"/>
          <w:kern w:val="0"/>
        </w:rPr>
        <w:t>JANÁČ</w:t>
      </w:r>
      <w:r w:rsidRPr="00160D5E">
        <w:rPr>
          <w:rFonts w:eastAsia="Times New Roman"/>
          <w:kern w:val="0"/>
        </w:rPr>
        <w:t>KOV</w:t>
      </w:r>
      <w:r>
        <w:rPr>
          <w:rFonts w:eastAsia="Times New Roman"/>
          <w:kern w:val="0"/>
        </w:rPr>
        <w:t>Á</w:t>
      </w:r>
      <w:r w:rsidRPr="00160D5E">
        <w:rPr>
          <w:rFonts w:eastAsia="Times New Roman"/>
          <w:kern w:val="0"/>
        </w:rPr>
        <w:t xml:space="preserve">, S., aj. </w:t>
      </w:r>
      <w:r w:rsidRPr="005D4C3C">
        <w:rPr>
          <w:rFonts w:eastAsia="Times New Roman"/>
          <w:i/>
          <w:kern w:val="0"/>
        </w:rPr>
        <w:t>Euro - dříve, nebo později?</w:t>
      </w:r>
      <w:r w:rsidRPr="00160D5E">
        <w:rPr>
          <w:rFonts w:eastAsia="Times New Roman"/>
          <w:kern w:val="0"/>
        </w:rPr>
        <w:t xml:space="preserve"> 1. vyd. Praha: Centrum pro ekonomiku </w:t>
      </w:r>
      <w:r>
        <w:rPr>
          <w:rFonts w:eastAsia="Times New Roman"/>
          <w:kern w:val="0"/>
        </w:rPr>
        <w:br/>
      </w:r>
      <w:r w:rsidRPr="00160D5E">
        <w:rPr>
          <w:rFonts w:eastAsia="Times New Roman"/>
          <w:kern w:val="0"/>
        </w:rPr>
        <w:t>a politiku, 2007. 89 s. ISBN 978-80-86547-63-3.</w:t>
      </w:r>
    </w:p>
    <w:p w:rsidR="00712E44" w:rsidRDefault="00712E44" w:rsidP="00160D5E">
      <w:pPr>
        <w:widowControl/>
        <w:suppressAutoHyphens w:val="0"/>
        <w:autoSpaceDE w:val="0"/>
        <w:autoSpaceDN w:val="0"/>
        <w:adjustRightInd w:val="0"/>
        <w:rPr>
          <w:rFonts w:eastAsia="Times New Roman"/>
          <w:kern w:val="0"/>
        </w:rPr>
      </w:pPr>
    </w:p>
    <w:p w:rsidR="00712E44" w:rsidRDefault="00712E44" w:rsidP="00160D5E">
      <w:pPr>
        <w:widowControl/>
        <w:suppressAutoHyphens w:val="0"/>
        <w:autoSpaceDE w:val="0"/>
        <w:autoSpaceDN w:val="0"/>
        <w:adjustRightInd w:val="0"/>
        <w:rPr>
          <w:rFonts w:eastAsia="Times New Roman"/>
          <w:kern w:val="0"/>
        </w:rPr>
      </w:pPr>
    </w:p>
    <w:p w:rsidR="00712E44" w:rsidRPr="005D4C3C" w:rsidRDefault="00712E44" w:rsidP="005D4C3C">
      <w:pPr>
        <w:pStyle w:val="Textpoznpodarou"/>
        <w:ind w:left="0" w:firstLine="0"/>
        <w:rPr>
          <w:sz w:val="24"/>
          <w:szCs w:val="24"/>
        </w:rPr>
      </w:pPr>
      <w:r w:rsidRPr="005D4C3C">
        <w:rPr>
          <w:sz w:val="24"/>
          <w:szCs w:val="24"/>
        </w:rPr>
        <w:t xml:space="preserve">LACINA, L. a kol. </w:t>
      </w:r>
      <w:r w:rsidRPr="005D4C3C">
        <w:rPr>
          <w:i/>
          <w:sz w:val="24"/>
          <w:szCs w:val="24"/>
        </w:rPr>
        <w:t>MĚNOVÁ INTEGRACE náklady a přínosy v měnové unii</w:t>
      </w:r>
      <w:r w:rsidRPr="005D4C3C">
        <w:rPr>
          <w:sz w:val="24"/>
          <w:szCs w:val="24"/>
        </w:rPr>
        <w:t xml:space="preserve">. Praha: C. H. Beck, 2007. </w:t>
      </w:r>
      <w:r>
        <w:rPr>
          <w:sz w:val="24"/>
          <w:szCs w:val="24"/>
        </w:rPr>
        <w:t>538</w:t>
      </w:r>
      <w:r w:rsidRPr="005D4C3C">
        <w:rPr>
          <w:sz w:val="24"/>
          <w:szCs w:val="24"/>
        </w:rPr>
        <w:t xml:space="preserve"> s. ISBN 978-80-7179-560-5.</w:t>
      </w:r>
    </w:p>
    <w:p w:rsidR="00712E44" w:rsidRDefault="00712E44" w:rsidP="00160D5E">
      <w:pPr>
        <w:widowControl/>
        <w:suppressAutoHyphens w:val="0"/>
        <w:autoSpaceDE w:val="0"/>
        <w:autoSpaceDN w:val="0"/>
        <w:adjustRightInd w:val="0"/>
        <w:rPr>
          <w:rFonts w:eastAsia="Times New Roman"/>
          <w:kern w:val="0"/>
        </w:rPr>
      </w:pPr>
    </w:p>
    <w:p w:rsidR="00712E44" w:rsidRPr="00160D5E" w:rsidRDefault="00712E44" w:rsidP="00160D5E">
      <w:pPr>
        <w:widowControl/>
        <w:suppressAutoHyphens w:val="0"/>
        <w:autoSpaceDE w:val="0"/>
        <w:autoSpaceDN w:val="0"/>
        <w:adjustRightInd w:val="0"/>
        <w:rPr>
          <w:rFonts w:eastAsia="Times New Roman"/>
          <w:kern w:val="0"/>
        </w:rPr>
      </w:pPr>
      <w:r w:rsidRPr="00160D5E">
        <w:rPr>
          <w:rFonts w:eastAsia="Times New Roman"/>
          <w:kern w:val="0"/>
        </w:rPr>
        <w:t xml:space="preserve">SEAR, S. </w:t>
      </w:r>
      <w:r w:rsidRPr="005D4C3C">
        <w:rPr>
          <w:rFonts w:eastAsia="Times New Roman"/>
          <w:i/>
          <w:kern w:val="0"/>
        </w:rPr>
        <w:t>Euro: jak se vyrovnat s důsledky zavedení jednotné evropské měny.</w:t>
      </w:r>
      <w:r w:rsidRPr="00160D5E">
        <w:rPr>
          <w:rFonts w:eastAsia="Times New Roman"/>
          <w:kern w:val="0"/>
        </w:rPr>
        <w:t xml:space="preserve"> 1. vyd. Praha: Management Press, 1999. 142 s.</w:t>
      </w:r>
      <w:r>
        <w:rPr>
          <w:rFonts w:eastAsia="Times New Roman"/>
          <w:kern w:val="0"/>
        </w:rPr>
        <w:t xml:space="preserve"> </w:t>
      </w:r>
      <w:r w:rsidRPr="00160D5E">
        <w:rPr>
          <w:rFonts w:eastAsia="Times New Roman"/>
          <w:kern w:val="0"/>
        </w:rPr>
        <w:t>ISBN 80-85943-86-7.</w:t>
      </w:r>
    </w:p>
    <w:p w:rsidR="00712E44" w:rsidRDefault="00712E44" w:rsidP="00160D5E">
      <w:pPr>
        <w:widowControl/>
        <w:suppressAutoHyphens w:val="0"/>
        <w:autoSpaceDE w:val="0"/>
        <w:autoSpaceDN w:val="0"/>
        <w:adjustRightInd w:val="0"/>
        <w:rPr>
          <w:rFonts w:eastAsia="Times New Roman"/>
          <w:kern w:val="0"/>
        </w:rPr>
      </w:pPr>
    </w:p>
    <w:p w:rsidR="00712E44" w:rsidRPr="00160D5E" w:rsidRDefault="00712E44" w:rsidP="00160D5E">
      <w:pPr>
        <w:widowControl/>
        <w:suppressAutoHyphens w:val="0"/>
        <w:autoSpaceDE w:val="0"/>
        <w:autoSpaceDN w:val="0"/>
        <w:adjustRightInd w:val="0"/>
        <w:rPr>
          <w:rFonts w:eastAsia="Times New Roman"/>
          <w:kern w:val="0"/>
        </w:rPr>
      </w:pPr>
      <w:r>
        <w:rPr>
          <w:rFonts w:eastAsia="Times New Roman"/>
          <w:kern w:val="0"/>
        </w:rPr>
        <w:t xml:space="preserve">SIPKO, J. </w:t>
      </w:r>
      <w:r w:rsidRPr="005D4C3C">
        <w:rPr>
          <w:rFonts w:eastAsia="Times New Roman"/>
          <w:i/>
          <w:kern w:val="0"/>
        </w:rPr>
        <w:t>Európska menová únia a euro</w:t>
      </w:r>
      <w:r w:rsidRPr="00160D5E">
        <w:rPr>
          <w:rFonts w:eastAsia="Times New Roman"/>
          <w:kern w:val="0"/>
        </w:rPr>
        <w:t>. Bratislava: Elita, 1999. 432 s. ISBN 80-8044-061-1.</w:t>
      </w:r>
    </w:p>
    <w:p w:rsidR="00712E44" w:rsidRDefault="00712E44" w:rsidP="00160D5E">
      <w:pPr>
        <w:widowControl/>
        <w:suppressAutoHyphens w:val="0"/>
        <w:autoSpaceDE w:val="0"/>
        <w:autoSpaceDN w:val="0"/>
        <w:adjustRightInd w:val="0"/>
        <w:rPr>
          <w:rFonts w:eastAsia="Times New Roman"/>
          <w:kern w:val="0"/>
        </w:rPr>
      </w:pPr>
    </w:p>
    <w:p w:rsidR="00712E44" w:rsidRDefault="00712E44" w:rsidP="00160D5E">
      <w:pPr>
        <w:widowControl/>
        <w:suppressAutoHyphens w:val="0"/>
        <w:autoSpaceDE w:val="0"/>
        <w:autoSpaceDN w:val="0"/>
        <w:adjustRightInd w:val="0"/>
        <w:rPr>
          <w:rFonts w:eastAsia="Times New Roman"/>
          <w:kern w:val="0"/>
        </w:rPr>
      </w:pPr>
    </w:p>
    <w:p w:rsidR="00712E44" w:rsidRPr="00160D5E" w:rsidRDefault="00712E44" w:rsidP="00160D5E">
      <w:pPr>
        <w:widowControl/>
        <w:suppressAutoHyphens w:val="0"/>
        <w:autoSpaceDE w:val="0"/>
        <w:autoSpaceDN w:val="0"/>
        <w:adjustRightInd w:val="0"/>
        <w:rPr>
          <w:rFonts w:eastAsia="Times New Roman"/>
          <w:kern w:val="0"/>
        </w:rPr>
      </w:pPr>
      <w:r w:rsidRPr="00160D5E">
        <w:rPr>
          <w:rFonts w:eastAsia="Times New Roman"/>
          <w:kern w:val="0"/>
        </w:rPr>
        <w:t xml:space="preserve">Vogel, B., et al. </w:t>
      </w:r>
      <w:r w:rsidRPr="005D4C3C">
        <w:rPr>
          <w:rFonts w:eastAsia="Times New Roman"/>
          <w:i/>
          <w:kern w:val="0"/>
        </w:rPr>
        <w:t>Der Euro - gemeinsame Währung für eine gemeinsame Zukunft</w:t>
      </w:r>
      <w:r w:rsidRPr="00160D5E">
        <w:rPr>
          <w:rFonts w:eastAsia="Times New Roman"/>
          <w:kern w:val="0"/>
        </w:rPr>
        <w:t>. Sankt</w:t>
      </w:r>
      <w:r>
        <w:rPr>
          <w:rFonts w:eastAsia="Times New Roman"/>
          <w:kern w:val="0"/>
        </w:rPr>
        <w:t xml:space="preserve"> </w:t>
      </w:r>
      <w:r w:rsidRPr="00160D5E">
        <w:rPr>
          <w:rFonts w:eastAsia="Times New Roman"/>
          <w:kern w:val="0"/>
        </w:rPr>
        <w:t>Augustin: Konrad-Adenauer-Stiftung e.</w:t>
      </w:r>
      <w:r>
        <w:rPr>
          <w:rFonts w:eastAsia="Times New Roman"/>
          <w:kern w:val="0"/>
        </w:rPr>
        <w:t xml:space="preserve"> </w:t>
      </w:r>
      <w:r w:rsidRPr="00160D5E">
        <w:rPr>
          <w:rFonts w:eastAsia="Times New Roman"/>
          <w:kern w:val="0"/>
        </w:rPr>
        <w:t>V., 2002. 70 s. ISBN 3-933714-01-X.</w:t>
      </w:r>
    </w:p>
    <w:p w:rsidR="00712E44" w:rsidRDefault="00712E44" w:rsidP="00160D5E">
      <w:pPr>
        <w:widowControl/>
        <w:suppressAutoHyphens w:val="0"/>
        <w:autoSpaceDE w:val="0"/>
        <w:autoSpaceDN w:val="0"/>
        <w:adjustRightInd w:val="0"/>
        <w:rPr>
          <w:rFonts w:eastAsia="Times New Roman"/>
          <w:kern w:val="0"/>
        </w:rPr>
      </w:pPr>
    </w:p>
    <w:p w:rsidR="00712E44" w:rsidRDefault="00712E44" w:rsidP="00160D5E">
      <w:pPr>
        <w:widowControl/>
        <w:suppressAutoHyphens w:val="0"/>
        <w:autoSpaceDE w:val="0"/>
        <w:autoSpaceDN w:val="0"/>
        <w:adjustRightInd w:val="0"/>
        <w:rPr>
          <w:rFonts w:eastAsia="Times New Roman"/>
          <w:kern w:val="0"/>
        </w:rPr>
      </w:pPr>
    </w:p>
    <w:p w:rsidR="00712E44" w:rsidRPr="005D4C3C" w:rsidRDefault="00712E44" w:rsidP="00160D5E">
      <w:pPr>
        <w:widowControl/>
        <w:suppressAutoHyphens w:val="0"/>
        <w:autoSpaceDE w:val="0"/>
        <w:autoSpaceDN w:val="0"/>
        <w:adjustRightInd w:val="0"/>
        <w:rPr>
          <w:rFonts w:eastAsia="Times New Roman"/>
          <w:i/>
          <w:kern w:val="0"/>
        </w:rPr>
      </w:pPr>
      <w:r>
        <w:rPr>
          <w:rFonts w:eastAsia="Times New Roman"/>
          <w:kern w:val="0"/>
        </w:rPr>
        <w:t xml:space="preserve">ZAHRADNÍK, P. </w:t>
      </w:r>
      <w:r>
        <w:rPr>
          <w:rFonts w:eastAsia="Times New Roman"/>
          <w:i/>
          <w:kern w:val="0"/>
        </w:rPr>
        <w:t>Vstup do Evropské unie. Přínosy a náklady konvergence.</w:t>
      </w:r>
      <w:r>
        <w:rPr>
          <w:rFonts w:eastAsia="Times New Roman"/>
          <w:kern w:val="0"/>
        </w:rPr>
        <w:t xml:space="preserve"> 1. vyd. Praha: </w:t>
      </w:r>
      <w:r>
        <w:rPr>
          <w:rFonts w:eastAsia="Times New Roman"/>
          <w:kern w:val="0"/>
        </w:rPr>
        <w:br/>
        <w:t>C. H. Beck, 2003. 359 s. ISBN 80-7179-472-4.</w:t>
      </w:r>
      <w:r>
        <w:rPr>
          <w:rFonts w:eastAsia="Times New Roman"/>
          <w:i/>
          <w:kern w:val="0"/>
        </w:rPr>
        <w:t xml:space="preserve"> </w:t>
      </w:r>
    </w:p>
    <w:p w:rsidR="00712E44" w:rsidRDefault="00712E44" w:rsidP="00160D5E">
      <w:pPr>
        <w:widowControl/>
        <w:suppressAutoHyphens w:val="0"/>
        <w:autoSpaceDE w:val="0"/>
        <w:autoSpaceDN w:val="0"/>
        <w:adjustRightInd w:val="0"/>
        <w:rPr>
          <w:rFonts w:eastAsia="Times New Roman"/>
          <w:kern w:val="0"/>
        </w:rPr>
      </w:pPr>
    </w:p>
    <w:p w:rsidR="00712E44" w:rsidRPr="00160D5E" w:rsidRDefault="00712E44" w:rsidP="008A7CA2">
      <w:pPr>
        <w:widowControl/>
        <w:suppressAutoHyphens w:val="0"/>
        <w:autoSpaceDE w:val="0"/>
        <w:autoSpaceDN w:val="0"/>
        <w:adjustRightInd w:val="0"/>
        <w:rPr>
          <w:rFonts w:eastAsia="Times New Roman"/>
          <w:kern w:val="0"/>
        </w:rPr>
      </w:pPr>
      <w:r w:rsidRPr="008A7CA2">
        <w:rPr>
          <w:rFonts w:eastAsia="Times New Roman"/>
          <w:i/>
          <w:kern w:val="0"/>
        </w:rPr>
        <w:t>Euro a Slovensko</w:t>
      </w:r>
      <w:r w:rsidRPr="00160D5E">
        <w:rPr>
          <w:rFonts w:eastAsia="Times New Roman"/>
          <w:kern w:val="0"/>
        </w:rPr>
        <w:t xml:space="preserve"> [online]. Dostupné z</w:t>
      </w:r>
      <w:r>
        <w:rPr>
          <w:rFonts w:eastAsia="Times New Roman"/>
          <w:kern w:val="0"/>
        </w:rPr>
        <w:t xml:space="preserve"> WWW</w:t>
      </w:r>
      <w:r w:rsidRPr="00160D5E">
        <w:rPr>
          <w:rFonts w:eastAsia="Times New Roman"/>
          <w:kern w:val="0"/>
        </w:rPr>
        <w:t xml:space="preserve">: </w:t>
      </w:r>
      <w:r w:rsidRPr="00E67258">
        <w:rPr>
          <w:rFonts w:eastAsia="Times New Roman"/>
          <w:kern w:val="0"/>
        </w:rPr>
        <w:t>&lt;</w:t>
      </w:r>
      <w:r w:rsidRPr="00160D5E">
        <w:rPr>
          <w:rFonts w:eastAsia="Times New Roman"/>
          <w:kern w:val="0"/>
        </w:rPr>
        <w:t>http://www.euromen</w:t>
      </w:r>
      <w:r>
        <w:rPr>
          <w:rFonts w:eastAsia="Times New Roman"/>
          <w:kern w:val="0"/>
        </w:rPr>
        <w:t>a.sk/euro-a-slovensko/1535s&gt;</w:t>
      </w:r>
    </w:p>
    <w:p w:rsidR="00712E44" w:rsidRDefault="00712E44" w:rsidP="008A7CA2">
      <w:pPr>
        <w:jc w:val="both"/>
        <w:rPr>
          <w:rFonts w:eastAsia="Times New Roman"/>
          <w:kern w:val="0"/>
        </w:rPr>
      </w:pPr>
    </w:p>
    <w:p w:rsidR="00712E44" w:rsidRDefault="00712E44" w:rsidP="008A7CA2">
      <w:pPr>
        <w:jc w:val="both"/>
        <w:rPr>
          <w:rFonts w:eastAsia="Times New Roman"/>
          <w:kern w:val="0"/>
        </w:rPr>
      </w:pPr>
      <w:r w:rsidRPr="008A7CA2">
        <w:rPr>
          <w:rFonts w:eastAsia="Times New Roman"/>
          <w:i/>
          <w:kern w:val="0"/>
        </w:rPr>
        <w:t>Euro na Slovensku</w:t>
      </w:r>
      <w:r w:rsidRPr="00160D5E">
        <w:rPr>
          <w:rFonts w:eastAsia="Times New Roman"/>
          <w:kern w:val="0"/>
        </w:rPr>
        <w:t xml:space="preserve"> [online]. Dostupné</w:t>
      </w:r>
      <w:r>
        <w:rPr>
          <w:rFonts w:eastAsia="Times New Roman"/>
          <w:kern w:val="0"/>
        </w:rPr>
        <w:t xml:space="preserve"> z WWW: &lt;</w:t>
      </w:r>
      <w:r w:rsidRPr="00160D5E">
        <w:rPr>
          <w:rFonts w:eastAsia="Times New Roman"/>
          <w:kern w:val="0"/>
        </w:rPr>
        <w:t>http://www.nbs.sk/sk/euro</w:t>
      </w:r>
      <w:r>
        <w:rPr>
          <w:rFonts w:eastAsia="Times New Roman"/>
          <w:kern w:val="0"/>
        </w:rPr>
        <w:t>&gt;</w:t>
      </w:r>
    </w:p>
    <w:p w:rsidR="00712E44" w:rsidRDefault="00712E44" w:rsidP="008A7CA2">
      <w:pPr>
        <w:jc w:val="both"/>
        <w:rPr>
          <w:b/>
        </w:rPr>
      </w:pPr>
    </w:p>
    <w:p w:rsidR="009354D1" w:rsidRPr="00B825B9" w:rsidRDefault="009354D1" w:rsidP="009354D1">
      <w:pPr>
        <w:rPr>
          <w:i/>
        </w:rPr>
      </w:pPr>
      <w:r w:rsidRPr="00B825B9">
        <w:rPr>
          <w:i/>
        </w:rPr>
        <w:t xml:space="preserve">Eurostat Newsrelease Euroindicators </w:t>
      </w:r>
      <w:r w:rsidRPr="00B825B9">
        <w:t>[online].</w:t>
      </w:r>
      <w:r>
        <w:t xml:space="preserve"> Luxembourg: Eurostat.</w:t>
      </w:r>
      <w:r w:rsidRPr="00B825B9">
        <w:t xml:space="preserve"> Dostupné z WWW: </w:t>
      </w:r>
      <w:r w:rsidRPr="00B825B9">
        <w:rPr>
          <w:lang w:val="en-US"/>
        </w:rPr>
        <w:t>&lt;</w:t>
      </w:r>
      <w:r w:rsidRPr="00B825B9">
        <w:t>http://epp.eurostat.ec.europa.eu/cache/ITY_PUBLIC/2-03032011-BP/EN/2-03032011-BP-EN.PDF&gt;</w:t>
      </w:r>
    </w:p>
    <w:p w:rsidR="009354D1" w:rsidRDefault="009354D1" w:rsidP="009354D1">
      <w:pPr>
        <w:rPr>
          <w:i/>
        </w:rPr>
      </w:pPr>
    </w:p>
    <w:p w:rsidR="009354D1" w:rsidRPr="00B825B9" w:rsidRDefault="009354D1" w:rsidP="009354D1">
      <w:r w:rsidRPr="00B825B9">
        <w:rPr>
          <w:i/>
        </w:rPr>
        <w:t xml:space="preserve">Eurostat Newsrelease Euroindicators </w:t>
      </w:r>
      <w:r w:rsidRPr="00B825B9">
        <w:t>[online].</w:t>
      </w:r>
      <w:r>
        <w:t xml:space="preserve"> Luxembourg: Eurostat.</w:t>
      </w:r>
      <w:r w:rsidRPr="00B825B9">
        <w:t xml:space="preserve"> Dostupné z WWW: </w:t>
      </w:r>
      <w:r w:rsidRPr="00B825B9">
        <w:rPr>
          <w:lang w:val="en-US"/>
        </w:rPr>
        <w:t>&lt;</w:t>
      </w:r>
      <w:r w:rsidRPr="00B825B9">
        <w:t>http://epp.eurostat.ec.europa.eu/cache/ITY_PUBLIC/2-04032010-AP/EN/2-04032010-AP-EN.PDF&gt;</w:t>
      </w:r>
    </w:p>
    <w:p w:rsidR="009354D1" w:rsidRDefault="009354D1" w:rsidP="009354D1">
      <w:pPr>
        <w:rPr>
          <w:i/>
        </w:rPr>
      </w:pPr>
    </w:p>
    <w:p w:rsidR="009354D1" w:rsidRPr="00B825B9" w:rsidRDefault="009354D1" w:rsidP="009354D1">
      <w:r w:rsidRPr="00B825B9">
        <w:rPr>
          <w:i/>
        </w:rPr>
        <w:t xml:space="preserve">Eurostat Newsrelease Euroindicators </w:t>
      </w:r>
      <w:r w:rsidRPr="00B825B9">
        <w:t>[online].</w:t>
      </w:r>
      <w:r>
        <w:t xml:space="preserve"> Luxembourg: Eurostat.</w:t>
      </w:r>
      <w:r w:rsidRPr="00B825B9">
        <w:t xml:space="preserve"> Dostupné z WWW: </w:t>
      </w:r>
      <w:r w:rsidRPr="00B825B9">
        <w:rPr>
          <w:lang w:val="en-US"/>
        </w:rPr>
        <w:t>&lt;</w:t>
      </w:r>
      <w:r w:rsidRPr="006501A6">
        <w:rPr>
          <w:lang w:val="en-US"/>
        </w:rPr>
        <w:t>http://epp.eurostat.ec.europa.eu/cache/ITY_PUBLIC/4-12032010-AP/EN/4-12032010-AP-EN.PDF</w:t>
      </w:r>
      <w:r w:rsidRPr="00B825B9">
        <w:t xml:space="preserve"> &gt;</w:t>
      </w:r>
    </w:p>
    <w:p w:rsidR="009354D1" w:rsidRDefault="009354D1" w:rsidP="009354D1"/>
    <w:p w:rsidR="009354D1" w:rsidRPr="00B825B9" w:rsidRDefault="009354D1" w:rsidP="009354D1">
      <w:r>
        <w:t xml:space="preserve">MRLIANOVA, T. </w:t>
      </w:r>
      <w:r>
        <w:rPr>
          <w:i/>
        </w:rPr>
        <w:t>Harmonisierter Verbraucherpreisindex Dezember 2010</w:t>
      </w:r>
      <w:r w:rsidRPr="00B825B9">
        <w:rPr>
          <w:i/>
        </w:rPr>
        <w:t xml:space="preserve"> </w:t>
      </w:r>
      <w:r w:rsidRPr="00B825B9">
        <w:t>[online].</w:t>
      </w:r>
      <w:r>
        <w:t xml:space="preserve"> Luxembourg: Eurostat.</w:t>
      </w:r>
      <w:r w:rsidRPr="00B825B9">
        <w:t xml:space="preserve"> Dostupné z WWW: </w:t>
      </w:r>
      <w:r w:rsidRPr="00B825B9">
        <w:rPr>
          <w:lang w:val="en-US"/>
        </w:rPr>
        <w:t>&lt;</w:t>
      </w:r>
      <w:r w:rsidRPr="00002CB8">
        <w:rPr>
          <w:lang w:val="en-US"/>
        </w:rPr>
        <w:t>http://epp.eurostat.ec.europa.eu/cache/ITY_OFFPUB/KS-QA-11-002/DE/KS-QA-11-002-DE.PDF</w:t>
      </w:r>
      <w:r w:rsidRPr="00B825B9">
        <w:t>&gt;</w:t>
      </w:r>
    </w:p>
    <w:p w:rsidR="009354D1" w:rsidRDefault="009354D1" w:rsidP="009354D1"/>
    <w:p w:rsidR="009354D1" w:rsidRDefault="009354D1" w:rsidP="009354D1"/>
    <w:p w:rsidR="009354D1" w:rsidRDefault="009354D1" w:rsidP="009354D1"/>
    <w:p w:rsidR="009354D1" w:rsidRPr="00B825B9" w:rsidRDefault="009354D1" w:rsidP="009354D1">
      <w:r>
        <w:lastRenderedPageBreak/>
        <w:t xml:space="preserve">MRLIANOVA, T., WIRTZ, CH. </w:t>
      </w:r>
      <w:r>
        <w:rPr>
          <w:i/>
        </w:rPr>
        <w:t>Harmonisierter Verbraucherpreisindex Dezember 2008</w:t>
      </w:r>
      <w:r w:rsidRPr="00B825B9">
        <w:rPr>
          <w:i/>
        </w:rPr>
        <w:t xml:space="preserve"> </w:t>
      </w:r>
      <w:r w:rsidRPr="00B825B9">
        <w:t>[online].</w:t>
      </w:r>
      <w:r>
        <w:t xml:space="preserve"> Luxembourg: Eurostat.</w:t>
      </w:r>
      <w:r w:rsidRPr="00B825B9">
        <w:t xml:space="preserve"> Dostupné z WWW: </w:t>
      </w:r>
      <w:r w:rsidRPr="00B825B9">
        <w:rPr>
          <w:lang w:val="en-US"/>
        </w:rPr>
        <w:t>&lt;</w:t>
      </w:r>
      <w:r w:rsidRPr="00C823D2">
        <w:rPr>
          <w:lang w:val="en-US"/>
        </w:rPr>
        <w:t>http://epp.eurostat.ec.europa.eu/cache/ITY_OFFPUB/KS-QA-09-002/DE/KS-QA-09-002-DE.PDF</w:t>
      </w:r>
      <w:r w:rsidRPr="00B825B9">
        <w:t>&gt;</w:t>
      </w:r>
    </w:p>
    <w:p w:rsidR="009354D1" w:rsidRDefault="009354D1" w:rsidP="009354D1">
      <w:pPr>
        <w:rPr>
          <w:i/>
        </w:rPr>
      </w:pPr>
    </w:p>
    <w:p w:rsidR="009354D1" w:rsidRDefault="009354D1" w:rsidP="009354D1">
      <w:pPr>
        <w:rPr>
          <w:i/>
        </w:rPr>
      </w:pPr>
      <w:r>
        <w:rPr>
          <w:i/>
        </w:rPr>
        <w:t>Nezamestnanosť – mesačné štatistiky</w:t>
      </w:r>
      <w:r w:rsidRPr="00B825B9">
        <w:rPr>
          <w:i/>
        </w:rPr>
        <w:t xml:space="preserve"> </w:t>
      </w:r>
      <w:r w:rsidRPr="00B825B9">
        <w:t xml:space="preserve">[online]. </w:t>
      </w:r>
      <w:r w:rsidRPr="006501A6">
        <w:t xml:space="preserve">Bratislava: </w:t>
      </w:r>
      <w:r>
        <w:t xml:space="preserve">Ústredie práce, sociálnych vecí a rodiny. </w:t>
      </w:r>
      <w:r w:rsidRPr="00B825B9">
        <w:t xml:space="preserve">Dostupné z WWW: </w:t>
      </w:r>
      <w:r w:rsidRPr="00B825B9">
        <w:rPr>
          <w:lang w:val="en-US"/>
        </w:rPr>
        <w:t>&lt;</w:t>
      </w:r>
      <w:r w:rsidRPr="00C823D2">
        <w:rPr>
          <w:lang w:val="en-US"/>
        </w:rPr>
        <w:t>http://www.upsvar.sk/statistiky/nezamestnanost-mesacne-statistiky.html?page_id=1254</w:t>
      </w:r>
      <w:r w:rsidRPr="00B825B9">
        <w:t>&gt;</w:t>
      </w:r>
    </w:p>
    <w:p w:rsidR="009354D1" w:rsidRDefault="009354D1" w:rsidP="009354D1">
      <w:pPr>
        <w:rPr>
          <w:i/>
        </w:rPr>
      </w:pPr>
    </w:p>
    <w:p w:rsidR="009354D1" w:rsidRPr="00B825B9" w:rsidRDefault="009354D1" w:rsidP="009354D1">
      <w:r>
        <w:rPr>
          <w:i/>
        </w:rPr>
        <w:t>Spotrebiteľské ceny (inflácia)</w:t>
      </w:r>
      <w:r w:rsidRPr="00B825B9">
        <w:rPr>
          <w:i/>
        </w:rPr>
        <w:t xml:space="preserve"> </w:t>
      </w:r>
      <w:r w:rsidRPr="00B825B9">
        <w:t xml:space="preserve">[online]. </w:t>
      </w:r>
      <w:r w:rsidRPr="006501A6">
        <w:t>Bratislava: Štatis</w:t>
      </w:r>
      <w:r>
        <w:t>tický úrad Slovenskej republiky</w:t>
      </w:r>
      <w:r w:rsidRPr="006501A6">
        <w:t>.</w:t>
      </w:r>
      <w:r>
        <w:t xml:space="preserve"> </w:t>
      </w:r>
      <w:r w:rsidRPr="00B825B9">
        <w:t xml:space="preserve">Dostupné z WWW: </w:t>
      </w:r>
      <w:r w:rsidRPr="00B825B9">
        <w:rPr>
          <w:lang w:val="en-US"/>
        </w:rPr>
        <w:t>&lt;</w:t>
      </w:r>
      <w:r w:rsidRPr="000C68FD">
        <w:rPr>
          <w:lang w:val="en-US"/>
        </w:rPr>
        <w:t>http://portal.statistics.sk/showdoc.do?docid=185</w:t>
      </w:r>
      <w:r w:rsidRPr="00B825B9">
        <w:t>&gt;</w:t>
      </w:r>
    </w:p>
    <w:p w:rsidR="009354D1" w:rsidRDefault="009354D1" w:rsidP="009354D1">
      <w:pPr>
        <w:rPr>
          <w:i/>
        </w:rPr>
      </w:pPr>
    </w:p>
    <w:p w:rsidR="009354D1" w:rsidRPr="00B825B9" w:rsidRDefault="009354D1" w:rsidP="009354D1">
      <w:r>
        <w:rPr>
          <w:i/>
        </w:rPr>
        <w:t>Úroková štatistika</w:t>
      </w:r>
      <w:r w:rsidRPr="00B825B9">
        <w:rPr>
          <w:i/>
        </w:rPr>
        <w:t xml:space="preserve"> </w:t>
      </w:r>
      <w:r w:rsidRPr="00B825B9">
        <w:t xml:space="preserve">[online]. </w:t>
      </w:r>
      <w:r w:rsidRPr="006501A6">
        <w:t xml:space="preserve">Bratislava: </w:t>
      </w:r>
      <w:r>
        <w:t>Národná banka Slovenska</w:t>
      </w:r>
      <w:r w:rsidRPr="006501A6">
        <w:t>.</w:t>
      </w:r>
      <w:r>
        <w:t xml:space="preserve"> </w:t>
      </w:r>
      <w:r w:rsidRPr="00B825B9">
        <w:t xml:space="preserve">Dostupné z WWW: </w:t>
      </w:r>
      <w:r w:rsidRPr="00B825B9">
        <w:rPr>
          <w:lang w:val="en-US"/>
        </w:rPr>
        <w:t>&lt;</w:t>
      </w:r>
      <w:r w:rsidRPr="00EF52B3">
        <w:rPr>
          <w:lang w:val="en-US"/>
        </w:rPr>
        <w:t>http://www.nbs.sk/sk/statisticke-udaje/menova-a-bankova-statistika/urokova-statistika</w:t>
      </w:r>
      <w:r w:rsidRPr="00B825B9">
        <w:t>&gt;</w:t>
      </w:r>
    </w:p>
    <w:p w:rsidR="009354D1" w:rsidRDefault="009354D1" w:rsidP="009354D1">
      <w:pPr>
        <w:rPr>
          <w:i/>
        </w:rPr>
      </w:pPr>
    </w:p>
    <w:p w:rsidR="009354D1" w:rsidRPr="00B825B9" w:rsidRDefault="009354D1" w:rsidP="009354D1">
      <w:r>
        <w:rPr>
          <w:i/>
        </w:rPr>
        <w:t>Zahraničný obchod</w:t>
      </w:r>
      <w:r w:rsidRPr="00B825B9">
        <w:rPr>
          <w:i/>
        </w:rPr>
        <w:t xml:space="preserve"> </w:t>
      </w:r>
      <w:r w:rsidRPr="00B825B9">
        <w:t xml:space="preserve">[online]. </w:t>
      </w:r>
      <w:r w:rsidRPr="006501A6">
        <w:t>Bratislava: Štatis</w:t>
      </w:r>
      <w:r>
        <w:t>tický úrad Slovenskej republiky</w:t>
      </w:r>
      <w:r w:rsidRPr="006501A6">
        <w:t>.</w:t>
      </w:r>
      <w:r>
        <w:t xml:space="preserve"> </w:t>
      </w:r>
      <w:r w:rsidRPr="00B825B9">
        <w:t xml:space="preserve">Dostupné </w:t>
      </w:r>
      <w:r>
        <w:br/>
      </w:r>
      <w:r w:rsidRPr="00B825B9">
        <w:t xml:space="preserve">z WWW: </w:t>
      </w:r>
      <w:r w:rsidRPr="00B825B9">
        <w:rPr>
          <w:lang w:val="en-US"/>
        </w:rPr>
        <w:t>&lt;http://portal.statistics.sk/showdoc.do?docid=194</w:t>
      </w:r>
      <w:r w:rsidRPr="00B825B9">
        <w:t xml:space="preserve"> &gt;</w:t>
      </w: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5D4C3C">
      <w:pPr>
        <w:spacing w:line="360" w:lineRule="auto"/>
        <w:jc w:val="both"/>
        <w:rPr>
          <w:b/>
          <w:bCs/>
          <w:iCs/>
          <w:sz w:val="26"/>
          <w:szCs w:val="28"/>
        </w:rPr>
      </w:pPr>
    </w:p>
    <w:p w:rsidR="00712E44" w:rsidRDefault="00712E44" w:rsidP="005D4C3C">
      <w:pPr>
        <w:spacing w:line="360" w:lineRule="auto"/>
        <w:jc w:val="both"/>
        <w:rPr>
          <w:b/>
          <w:bCs/>
          <w:iCs/>
          <w:sz w:val="26"/>
          <w:szCs w:val="28"/>
        </w:rPr>
      </w:pPr>
    </w:p>
    <w:p w:rsidR="00712E44" w:rsidRDefault="00712E44" w:rsidP="005D4C3C">
      <w:pPr>
        <w:spacing w:line="360" w:lineRule="auto"/>
        <w:jc w:val="both"/>
        <w:rPr>
          <w:b/>
          <w:bCs/>
          <w:iCs/>
          <w:sz w:val="26"/>
          <w:szCs w:val="28"/>
        </w:rPr>
      </w:pPr>
    </w:p>
    <w:p w:rsidR="00712E44" w:rsidRDefault="00712E44" w:rsidP="005D4C3C">
      <w:pPr>
        <w:spacing w:line="360" w:lineRule="auto"/>
        <w:jc w:val="both"/>
        <w:rPr>
          <w:b/>
          <w:bCs/>
          <w:iCs/>
          <w:sz w:val="26"/>
          <w:szCs w:val="28"/>
        </w:rPr>
      </w:pPr>
    </w:p>
    <w:p w:rsidR="00712E44" w:rsidRDefault="00712E44"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9354D1" w:rsidRDefault="009354D1" w:rsidP="005D4C3C">
      <w:pPr>
        <w:spacing w:line="360" w:lineRule="auto"/>
        <w:jc w:val="both"/>
        <w:rPr>
          <w:b/>
          <w:bCs/>
          <w:iCs/>
          <w:sz w:val="26"/>
          <w:szCs w:val="28"/>
        </w:rPr>
      </w:pPr>
    </w:p>
    <w:p w:rsidR="00712E44" w:rsidRDefault="00712E44" w:rsidP="005D4C3C">
      <w:pPr>
        <w:spacing w:line="360" w:lineRule="auto"/>
        <w:jc w:val="both"/>
        <w:rPr>
          <w:sz w:val="26"/>
        </w:rPr>
      </w:pPr>
      <w:r>
        <w:rPr>
          <w:b/>
          <w:bCs/>
          <w:iCs/>
          <w:sz w:val="26"/>
          <w:szCs w:val="28"/>
        </w:rPr>
        <w:lastRenderedPageBreak/>
        <w:t>Seznam příloh</w:t>
      </w:r>
      <w:r>
        <w:rPr>
          <w:sz w:val="26"/>
        </w:rPr>
        <w:t xml:space="preserve"> </w:t>
      </w:r>
    </w:p>
    <w:p w:rsidR="00712E44" w:rsidRDefault="00712E44" w:rsidP="005D4C3C">
      <w:pPr>
        <w:spacing w:line="360" w:lineRule="auto"/>
        <w:jc w:val="both"/>
        <w:rPr>
          <w:sz w:val="26"/>
        </w:rPr>
      </w:pPr>
    </w:p>
    <w:p w:rsidR="00712E44" w:rsidRDefault="00712E44" w:rsidP="002477B7">
      <w:pPr>
        <w:spacing w:line="360" w:lineRule="auto"/>
        <w:ind w:left="6372" w:firstLine="708"/>
        <w:jc w:val="both"/>
      </w:pPr>
      <w:r>
        <w:t xml:space="preserve">   Počet stran</w:t>
      </w:r>
    </w:p>
    <w:p w:rsidR="00712E44" w:rsidRDefault="00712E44" w:rsidP="002477B7">
      <w:pPr>
        <w:pStyle w:val="Zkladntext"/>
        <w:spacing w:line="360" w:lineRule="auto"/>
        <w:ind w:left="1410" w:hanging="1410"/>
      </w:pPr>
      <w:r>
        <w:rPr>
          <w:b/>
          <w:bCs/>
        </w:rPr>
        <w:t>Příloha A</w:t>
      </w:r>
      <w:r>
        <w:tab/>
        <w:t>- Dotazník k diplomové práci</w:t>
      </w:r>
      <w:r>
        <w:tab/>
      </w:r>
      <w:r>
        <w:tab/>
      </w:r>
      <w:r>
        <w:tab/>
      </w:r>
      <w:r>
        <w:tab/>
      </w:r>
      <w:r>
        <w:tab/>
      </w:r>
      <w:r>
        <w:tab/>
        <w:t>1</w:t>
      </w:r>
    </w:p>
    <w:p w:rsidR="00712E44" w:rsidRDefault="00712E44" w:rsidP="005D4C3C">
      <w:pPr>
        <w:pStyle w:val="Zkladntext"/>
        <w:ind w:left="2118" w:hanging="702"/>
      </w:pPr>
    </w:p>
    <w:p w:rsidR="00712E44" w:rsidRDefault="00712E44" w:rsidP="005D4C3C">
      <w:pPr>
        <w:pStyle w:val="Zkladntext"/>
        <w:ind w:left="2118" w:hanging="702"/>
      </w:pPr>
      <w:r>
        <w:tab/>
      </w:r>
      <w:r>
        <w:tab/>
      </w:r>
      <w:r>
        <w:tab/>
      </w:r>
      <w:r>
        <w:tab/>
      </w:r>
      <w:r>
        <w:tab/>
        <w:t xml:space="preserve">   </w:t>
      </w:r>
    </w:p>
    <w:p w:rsidR="00712E44" w:rsidRDefault="00712E44" w:rsidP="00AA6F64">
      <w:pPr>
        <w:pStyle w:val="Zkladntext"/>
        <w:spacing w:line="360" w:lineRule="auto"/>
        <w:ind w:left="1410" w:hanging="1410"/>
      </w:pPr>
      <w:r>
        <w:rPr>
          <w:b/>
          <w:bCs/>
        </w:rPr>
        <w:t>Příloha B</w:t>
      </w:r>
      <w:r>
        <w:tab/>
        <w:t xml:space="preserve">- </w:t>
      </w:r>
      <w:r w:rsidRPr="002477B7">
        <w:t>Slovenské euromince</w:t>
      </w:r>
      <w:r>
        <w:tab/>
      </w:r>
      <w:r>
        <w:tab/>
      </w:r>
      <w:r>
        <w:tab/>
      </w:r>
      <w:r>
        <w:tab/>
      </w:r>
      <w:r>
        <w:tab/>
      </w:r>
      <w:r>
        <w:tab/>
        <w:t>2</w:t>
      </w:r>
    </w:p>
    <w:p w:rsidR="00712E44" w:rsidRDefault="00712E44" w:rsidP="005D4C3C">
      <w:pPr>
        <w:spacing w:line="360" w:lineRule="auto"/>
        <w:jc w:val="both"/>
      </w:pPr>
    </w:p>
    <w:p w:rsidR="00712E44" w:rsidRDefault="00712E44" w:rsidP="005D4C3C">
      <w:pPr>
        <w:spacing w:line="360" w:lineRule="auto"/>
        <w:jc w:val="both"/>
      </w:pPr>
    </w:p>
    <w:p w:rsidR="00712E44" w:rsidRDefault="00712E44" w:rsidP="002477B7">
      <w:pPr>
        <w:spacing w:line="360" w:lineRule="auto"/>
        <w:ind w:left="1410" w:hanging="1410"/>
        <w:jc w:val="both"/>
      </w:pPr>
      <w:r>
        <w:rPr>
          <w:b/>
          <w:bCs/>
        </w:rPr>
        <w:t>Příloha C</w:t>
      </w:r>
      <w:r>
        <w:tab/>
        <w:t>- Slovenské eurobankovky</w:t>
      </w:r>
      <w:r>
        <w:tab/>
      </w:r>
      <w:r>
        <w:tab/>
      </w:r>
      <w:r>
        <w:tab/>
      </w:r>
      <w:r>
        <w:tab/>
      </w:r>
      <w:r>
        <w:tab/>
      </w:r>
      <w:r>
        <w:tab/>
        <w:t>1</w:t>
      </w:r>
      <w:r>
        <w:tab/>
      </w:r>
      <w:r>
        <w:tab/>
      </w:r>
      <w:r>
        <w:tab/>
      </w:r>
      <w:r>
        <w:tab/>
      </w:r>
      <w:r>
        <w:tab/>
        <w:t xml:space="preserve">   </w:t>
      </w:r>
    </w:p>
    <w:p w:rsidR="00712E44" w:rsidRDefault="00712E44" w:rsidP="005D4C3C">
      <w:pPr>
        <w:spacing w:line="360" w:lineRule="auto"/>
        <w:jc w:val="both"/>
      </w:pPr>
    </w:p>
    <w:p w:rsidR="00712E44" w:rsidRDefault="00712E44" w:rsidP="005D4C3C">
      <w:pPr>
        <w:spacing w:line="360" w:lineRule="auto"/>
        <w:jc w:val="both"/>
      </w:pPr>
      <w:r>
        <w:rPr>
          <w:b/>
          <w:bCs/>
        </w:rPr>
        <w:t>Příloha D</w:t>
      </w:r>
      <w:r>
        <w:tab/>
        <w:t xml:space="preserve">- </w:t>
      </w:r>
      <w:r w:rsidRPr="002477B7">
        <w:t>Struktura uchazečů o zaměstnání podle doby evidence</w:t>
      </w:r>
    </w:p>
    <w:p w:rsidR="00712E44" w:rsidRDefault="00712E44" w:rsidP="002477B7">
      <w:pPr>
        <w:spacing w:line="360" w:lineRule="auto"/>
        <w:ind w:left="708" w:firstLine="708"/>
        <w:jc w:val="both"/>
      </w:pPr>
      <w:r>
        <w:t xml:space="preserve"> </w:t>
      </w:r>
      <w:r w:rsidRPr="002477B7">
        <w:t xml:space="preserve"> v měsících za kraje vždy k prosinci </w:t>
      </w:r>
      <w:r w:rsidRPr="002477B7">
        <w:tab/>
      </w:r>
      <w:r>
        <w:tab/>
      </w:r>
      <w:r>
        <w:tab/>
      </w:r>
      <w:r>
        <w:tab/>
        <w:t>1</w:t>
      </w:r>
    </w:p>
    <w:p w:rsidR="00712E44" w:rsidRDefault="00712E44" w:rsidP="005D4C3C">
      <w:pPr>
        <w:pStyle w:val="Zkladntext"/>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Default="00712E44" w:rsidP="00160D5E">
      <w:pPr>
        <w:spacing w:line="360" w:lineRule="auto"/>
        <w:jc w:val="both"/>
        <w:rPr>
          <w:b/>
        </w:rPr>
      </w:pPr>
    </w:p>
    <w:p w:rsidR="00712E44" w:rsidRPr="00160D5E" w:rsidRDefault="00712E44" w:rsidP="00160D5E">
      <w:pPr>
        <w:spacing w:line="360" w:lineRule="auto"/>
        <w:jc w:val="both"/>
        <w:rPr>
          <w:b/>
        </w:rPr>
      </w:pPr>
    </w:p>
    <w:sectPr w:rsidR="00712E44" w:rsidRPr="00160D5E" w:rsidSect="00D64977">
      <w:footerReference w:type="default" r:id="rId22"/>
      <w:pgSz w:w="11906" w:h="16838" w:code="9"/>
      <w:pgMar w:top="1418" w:right="1418" w:bottom="1418" w:left="1418"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61C8" w:rsidRDefault="001E61C8" w:rsidP="00DD55D3">
      <w:r>
        <w:separator/>
      </w:r>
    </w:p>
  </w:endnote>
  <w:endnote w:type="continuationSeparator" w:id="0">
    <w:p w:rsidR="001E61C8" w:rsidRDefault="001E61C8" w:rsidP="00DD55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227E" w:rsidRDefault="00C1227E" w:rsidP="00D64977">
    <w:pPr>
      <w:pStyle w:val="Zpat"/>
    </w:pPr>
    <w:r>
      <w:tab/>
    </w:r>
  </w:p>
  <w:p w:rsidR="00C1227E" w:rsidRPr="00D64977" w:rsidRDefault="00C1227E" w:rsidP="00D64977">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227E" w:rsidRDefault="00C1227E" w:rsidP="00D64977">
    <w:pPr>
      <w:pStyle w:val="Zpat"/>
    </w:pPr>
    <w:r>
      <w:tab/>
      <w:t xml:space="preserve">- </w:t>
    </w:r>
    <w:fldSimple w:instr=" PAGE ">
      <w:r w:rsidR="00044AA6">
        <w:rPr>
          <w:noProof/>
        </w:rPr>
        <w:t>91</w:t>
      </w:r>
    </w:fldSimple>
    <w:r>
      <w:t xml:space="preserve"> -</w:t>
    </w:r>
  </w:p>
  <w:p w:rsidR="00C1227E" w:rsidRPr="00D64977" w:rsidRDefault="00C1227E" w:rsidP="00D6497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61C8" w:rsidRDefault="001E61C8" w:rsidP="00DD55D3">
      <w:r>
        <w:separator/>
      </w:r>
    </w:p>
  </w:footnote>
  <w:footnote w:type="continuationSeparator" w:id="0">
    <w:p w:rsidR="001E61C8" w:rsidRDefault="001E61C8" w:rsidP="00DD55D3">
      <w:r>
        <w:continuationSeparator/>
      </w:r>
    </w:p>
  </w:footnote>
  <w:footnote w:id="1">
    <w:p w:rsidR="00C1227E" w:rsidRDefault="00C1227E" w:rsidP="00B659B1">
      <w:pPr>
        <w:pStyle w:val="Textpoznpodarou"/>
      </w:pPr>
      <w:r>
        <w:rPr>
          <w:rStyle w:val="Znakapoznpodarou"/>
        </w:rPr>
        <w:footnoteRef/>
      </w:r>
      <w:r>
        <w:t xml:space="preserve"> </w:t>
      </w:r>
      <w:r>
        <w:rPr>
          <w:i/>
        </w:rPr>
        <w:t xml:space="preserve">Hlavní cíle EU </w:t>
      </w:r>
      <w:r>
        <w:t xml:space="preserve">[online]. Praha: Ministerstvo financí ČR [cit. 2011-04-16]. Dostupný z WWW:    </w:t>
      </w:r>
      <w:r>
        <w:rPr>
          <w:i/>
        </w:rPr>
        <w:t xml:space="preserve"> </w:t>
      </w:r>
      <w:r w:rsidRPr="00E67258">
        <w:t>&lt;http://www.mfcr.cz/cps/rde/xchg/mfcr/xsl/pom_eu_ukonprogr_11303.html?year=PRESENT</w:t>
      </w:r>
      <w:r>
        <w:t xml:space="preserve"> &gt;</w:t>
      </w:r>
    </w:p>
    <w:p w:rsidR="00C1227E" w:rsidRDefault="00C1227E" w:rsidP="00B659B1">
      <w:pPr>
        <w:pStyle w:val="Textpoznpodarou"/>
      </w:pPr>
    </w:p>
  </w:footnote>
  <w:footnote w:id="2">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11 - 12 s. ISBN 80-8044-061-1.</w:t>
      </w:r>
    </w:p>
  </w:footnote>
  <w:footnote w:id="3">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13 s. ISBN 80-8044-061-1.</w:t>
      </w:r>
    </w:p>
  </w:footnote>
  <w:footnote w:id="4">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13 - 15 s. ISBN 80-8044-061-1.</w:t>
      </w:r>
    </w:p>
  </w:footnote>
  <w:footnote w:id="5">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15 s. ISBN 80-8044-061-1.</w:t>
      </w:r>
    </w:p>
  </w:footnote>
  <w:footnote w:id="6">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15 - 17 s. ISBN 80-8044-061-1.</w:t>
      </w:r>
    </w:p>
  </w:footnote>
  <w:footnote w:id="7">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17 s. ISBN 80-8044-061-1.</w:t>
      </w:r>
    </w:p>
  </w:footnote>
  <w:footnote w:id="8">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19 - 20 s. ISBN 80-8044-061-1.</w:t>
      </w:r>
    </w:p>
  </w:footnote>
  <w:footnote w:id="9">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20 s. ISBN 80-8044-061-1.</w:t>
      </w:r>
    </w:p>
  </w:footnote>
  <w:footnote w:id="10">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20 s. ISBN 80-8044-061-1.</w:t>
      </w:r>
    </w:p>
  </w:footnote>
  <w:footnote w:id="11">
    <w:p w:rsidR="00C1227E" w:rsidRDefault="00C1227E" w:rsidP="00DD55D3">
      <w:pPr>
        <w:pStyle w:val="Textpoznpodarou"/>
      </w:pPr>
      <w:r>
        <w:rPr>
          <w:rStyle w:val="Znakapoznpodarou"/>
        </w:rPr>
        <w:footnoteRef/>
      </w:r>
      <w:r>
        <w:t xml:space="preserve"> </w:t>
      </w:r>
      <w:r>
        <w:rPr>
          <w:i/>
        </w:rPr>
        <w:t xml:space="preserve">Počátky měnové spolupráce </w:t>
      </w:r>
      <w:r>
        <w:t xml:space="preserve">[online]. Praha: Ministerstvo financí ČR[cit. 2010-06-12]. Dostupný z WWW:    </w:t>
      </w:r>
      <w:r>
        <w:rPr>
          <w:i/>
        </w:rPr>
        <w:t xml:space="preserve"> </w:t>
      </w:r>
      <w:r w:rsidRPr="00E67258">
        <w:t>&lt;</w:t>
      </w:r>
      <w:r w:rsidRPr="007C7F58">
        <w:t>http://www.zavedenieura.cz/cps/rde/xchg/euro/xsl/euro_pocatky_men_spolupr.html</w:t>
      </w:r>
      <w:r>
        <w:t>&gt;</w:t>
      </w:r>
    </w:p>
  </w:footnote>
  <w:footnote w:id="12">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24 s. ISBN 80-8044-061-1.</w:t>
      </w:r>
    </w:p>
  </w:footnote>
  <w:footnote w:id="13">
    <w:p w:rsidR="00C1227E" w:rsidRDefault="00C1227E" w:rsidP="00DD55D3">
      <w:pPr>
        <w:pStyle w:val="Textpoznpodarou"/>
      </w:pPr>
      <w:r>
        <w:rPr>
          <w:rStyle w:val="Znakapoznpodarou"/>
        </w:rPr>
        <w:footnoteRef/>
      </w:r>
      <w:r>
        <w:t xml:space="preserve"> </w:t>
      </w:r>
      <w:r>
        <w:rPr>
          <w:i/>
        </w:rPr>
        <w:t xml:space="preserve">Evropský měnový systém </w:t>
      </w:r>
      <w:r>
        <w:t xml:space="preserve">[online]. Praha: Ministerstvo financí ČR [cit. 2010-06-12]. Dostupný z WWW:    </w:t>
      </w:r>
      <w:r>
        <w:rPr>
          <w:i/>
        </w:rPr>
        <w:t xml:space="preserve"> </w:t>
      </w:r>
      <w:r w:rsidRPr="00E67258">
        <w:t>&lt;</w:t>
      </w:r>
      <w:r w:rsidRPr="007C7F58">
        <w:t>http://www.zavedenieura.cz/cps/rde/xchg/euro/xsl/euro_pocatky_men_spolupr.html</w:t>
      </w:r>
      <w:r>
        <w:t>&gt;</w:t>
      </w:r>
    </w:p>
    <w:p w:rsidR="00C1227E" w:rsidRDefault="00C1227E" w:rsidP="00DD55D3">
      <w:pPr>
        <w:pStyle w:val="Textpoznpodarou"/>
      </w:pPr>
    </w:p>
  </w:footnote>
  <w:footnote w:id="14">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22 s. ISBN 80-8044-061-1.</w:t>
      </w:r>
    </w:p>
  </w:footnote>
  <w:footnote w:id="15">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25 s. ISBN 80-8044-061-1.</w:t>
      </w:r>
    </w:p>
  </w:footnote>
  <w:footnote w:id="16">
    <w:p w:rsidR="00C1227E" w:rsidRDefault="00C1227E" w:rsidP="00DD55D3">
      <w:pPr>
        <w:pStyle w:val="Textpoznpodarou"/>
      </w:pPr>
      <w:r>
        <w:rPr>
          <w:rStyle w:val="Znakapoznpodarou"/>
        </w:rPr>
        <w:footnoteRef/>
      </w:r>
      <w:r>
        <w:t xml:space="preserve"> SIPKO, J. </w:t>
      </w:r>
      <w:r w:rsidRPr="00773983">
        <w:rPr>
          <w:i/>
        </w:rPr>
        <w:t>Európska menová únia a euro</w:t>
      </w:r>
      <w:r>
        <w:t>. Bratislava: ELITA, 1999. 25 - 37 s. ISBN 80-8044-061-1.</w:t>
      </w:r>
    </w:p>
  </w:footnote>
  <w:footnote w:id="17">
    <w:p w:rsidR="00C1227E" w:rsidRDefault="00C1227E" w:rsidP="00DD55D3">
      <w:pPr>
        <w:pStyle w:val="Textpoznpodarou"/>
      </w:pPr>
      <w:r>
        <w:rPr>
          <w:rStyle w:val="Znakapoznpodarou"/>
        </w:rPr>
        <w:footnoteRef/>
      </w:r>
      <w:r>
        <w:t xml:space="preserve"> </w:t>
      </w:r>
      <w:r>
        <w:rPr>
          <w:i/>
        </w:rPr>
        <w:t xml:space="preserve">Hospodářská a měnová unie </w:t>
      </w:r>
      <w:r>
        <w:t xml:space="preserve">[online]. Frankfurt nad Mohanem: Evropská centrální banka [cit. 2010-06-12]. Dostupný z WWW: </w:t>
      </w:r>
      <w:r w:rsidRPr="00E67258">
        <w:t>&lt;</w:t>
      </w:r>
      <w:r w:rsidRPr="007C7F58">
        <w:t>http://www.</w:t>
      </w:r>
      <w:r w:rsidRPr="00BF7620">
        <w:t>ecb.int/ecb/history/emu/html/index.cs.html</w:t>
      </w:r>
      <w:r>
        <w:t xml:space="preserve"> &gt;</w:t>
      </w:r>
    </w:p>
    <w:p w:rsidR="00C1227E" w:rsidRDefault="00C1227E" w:rsidP="00DD55D3">
      <w:pPr>
        <w:pStyle w:val="Textpoznpodarou"/>
      </w:pPr>
    </w:p>
  </w:footnote>
  <w:footnote w:id="18">
    <w:p w:rsidR="00C1227E" w:rsidRDefault="00C1227E" w:rsidP="00127CB1">
      <w:pPr>
        <w:pStyle w:val="Textpoznpodarou"/>
      </w:pPr>
      <w:r>
        <w:rPr>
          <w:rStyle w:val="Znakapoznpodarou"/>
        </w:rPr>
        <w:footnoteRef/>
      </w:r>
      <w:r>
        <w:t xml:space="preserve"> </w:t>
      </w:r>
      <w:r>
        <w:rPr>
          <w:i/>
        </w:rPr>
        <w:t xml:space="preserve">Hospodářská a měnová unie </w:t>
      </w:r>
      <w:r>
        <w:t xml:space="preserve">[online]. Frankfurt nad Mohanem: Evropská centrální banka [cit. 2010-06-12]. Dostupný z WWW: </w:t>
      </w:r>
      <w:r w:rsidRPr="00E67258">
        <w:t>&lt;</w:t>
      </w:r>
      <w:r w:rsidRPr="007C7F58">
        <w:t>http://www.</w:t>
      </w:r>
      <w:r w:rsidRPr="00BF7620">
        <w:t>ecb.int/ecb/history/emu/html/index.cs.html</w:t>
      </w:r>
      <w:r>
        <w:t xml:space="preserve"> &gt;</w:t>
      </w:r>
    </w:p>
    <w:p w:rsidR="00C1227E" w:rsidRDefault="00C1227E" w:rsidP="00127CB1">
      <w:pPr>
        <w:pStyle w:val="Textpoznpodarou"/>
      </w:pPr>
    </w:p>
  </w:footnote>
  <w:footnote w:id="19">
    <w:p w:rsidR="00C1227E" w:rsidRDefault="00C1227E" w:rsidP="00DD55D3">
      <w:pPr>
        <w:pStyle w:val="Textpoznpodarou"/>
      </w:pPr>
      <w:r>
        <w:rPr>
          <w:rStyle w:val="Znakapoznpodarou"/>
        </w:rPr>
        <w:footnoteRef/>
      </w:r>
      <w:r>
        <w:t xml:space="preserve"> </w:t>
      </w:r>
      <w:r>
        <w:rPr>
          <w:i/>
        </w:rPr>
        <w:t xml:space="preserve">Evropský měnový institut (EMI) </w:t>
      </w:r>
      <w:r>
        <w:t>[online]. Praha: Czech Trade, Ministerstvo průmyslu a obchodu ČR</w:t>
      </w:r>
      <w:r>
        <w:br/>
        <w:t xml:space="preserve"> [cit. 2010-06-12]. Dostupný z WWW: </w:t>
      </w:r>
      <w:r w:rsidRPr="00E67258">
        <w:t>&lt;</w:t>
      </w:r>
      <w:r w:rsidRPr="007C7F58">
        <w:t>http://www.</w:t>
      </w:r>
      <w:r w:rsidRPr="00B83321">
        <w:t>businessinfo.cz/cz/clanek/e/evropsky-menovy-institut-emi/1000697/6301/</w:t>
      </w:r>
      <w:r w:rsidRPr="00BF7620">
        <w:t xml:space="preserve"> </w:t>
      </w:r>
      <w:r>
        <w:t xml:space="preserve">&gt; </w:t>
      </w:r>
    </w:p>
  </w:footnote>
  <w:footnote w:id="20">
    <w:p w:rsidR="00C1227E" w:rsidRDefault="00C1227E" w:rsidP="00DD55D3">
      <w:pPr>
        <w:pStyle w:val="Textpoznpodarou"/>
      </w:pPr>
      <w:r>
        <w:rPr>
          <w:rStyle w:val="Znakapoznpodarou"/>
        </w:rPr>
        <w:footnoteRef/>
      </w:r>
      <w:r>
        <w:t xml:space="preserve"> </w:t>
      </w:r>
      <w:r>
        <w:rPr>
          <w:i/>
        </w:rPr>
        <w:t xml:space="preserve">Hospodářská a měnová unie </w:t>
      </w:r>
      <w:r>
        <w:t xml:space="preserve">[online]. Frankfurt nad Mohanem: Evropská centrální banka [cit. 2010-06-12]. Dostupný z WWW: </w:t>
      </w:r>
      <w:r w:rsidRPr="00E67258">
        <w:t>&lt;</w:t>
      </w:r>
      <w:r w:rsidRPr="007C7F58">
        <w:t>http://www.</w:t>
      </w:r>
      <w:r w:rsidRPr="00BF7620">
        <w:t>ecb.int/ecb/history/emu/html/index.cs.html</w:t>
      </w:r>
      <w:r>
        <w:t xml:space="preserve"> &gt;</w:t>
      </w:r>
    </w:p>
  </w:footnote>
  <w:footnote w:id="21">
    <w:p w:rsidR="00C1227E" w:rsidRDefault="00C1227E" w:rsidP="00DD55D3">
      <w:pPr>
        <w:pStyle w:val="Textpoznpodarou"/>
      </w:pPr>
      <w:r>
        <w:rPr>
          <w:rStyle w:val="Znakapoznpodarou"/>
        </w:rPr>
        <w:footnoteRef/>
      </w:r>
      <w:r>
        <w:t xml:space="preserve"> </w:t>
      </w:r>
      <w:r>
        <w:rPr>
          <w:i/>
        </w:rPr>
        <w:t xml:space="preserve">Hospodářská a měnová unie </w:t>
      </w:r>
      <w:r>
        <w:t xml:space="preserve">[online]. Frankfurt nad Mohanem: Evropská centrální banka [cit. 2010-06-12]. Dostupný z WWW: </w:t>
      </w:r>
      <w:r w:rsidRPr="00E67258">
        <w:t>&lt;</w:t>
      </w:r>
      <w:r w:rsidRPr="007C7F58">
        <w:t>http://www.</w:t>
      </w:r>
      <w:r w:rsidRPr="00BF7620">
        <w:t>ecb.int/ecb/history/emu/html/index.cs.html</w:t>
      </w:r>
      <w:r>
        <w:t xml:space="preserve"> &gt;</w:t>
      </w:r>
    </w:p>
  </w:footnote>
  <w:footnote w:id="22">
    <w:p w:rsidR="00C1227E" w:rsidRDefault="00C1227E" w:rsidP="00DD55D3">
      <w:pPr>
        <w:pStyle w:val="Textpoznpodarou"/>
      </w:pPr>
      <w:r>
        <w:rPr>
          <w:rStyle w:val="Znakapoznpodarou"/>
        </w:rPr>
        <w:footnoteRef/>
      </w:r>
      <w:r>
        <w:t xml:space="preserve"> </w:t>
      </w:r>
      <w:r>
        <w:rPr>
          <w:i/>
        </w:rPr>
        <w:t xml:space="preserve">Zavedení hotovostního eura </w:t>
      </w:r>
      <w:r>
        <w:t xml:space="preserve">[online]. Praha: Ministerstvo financí ČR [cit. 2010-06-12]. Dostupný z WWW:    </w:t>
      </w:r>
      <w:r>
        <w:rPr>
          <w:i/>
        </w:rPr>
        <w:t xml:space="preserve"> </w:t>
      </w:r>
      <w:r w:rsidRPr="00E67258">
        <w:t>&lt;</w:t>
      </w:r>
      <w:r w:rsidRPr="007C7F58">
        <w:t>http://www.</w:t>
      </w:r>
      <w:r w:rsidRPr="007C5491">
        <w:t>zavedenieura.cz/cps/rde/xchg/euro/xsl/676.html</w:t>
      </w:r>
      <w:r>
        <w:t xml:space="preserve"> &gt;</w:t>
      </w:r>
    </w:p>
  </w:footnote>
  <w:footnote w:id="23">
    <w:p w:rsidR="00C1227E" w:rsidRDefault="00C1227E" w:rsidP="00DD55D3">
      <w:pPr>
        <w:pStyle w:val="Textpoznpodarou"/>
      </w:pPr>
      <w:r>
        <w:rPr>
          <w:rStyle w:val="Znakapoznpodarou"/>
        </w:rPr>
        <w:footnoteRef/>
      </w:r>
      <w:r>
        <w:t xml:space="preserve"> </w:t>
      </w:r>
      <w:r>
        <w:rPr>
          <w:i/>
        </w:rPr>
        <w:t xml:space="preserve">ERM II </w:t>
      </w:r>
      <w:r>
        <w:t xml:space="preserve">[online]. Bratislava: Úrad vlády SR, 1998 - 2011 [cit. 2011-03-12]. Dostupný z WWW: </w:t>
      </w:r>
      <w:r w:rsidRPr="00E67258">
        <w:t>&lt;http://www.government.gov.sk/index.php?ID=1044</w:t>
      </w:r>
      <w:r>
        <w:t xml:space="preserve"> &gt;</w:t>
      </w:r>
    </w:p>
  </w:footnote>
  <w:footnote w:id="24">
    <w:p w:rsidR="00C1227E" w:rsidRDefault="00C1227E" w:rsidP="00DD55D3">
      <w:pPr>
        <w:pStyle w:val="Textpoznpodarou"/>
      </w:pPr>
      <w:r>
        <w:rPr>
          <w:rStyle w:val="Znakapoznpodarou"/>
        </w:rPr>
        <w:footnoteRef/>
      </w:r>
      <w:r>
        <w:t xml:space="preserve"> </w:t>
      </w:r>
      <w:r>
        <w:rPr>
          <w:i/>
        </w:rPr>
        <w:t xml:space="preserve">ERM II </w:t>
      </w:r>
      <w:r>
        <w:t xml:space="preserve">[online]. Bratislava: Úrad vlády SR, 1998 - 2011 [cit. 2011-03-12]. Dostupný z WWW: </w:t>
      </w:r>
      <w:r w:rsidRPr="00E67258">
        <w:t>&lt;http://www.government.gov.sk/index.php?ID=1044</w:t>
      </w:r>
      <w:r>
        <w:t xml:space="preserve"> &gt;</w:t>
      </w:r>
    </w:p>
  </w:footnote>
  <w:footnote w:id="25">
    <w:p w:rsidR="00C1227E" w:rsidRDefault="00C1227E" w:rsidP="00DD55D3">
      <w:pPr>
        <w:pStyle w:val="Textpoznpodarou"/>
      </w:pPr>
      <w:r>
        <w:rPr>
          <w:rStyle w:val="Znakapoznpodarou"/>
        </w:rPr>
        <w:footnoteRef/>
      </w:r>
      <w:r>
        <w:t xml:space="preserve">  </w:t>
      </w:r>
      <w:r>
        <w:rPr>
          <w:i/>
        </w:rPr>
        <w:t xml:space="preserve">Slovensko splnilo maastrichtské kritérium hospodárenia verejnej správy (apríl 2008) </w:t>
      </w:r>
      <w:r>
        <w:t xml:space="preserve">[online]. Bratislava: Ministerstvo financií Slovenskej republiky [cit. 2011-04-05]. Dostupný z WWW: </w:t>
      </w:r>
      <w:r>
        <w:rPr>
          <w:lang w:val="en-US"/>
        </w:rPr>
        <w:t>&lt;</w:t>
      </w:r>
      <w:r w:rsidRPr="007C7F58">
        <w:t>http://www.</w:t>
      </w:r>
      <w:r w:rsidRPr="00DE286E">
        <w:t>financ</w:t>
      </w:r>
      <w:r>
        <w:t>e.gov.sk/Default.aspx?CatID=677</w:t>
      </w:r>
      <w:r w:rsidRPr="00DE286E">
        <w:t xml:space="preserve"> </w:t>
      </w:r>
      <w:r>
        <w:t>&gt;</w:t>
      </w:r>
    </w:p>
  </w:footnote>
  <w:footnote w:id="26">
    <w:p w:rsidR="00C1227E" w:rsidRDefault="00C1227E" w:rsidP="00DD55D3">
      <w:pPr>
        <w:pStyle w:val="Textpoznpodarou"/>
      </w:pPr>
      <w:r>
        <w:rPr>
          <w:rStyle w:val="Znakapoznpodarou"/>
        </w:rPr>
        <w:footnoteRef/>
      </w:r>
      <w:r>
        <w:t xml:space="preserve">  </w:t>
      </w:r>
      <w:r>
        <w:rPr>
          <w:i/>
        </w:rPr>
        <w:t xml:space="preserve">Slovensko splnilo aj fiškálne maastrichtské kritérium </w:t>
      </w:r>
      <w:r>
        <w:t>[online]. Bratislava: Vydavateľstvo ECOPRESS, a.s., 2008 [cit. 2011-04-05]. Dostupný z WWW:</w:t>
      </w:r>
      <w:r>
        <w:rPr>
          <w:i/>
        </w:rPr>
        <w:t xml:space="preserve"> &lt;</w:t>
      </w:r>
      <w:r w:rsidRPr="00813126">
        <w:t>http://hnonline.sk/ekonomika/c1-24121670-slovensko-splnilo-aj-fiskalne-maastrichtske-kriterium</w:t>
      </w:r>
      <w:r>
        <w:t>&gt;</w:t>
      </w:r>
    </w:p>
  </w:footnote>
  <w:footnote w:id="27">
    <w:p w:rsidR="00C1227E" w:rsidRDefault="00C1227E" w:rsidP="00DD55D3">
      <w:pPr>
        <w:pStyle w:val="Textpoznpodarou"/>
      </w:pPr>
      <w:r>
        <w:rPr>
          <w:rStyle w:val="Znakapoznpodarou"/>
        </w:rPr>
        <w:footnoteRef/>
      </w:r>
      <w:r>
        <w:t xml:space="preserve">  </w:t>
      </w:r>
      <w:r>
        <w:rPr>
          <w:i/>
        </w:rPr>
        <w:t xml:space="preserve">Správa o postupe príprav na prijatie eura v SR k 29. 07. 2008 </w:t>
      </w:r>
      <w:r>
        <w:t>[online]. Bratislava: Národná banka Slovenska, 2008 [cit. 2011-04-05]. Dostupný z WWW:</w:t>
      </w:r>
      <w:r>
        <w:rPr>
          <w:i/>
        </w:rPr>
        <w:t xml:space="preserve"> &lt;</w:t>
      </w:r>
      <w:r w:rsidRPr="00413C4C">
        <w:rPr>
          <w:i/>
        </w:rPr>
        <w:t>http://www.nbs.sk/_img/Documents/_PUBLIK_NBS_EURO/20_8_2008_sprava.pdf</w:t>
      </w:r>
      <w:r w:rsidRPr="00E67258">
        <w:rPr>
          <w:i/>
        </w:rPr>
        <w:t>&gt;</w:t>
      </w:r>
    </w:p>
  </w:footnote>
  <w:footnote w:id="28">
    <w:p w:rsidR="00C1227E" w:rsidRDefault="00C1227E" w:rsidP="00DD55D3">
      <w:pPr>
        <w:pStyle w:val="Textpoznpodarou"/>
      </w:pPr>
      <w:r>
        <w:rPr>
          <w:rStyle w:val="Znakapoznpodarou"/>
        </w:rPr>
        <w:footnoteRef/>
      </w:r>
      <w:r>
        <w:t xml:space="preserve">  </w:t>
      </w:r>
      <w:r>
        <w:rPr>
          <w:i/>
        </w:rPr>
        <w:t xml:space="preserve">Národný plán zavedenia eura v SR </w:t>
      </w:r>
      <w:r>
        <w:t xml:space="preserve">[online]. Bratislava: Národná banka Slovenska, 2005 [cit. 2011-03-12]. Dostupný z WWW: </w:t>
      </w:r>
      <w:r w:rsidRPr="00E67258">
        <w:t>&lt;</w:t>
      </w:r>
      <w:r w:rsidRPr="007C7F58">
        <w:t>http://www.</w:t>
      </w:r>
      <w:r w:rsidRPr="00D932E9">
        <w:t>nbs.sk/_img/Documents/_PUBLIK_NBS_EURO/NPzavedeniaEura2005.pdf</w:t>
      </w:r>
      <w:r>
        <w:t xml:space="preserve"> &gt;</w:t>
      </w:r>
    </w:p>
    <w:p w:rsidR="00C1227E" w:rsidRDefault="00C1227E" w:rsidP="00DD55D3">
      <w:pPr>
        <w:pStyle w:val="Textpoznpodarou"/>
      </w:pPr>
      <w:r>
        <w:t xml:space="preserve"> </w:t>
      </w:r>
    </w:p>
  </w:footnote>
  <w:footnote w:id="29">
    <w:p w:rsidR="00C1227E" w:rsidRDefault="00C1227E" w:rsidP="00C535FC">
      <w:pPr>
        <w:pStyle w:val="Textpoznpodarou"/>
      </w:pPr>
      <w:r>
        <w:rPr>
          <w:rStyle w:val="Znakapoznpodarou"/>
        </w:rPr>
        <w:footnoteRef/>
      </w:r>
      <w:r>
        <w:t xml:space="preserve"> </w:t>
      </w:r>
      <w:r>
        <w:rPr>
          <w:i/>
        </w:rPr>
        <w:t xml:space="preserve">Evropský nástroj finanční stability </w:t>
      </w:r>
      <w:r>
        <w:t>[online]. Praha: Ministerstvo financí, 2010 [cit. 2011-04-13]. Dostupný z WWW:</w:t>
      </w:r>
      <w:r>
        <w:rPr>
          <w:i/>
        </w:rPr>
        <w:t xml:space="preserve"> </w:t>
      </w:r>
      <w:r w:rsidRPr="00E67258">
        <w:t>&lt;</w:t>
      </w:r>
      <w:r w:rsidRPr="007C7F58">
        <w:t>http://www.zavedenieura.cz/</w:t>
      </w:r>
      <w:r w:rsidRPr="00A95368">
        <w:t xml:space="preserve"> cps/rde/xchg/euro/xsl/index_1631.html</w:t>
      </w:r>
      <w:r>
        <w:t xml:space="preserve"> &gt;</w:t>
      </w:r>
    </w:p>
  </w:footnote>
  <w:footnote w:id="30">
    <w:p w:rsidR="00C1227E" w:rsidRDefault="00C1227E" w:rsidP="00C535FC">
      <w:pPr>
        <w:pStyle w:val="Textpoznpodarou"/>
      </w:pPr>
      <w:r>
        <w:rPr>
          <w:rStyle w:val="Znakapoznpodarou"/>
        </w:rPr>
        <w:footnoteRef/>
      </w:r>
      <w:r>
        <w:t xml:space="preserve"> LACINA, L. a kol. </w:t>
      </w:r>
      <w:r>
        <w:rPr>
          <w:i/>
        </w:rPr>
        <w:t>MĚNOVÁ INTEGRACE náklady a přínosy v měnové unii</w:t>
      </w:r>
      <w:r>
        <w:t>. Praha: C. H. Beck, 2007. 71 s. ISBN 978-80-7179-560-5.</w:t>
      </w:r>
    </w:p>
  </w:footnote>
  <w:footnote w:id="31">
    <w:p w:rsidR="00C1227E" w:rsidRDefault="00C1227E" w:rsidP="00C535FC">
      <w:pPr>
        <w:pStyle w:val="Textpoznpodarou"/>
      </w:pPr>
      <w:r>
        <w:rPr>
          <w:rStyle w:val="Znakapoznpodarou"/>
        </w:rPr>
        <w:footnoteRef/>
      </w:r>
      <w:r>
        <w:t xml:space="preserve"> </w:t>
      </w:r>
      <w:r>
        <w:rPr>
          <w:i/>
        </w:rPr>
        <w:t xml:space="preserve">Vplyv zavedenia eura na slovenské hospodárstvo  </w:t>
      </w:r>
      <w:r>
        <w:t xml:space="preserve">[online]. Bratislava: Národná banka Slovenska, 2006 </w:t>
      </w:r>
      <w:r>
        <w:br/>
        <w:t>[cit. 2011-04-10]. Dostupný z WWW:</w:t>
      </w:r>
      <w:r>
        <w:rPr>
          <w:i/>
        </w:rPr>
        <w:t xml:space="preserve"> &lt;</w:t>
      </w:r>
      <w:r w:rsidRPr="009D3FCE">
        <w:rPr>
          <w:i/>
        </w:rPr>
        <w:t>http://www.nbs.sk/_img/Documents/PUBLIK/06_kol1.pdf</w:t>
      </w:r>
      <w:r w:rsidRPr="00E67258">
        <w:rPr>
          <w:i/>
        </w:rPr>
        <w:t>&gt;</w:t>
      </w:r>
    </w:p>
  </w:footnote>
  <w:footnote w:id="32">
    <w:p w:rsidR="00C1227E" w:rsidRDefault="00C1227E" w:rsidP="00C535FC">
      <w:pPr>
        <w:pStyle w:val="Textpoznpodarou"/>
      </w:pPr>
      <w:r>
        <w:rPr>
          <w:rStyle w:val="Znakapoznpodarou"/>
        </w:rPr>
        <w:footnoteRef/>
      </w:r>
      <w:r>
        <w:t xml:space="preserve"> LACINA, L. a kol. </w:t>
      </w:r>
      <w:r>
        <w:rPr>
          <w:i/>
        </w:rPr>
        <w:t>MĚNOVÁ INTEGRACE náklady a přínosy v měnové unii</w:t>
      </w:r>
      <w:r>
        <w:t>. Praha: C. H. Beck, 2007. 73 s. ISBN 978-80-7179-560-5.</w:t>
      </w:r>
    </w:p>
  </w:footnote>
  <w:footnote w:id="33">
    <w:p w:rsidR="00C1227E" w:rsidRDefault="00C1227E" w:rsidP="00C535FC">
      <w:pPr>
        <w:pStyle w:val="Textpoznpodarou"/>
      </w:pPr>
      <w:r>
        <w:rPr>
          <w:rStyle w:val="Znakapoznpodarou"/>
        </w:rPr>
        <w:footnoteRef/>
      </w:r>
      <w:r>
        <w:t xml:space="preserve"> LACINA, L. a kol. </w:t>
      </w:r>
      <w:r>
        <w:rPr>
          <w:i/>
        </w:rPr>
        <w:t>MĚNOVÁ INTEGRACE náklady a přínosy v měnové unii</w:t>
      </w:r>
      <w:r>
        <w:t>. Praha: C. H. Beck, 2007. 75 s. ISBN 978-80-7179-560-5.</w:t>
      </w:r>
    </w:p>
  </w:footnote>
  <w:footnote w:id="34">
    <w:p w:rsidR="00C1227E" w:rsidRDefault="00C1227E" w:rsidP="0065367B">
      <w:pPr>
        <w:pStyle w:val="Textpoznpodarou"/>
      </w:pPr>
      <w:r>
        <w:rPr>
          <w:rStyle w:val="Znakapoznpodarou"/>
        </w:rPr>
        <w:footnoteRef/>
      </w:r>
      <w:r>
        <w:t xml:space="preserve"> </w:t>
      </w:r>
      <w:r>
        <w:rPr>
          <w:i/>
        </w:rPr>
        <w:t xml:space="preserve">Euro ušetrí Slovensku na transakčných nákladoch 7 miliárd </w:t>
      </w:r>
      <w:r>
        <w:t xml:space="preserve">[online]. Bratislava: Ministerstvo financií Slovenskej republiky, 2008 [cit. 2010-11-26]. Dostupný z WWW: </w:t>
      </w:r>
      <w:r>
        <w:rPr>
          <w:lang w:val="en-US"/>
        </w:rPr>
        <w:t>&lt;</w:t>
      </w:r>
      <w:r w:rsidRPr="007C7F58">
        <w:t>http://</w:t>
      </w:r>
      <w:r w:rsidRPr="009D3FCE">
        <w:t>www.euromena.sk/aktuality/11226c</w:t>
      </w:r>
      <w:r>
        <w:t xml:space="preserve">&gt; </w:t>
      </w:r>
    </w:p>
  </w:footnote>
  <w:footnote w:id="35">
    <w:p w:rsidR="00C1227E" w:rsidRDefault="00C1227E" w:rsidP="00C535FC">
      <w:pPr>
        <w:pStyle w:val="Textpoznpodarou"/>
      </w:pPr>
      <w:r>
        <w:rPr>
          <w:rStyle w:val="Znakapoznpodarou"/>
        </w:rPr>
        <w:footnoteRef/>
      </w:r>
      <w:r>
        <w:t xml:space="preserve"> </w:t>
      </w:r>
      <w:r>
        <w:rPr>
          <w:i/>
        </w:rPr>
        <w:t xml:space="preserve">Vplyv zavedenia eura na slovenské hospodárstvo  </w:t>
      </w:r>
      <w:r>
        <w:t>[online]. Bratislava: Národná banka Slovenska, 2006 [cit. 2011-04-10]. Dostupný z WWW:</w:t>
      </w:r>
      <w:r>
        <w:rPr>
          <w:i/>
        </w:rPr>
        <w:t xml:space="preserve"> &lt;</w:t>
      </w:r>
      <w:r w:rsidRPr="009D3FCE">
        <w:rPr>
          <w:i/>
        </w:rPr>
        <w:t>http://www.nbs.sk/_img/Documents/PUBLIK/06_kol1.pdf</w:t>
      </w:r>
      <w:r w:rsidRPr="00E67258">
        <w:rPr>
          <w:i/>
        </w:rPr>
        <w:t>&gt;</w:t>
      </w:r>
    </w:p>
  </w:footnote>
  <w:footnote w:id="36">
    <w:p w:rsidR="00C1227E" w:rsidRDefault="00C1227E" w:rsidP="00C535FC">
      <w:pPr>
        <w:pStyle w:val="Textpoznpodarou"/>
      </w:pPr>
      <w:r>
        <w:rPr>
          <w:rStyle w:val="Znakapoznpodarou"/>
        </w:rPr>
        <w:footnoteRef/>
      </w:r>
      <w:r>
        <w:t xml:space="preserve"> </w:t>
      </w:r>
      <w:r>
        <w:rPr>
          <w:i/>
        </w:rPr>
        <w:t xml:space="preserve">Analýza dopadov zavedenia eura na slovenský finančný trh  </w:t>
      </w:r>
      <w:r>
        <w:t>[online]. Bratislava: Národná banka Slovenska, [cit. 2011-04-10]. Dostupný z WWW:</w:t>
      </w:r>
      <w:r>
        <w:rPr>
          <w:i/>
        </w:rPr>
        <w:t xml:space="preserve"> &lt;</w:t>
      </w:r>
      <w:r w:rsidRPr="00962940">
        <w:rPr>
          <w:i/>
        </w:rPr>
        <w:t>http://www.nbs.sk/_img/Documents/_Dohlad%5CORM%5CAnalyzy%5CANALEUR.PDF</w:t>
      </w:r>
      <w:r w:rsidRPr="00E67258">
        <w:rPr>
          <w:i/>
        </w:rPr>
        <w:t xml:space="preserve"> &gt;</w:t>
      </w:r>
    </w:p>
  </w:footnote>
  <w:footnote w:id="37">
    <w:p w:rsidR="00C1227E" w:rsidRDefault="00C1227E" w:rsidP="00C535FC">
      <w:pPr>
        <w:pStyle w:val="Textpoznpodarou"/>
      </w:pPr>
      <w:r>
        <w:rPr>
          <w:rStyle w:val="Znakapoznpodarou"/>
        </w:rPr>
        <w:footnoteRef/>
      </w:r>
      <w:r>
        <w:t xml:space="preserve"> </w:t>
      </w:r>
      <w:r>
        <w:rPr>
          <w:i/>
        </w:rPr>
        <w:t xml:space="preserve">Správa o finančnej stabilite 2009 </w:t>
      </w:r>
      <w:r>
        <w:t>[online]. Bratislava: Národná banka Slovenska, 2009 [cit. 2011-04-03]. Dostupný z WWW:</w:t>
      </w:r>
      <w:r>
        <w:rPr>
          <w:i/>
        </w:rPr>
        <w:t xml:space="preserve"> &lt;</w:t>
      </w:r>
      <w:r w:rsidRPr="00962940">
        <w:rPr>
          <w:i/>
        </w:rPr>
        <w:t>http://www.nbs.sk/_img/Documents/ZAKLNBS/PUBLIK/SFS/SFS2009.pdf</w:t>
      </w:r>
      <w:r w:rsidRPr="00E67258">
        <w:rPr>
          <w:i/>
        </w:rPr>
        <w:t xml:space="preserve"> &gt;</w:t>
      </w:r>
    </w:p>
  </w:footnote>
  <w:footnote w:id="38">
    <w:p w:rsidR="00C1227E" w:rsidRDefault="00C1227E" w:rsidP="00A04B15">
      <w:pPr>
        <w:pStyle w:val="Textpoznpodarou"/>
      </w:pPr>
      <w:r>
        <w:rPr>
          <w:rStyle w:val="Znakapoznpodarou"/>
        </w:rPr>
        <w:footnoteRef/>
      </w:r>
      <w:r>
        <w:t xml:space="preserve"> </w:t>
      </w:r>
      <w:r>
        <w:rPr>
          <w:i/>
        </w:rPr>
        <w:t xml:space="preserve">Hospodárenie bánk rok 2010 – předběžné údaje </w:t>
      </w:r>
      <w:r>
        <w:rPr>
          <w:i/>
          <w:vertAlign w:val="superscript"/>
        </w:rPr>
        <w:t>1</w:t>
      </w:r>
      <w:r>
        <w:rPr>
          <w:i/>
        </w:rPr>
        <w:t xml:space="preserve"> </w:t>
      </w:r>
      <w:r>
        <w:t>[online]. [cit. 2011-04-03]. Dostupný z WWW:</w:t>
      </w:r>
      <w:r>
        <w:rPr>
          <w:i/>
        </w:rPr>
        <w:t xml:space="preserve"> &lt;</w:t>
      </w:r>
      <w:r w:rsidRPr="00BD5D98">
        <w:rPr>
          <w:i/>
        </w:rPr>
        <w:t>http://www.sbaonline.sk/files/subory/analyzy/verejne/Hospodarenie-bank-rok-2010.pdf</w:t>
      </w:r>
      <w:r w:rsidRPr="00E67258">
        <w:rPr>
          <w:i/>
          <w:lang w:val="de-DE"/>
        </w:rPr>
        <w:t xml:space="preserve"> &gt;</w:t>
      </w:r>
    </w:p>
    <w:p w:rsidR="00C1227E" w:rsidRDefault="00C1227E" w:rsidP="00A04B15">
      <w:pPr>
        <w:pStyle w:val="Textpoznpodarou"/>
      </w:pPr>
    </w:p>
  </w:footnote>
  <w:footnote w:id="39">
    <w:p w:rsidR="00C1227E" w:rsidRDefault="00C1227E" w:rsidP="00C535FC">
      <w:pPr>
        <w:pStyle w:val="Textpoznpodarou"/>
      </w:pPr>
      <w:r>
        <w:rPr>
          <w:rStyle w:val="Znakapoznpodarou"/>
        </w:rPr>
        <w:footnoteRef/>
      </w:r>
      <w:r>
        <w:t xml:space="preserve"> </w:t>
      </w:r>
      <w:r>
        <w:rPr>
          <w:i/>
        </w:rPr>
        <w:t xml:space="preserve">Co je to hedging? </w:t>
      </w:r>
      <w:r>
        <w:t xml:space="preserve">[online]. [cit. 2011-04-15]. Dostupný z WWW: </w:t>
      </w:r>
      <w:r>
        <w:rPr>
          <w:i/>
        </w:rPr>
        <w:t>&lt;</w:t>
      </w:r>
      <w:r>
        <w:t>h</w:t>
      </w:r>
      <w:r w:rsidRPr="001A46BF">
        <w:rPr>
          <w:i/>
        </w:rPr>
        <w:t>ttp://www.xtb.cz/vzdelani/hedging/co_je_to_hedging/</w:t>
      </w:r>
      <w:r w:rsidRPr="00E67258">
        <w:rPr>
          <w:i/>
          <w:lang w:val="de-DE"/>
        </w:rPr>
        <w:t>&gt;</w:t>
      </w:r>
    </w:p>
  </w:footnote>
  <w:footnote w:id="40">
    <w:p w:rsidR="00C1227E" w:rsidRDefault="00C1227E" w:rsidP="00C535FC">
      <w:pPr>
        <w:pStyle w:val="Textpoznpodarou"/>
      </w:pPr>
      <w:r>
        <w:rPr>
          <w:rStyle w:val="Znakapoznpodarou"/>
        </w:rPr>
        <w:footnoteRef/>
      </w:r>
      <w:r>
        <w:t xml:space="preserve"> </w:t>
      </w:r>
      <w:r>
        <w:rPr>
          <w:i/>
        </w:rPr>
        <w:t xml:space="preserve">Hrubý domáci produkt </w:t>
      </w:r>
      <w:r>
        <w:t>[online]. Bratislava: Štatistický úrad SR [cit. 2011-04-17]. Dostupný z WWW:</w:t>
      </w:r>
      <w:r>
        <w:rPr>
          <w:i/>
        </w:rPr>
        <w:t xml:space="preserve"> &lt;</w:t>
      </w:r>
      <w:r w:rsidRPr="005B1DBF">
        <w:rPr>
          <w:i/>
        </w:rPr>
        <w:t>http://portal.statistics.sk/showdoc.do?docid=172</w:t>
      </w:r>
      <w:r w:rsidRPr="00E67258">
        <w:rPr>
          <w:i/>
        </w:rPr>
        <w:t>&gt;</w:t>
      </w:r>
    </w:p>
  </w:footnote>
  <w:footnote w:id="41">
    <w:p w:rsidR="00C1227E" w:rsidRDefault="00C1227E" w:rsidP="00C535FC">
      <w:pPr>
        <w:pStyle w:val="Textpoznpodarou"/>
      </w:pPr>
      <w:r>
        <w:rPr>
          <w:rStyle w:val="Znakapoznpodarou"/>
        </w:rPr>
        <w:footnoteRef/>
      </w:r>
      <w:r>
        <w:t xml:space="preserve"> </w:t>
      </w:r>
      <w:r>
        <w:rPr>
          <w:i/>
        </w:rPr>
        <w:t xml:space="preserve">Slovensko v roku 2010: HDP rástlo o 4 %, nezaměstnaných už pribúdalo meněj </w:t>
      </w:r>
      <w:r>
        <w:t>[online]. [cit. 2011-04-17]. Dostupný z WWW:</w:t>
      </w:r>
      <w:r>
        <w:rPr>
          <w:i/>
        </w:rPr>
        <w:t xml:space="preserve"> &lt;</w:t>
      </w:r>
      <w:r w:rsidRPr="00EA4A02">
        <w:rPr>
          <w:i/>
        </w:rPr>
        <w:t>http://www.investujeme.sk/clanky/slovensko-v-roku-2010-hdp-rastlo-o-4-nezamestnanych-pribudalo-menej/</w:t>
      </w:r>
      <w:r w:rsidRPr="00E67258">
        <w:rPr>
          <w:i/>
          <w:lang w:val="de-DE"/>
        </w:rPr>
        <w:t>&gt;</w:t>
      </w:r>
    </w:p>
    <w:p w:rsidR="00C1227E" w:rsidRDefault="00C1227E" w:rsidP="00C535FC">
      <w:pPr>
        <w:pStyle w:val="Textpoznpodarou"/>
      </w:pPr>
    </w:p>
  </w:footnote>
  <w:footnote w:id="42">
    <w:p w:rsidR="00C1227E" w:rsidRDefault="00C1227E" w:rsidP="00C535FC">
      <w:pPr>
        <w:pStyle w:val="Textpoznpodarou"/>
      </w:pPr>
      <w:r>
        <w:rPr>
          <w:rStyle w:val="Znakapoznpodarou"/>
        </w:rPr>
        <w:footnoteRef/>
      </w:r>
      <w:r>
        <w:t xml:space="preserve"> </w:t>
      </w:r>
      <w:r>
        <w:rPr>
          <w:i/>
        </w:rPr>
        <w:t>Zahraničný obchod podľa mesiacov v rokoch 2004 - 2011</w:t>
      </w:r>
      <w:r>
        <w:t xml:space="preserve">[online]. Bratislava: Štatistický úrad SR </w:t>
      </w:r>
      <w:r>
        <w:br/>
        <w:t>[cit. 2011-04-17]. Dostupný z WWW:</w:t>
      </w:r>
      <w:r>
        <w:rPr>
          <w:i/>
        </w:rPr>
        <w:t xml:space="preserve"> &lt;</w:t>
      </w:r>
      <w:r w:rsidRPr="00066B02">
        <w:rPr>
          <w:i/>
        </w:rPr>
        <w:t>http://portal.statistics.sk/showdoc.do?docid=16555</w:t>
      </w:r>
      <w:r w:rsidRPr="00E67258">
        <w:rPr>
          <w:i/>
        </w:rPr>
        <w:t>&gt;</w:t>
      </w:r>
    </w:p>
  </w:footnote>
  <w:footnote w:id="43">
    <w:p w:rsidR="00C1227E" w:rsidRDefault="00C1227E">
      <w:pPr>
        <w:pStyle w:val="Textpoznpodarou"/>
      </w:pPr>
      <w:r>
        <w:rPr>
          <w:rStyle w:val="Znakapoznpodarou"/>
        </w:rPr>
        <w:footnoteRef/>
      </w:r>
      <w:r>
        <w:t xml:space="preserve"> LALINSKÝ, T. </w:t>
      </w:r>
      <w:r>
        <w:rPr>
          <w:i/>
        </w:rPr>
        <w:t xml:space="preserve">Konkurencieschopnosť podnikov po zavedení eura na Slovensku </w:t>
      </w:r>
      <w:r>
        <w:t xml:space="preserve">[online]. 2010, </w:t>
      </w:r>
      <w:r>
        <w:br/>
        <w:t xml:space="preserve">[cit. 2011-04-20]. ISSN 1337 - 5830. Dostupný z WWW: </w:t>
      </w:r>
      <w:r>
        <w:rPr>
          <w:lang w:val="en-US"/>
        </w:rPr>
        <w:t>&lt;</w:t>
      </w:r>
      <w:r w:rsidRPr="002C5BAA">
        <w:rPr>
          <w:lang w:val="en-US"/>
        </w:rPr>
        <w:t>http://www.nbs.sk/_img/Documents/PUBLIK/OP_03_2010_Lalinsky-Konkurencieschopnost_podnikov_po_zavedeni_eura.pdf</w:t>
      </w:r>
      <w:r>
        <w:t xml:space="preserve"> &gt;</w:t>
      </w:r>
    </w:p>
  </w:footnote>
  <w:footnote w:id="44">
    <w:p w:rsidR="00C1227E" w:rsidRDefault="00C1227E">
      <w:pPr>
        <w:pStyle w:val="Textpoznpodarou"/>
      </w:pPr>
      <w:r>
        <w:rPr>
          <w:rStyle w:val="Znakapoznpodarou"/>
        </w:rPr>
        <w:footnoteRef/>
      </w:r>
      <w:r>
        <w:t xml:space="preserve"> </w:t>
      </w:r>
      <w:r>
        <w:rPr>
          <w:i/>
        </w:rPr>
        <w:t xml:space="preserve">Vývoj hospodárstva v SR v decembri 2010 a za rok 2010 </w:t>
      </w:r>
      <w:r>
        <w:t xml:space="preserve">[online]. Bratislava: Štatistický úrad Slovenskej republiky [cit. 2011-04-20]. Dostupný z WWW: </w:t>
      </w:r>
      <w:r>
        <w:rPr>
          <w:lang w:val="en-US"/>
        </w:rPr>
        <w:t>&lt;</w:t>
      </w:r>
      <w:r w:rsidRPr="00461EE1">
        <w:rPr>
          <w:lang w:val="en-US"/>
        </w:rPr>
        <w:t>http://portal.statistics.sk/showdoc.do?docid=31099</w:t>
      </w:r>
      <w:r>
        <w:t xml:space="preserve">&gt; </w:t>
      </w:r>
    </w:p>
  </w:footnote>
  <w:footnote w:id="45">
    <w:p w:rsidR="00C1227E" w:rsidRDefault="00C1227E" w:rsidP="00C535FC">
      <w:pPr>
        <w:pStyle w:val="Textpoznpodarou"/>
      </w:pPr>
      <w:r>
        <w:rPr>
          <w:rStyle w:val="Znakapoznpodarou"/>
        </w:rPr>
        <w:footnoteRef/>
      </w:r>
      <w:r>
        <w:t xml:space="preserve"> </w:t>
      </w:r>
      <w:r>
        <w:rPr>
          <w:i/>
        </w:rPr>
        <w:t xml:space="preserve">Co je to inflace </w:t>
      </w:r>
      <w:r>
        <w:t>[online]. [cit. 2011-04-04]. Dostupný z WWW:</w:t>
      </w:r>
      <w:r>
        <w:rPr>
          <w:i/>
        </w:rPr>
        <w:t xml:space="preserve"> &lt;</w:t>
      </w:r>
      <w:r w:rsidRPr="00941126">
        <w:rPr>
          <w:i/>
        </w:rPr>
        <w:t>http://www.finance.cz/ekonomika/informace/inflace/co-je-inflace/</w:t>
      </w:r>
      <w:r w:rsidRPr="00E67258">
        <w:rPr>
          <w:i/>
          <w:lang w:val="de-DE"/>
        </w:rPr>
        <w:t>&gt;</w:t>
      </w:r>
    </w:p>
  </w:footnote>
  <w:footnote w:id="46">
    <w:p w:rsidR="00C1227E" w:rsidRDefault="00C1227E" w:rsidP="00C535FC">
      <w:pPr>
        <w:pStyle w:val="Textpoznpodarou"/>
      </w:pPr>
      <w:r>
        <w:rPr>
          <w:rStyle w:val="Znakapoznpodarou"/>
        </w:rPr>
        <w:footnoteRef/>
      </w:r>
      <w:r>
        <w:rPr>
          <w:i/>
        </w:rPr>
        <w:t xml:space="preserve"> Čo je inflácia? </w:t>
      </w:r>
      <w:r>
        <w:t xml:space="preserve">[online]. Frankfurt nad Mohanem: Evropská centrální banka [cit. 2011-04-04]. Dostupný z WWW: </w:t>
      </w:r>
      <w:r w:rsidRPr="00E67258">
        <w:t>&lt;</w:t>
      </w:r>
      <w:r w:rsidRPr="00E146B8">
        <w:t xml:space="preserve"> </w:t>
      </w:r>
      <w:r w:rsidRPr="00E67258">
        <w:t>http://www.ecb.int/ecb/educational/hicp/html/index.sk.html</w:t>
      </w:r>
      <w:r>
        <w:t xml:space="preserve"> &gt;</w:t>
      </w:r>
    </w:p>
  </w:footnote>
  <w:footnote w:id="47">
    <w:p w:rsidR="00C1227E" w:rsidRDefault="00C1227E" w:rsidP="00C535FC">
      <w:pPr>
        <w:pStyle w:val="Textpoznpodarou"/>
      </w:pPr>
      <w:r>
        <w:rPr>
          <w:rStyle w:val="Znakapoznpodarou"/>
        </w:rPr>
        <w:footnoteRef/>
      </w:r>
      <w:r>
        <w:t xml:space="preserve"> </w:t>
      </w:r>
      <w:r>
        <w:rPr>
          <w:i/>
        </w:rPr>
        <w:t xml:space="preserve">Vplyv zavedenia eura na infláciu v Slovenskej republike v januári 2009 </w:t>
      </w:r>
      <w:r>
        <w:t>[online]. Bratislava: Národná banka Slovenska, 2009 [cit. 2011-04-08]. Dostupný z WWW:</w:t>
      </w:r>
      <w:r>
        <w:rPr>
          <w:i/>
        </w:rPr>
        <w:t xml:space="preserve"> &lt;</w:t>
      </w:r>
      <w:r w:rsidRPr="00E146B8">
        <w:rPr>
          <w:i/>
        </w:rPr>
        <w:t>http://www.nbs.sk/_img/Documents/PUBLIK/MU/vplyvEURA.pdf</w:t>
      </w:r>
      <w:r w:rsidRPr="00E67258">
        <w:rPr>
          <w:i/>
        </w:rPr>
        <w:t xml:space="preserve"> &gt;</w:t>
      </w:r>
    </w:p>
  </w:footnote>
  <w:footnote w:id="48">
    <w:p w:rsidR="00C1227E" w:rsidRDefault="00C1227E" w:rsidP="00C535FC">
      <w:pPr>
        <w:pStyle w:val="Textpoznpodarou"/>
      </w:pPr>
      <w:r>
        <w:rPr>
          <w:rStyle w:val="Znakapoznpodarou"/>
        </w:rPr>
        <w:footnoteRef/>
      </w:r>
      <w:r>
        <w:t xml:space="preserve"> </w:t>
      </w:r>
      <w:r>
        <w:rPr>
          <w:i/>
        </w:rPr>
        <w:t xml:space="preserve">Analýza vplyvu zavedenia eura na infláciu na Slovensku (euro changeover effect) </w:t>
      </w:r>
      <w:r>
        <w:t xml:space="preserve">[online]. Bratislava: Ministerstvo financií Slovenskej republiky, 2009 [cit. 2011-04-08]. Dostupný z WWW: </w:t>
      </w:r>
      <w:r>
        <w:rPr>
          <w:lang w:val="en-US"/>
        </w:rPr>
        <w:t>&lt;</w:t>
      </w:r>
      <w:r w:rsidRPr="00A24709">
        <w:rPr>
          <w:lang w:val="en-US"/>
        </w:rPr>
        <w:t>http://www.finance.gov.sk/Documents/Ifp/Publikacie/makro/EA15_EURO_A_INFLACIA.pdf</w:t>
      </w:r>
      <w:r>
        <w:t>&gt;</w:t>
      </w:r>
    </w:p>
  </w:footnote>
  <w:footnote w:id="49">
    <w:p w:rsidR="00C1227E" w:rsidRDefault="00C1227E" w:rsidP="00C535FC">
      <w:pPr>
        <w:pStyle w:val="Textpoznpodarou"/>
      </w:pPr>
      <w:r>
        <w:rPr>
          <w:rStyle w:val="Znakapoznpodarou"/>
        </w:rPr>
        <w:footnoteRef/>
      </w:r>
      <w:r>
        <w:t xml:space="preserve"> </w:t>
      </w:r>
      <w:r>
        <w:rPr>
          <w:i/>
        </w:rPr>
        <w:t xml:space="preserve">Spotrebiteľské ceny (INFLÁCIA) </w:t>
      </w:r>
      <w:r>
        <w:t xml:space="preserve">[online]. Bratislava: Štatistický úrad Slovenskej republiky [cit. 2011-04-11]. Dostupný z WWW: </w:t>
      </w:r>
      <w:r w:rsidRPr="00E67258">
        <w:t>&lt;http://portal.statistics.sk/showdoc.do?docid=11153</w:t>
      </w:r>
      <w:r>
        <w:t xml:space="preserve">&gt; </w:t>
      </w:r>
    </w:p>
  </w:footnote>
  <w:footnote w:id="50">
    <w:p w:rsidR="00C1227E" w:rsidRDefault="00C1227E" w:rsidP="00C535FC">
      <w:pPr>
        <w:pStyle w:val="Textpoznpodarou"/>
      </w:pPr>
      <w:r>
        <w:rPr>
          <w:rStyle w:val="Znakapoznpodarou"/>
        </w:rPr>
        <w:footnoteRef/>
      </w:r>
      <w:r>
        <w:t xml:space="preserve"> </w:t>
      </w:r>
      <w:r>
        <w:rPr>
          <w:i/>
        </w:rPr>
        <w:t xml:space="preserve">Inflačné kritérium pre euro nemá na Slovensku zmysel hodnotiť </w:t>
      </w:r>
      <w:r>
        <w:t xml:space="preserve">[online]. Bratislava: Pravda.sk [cit. 2011-04-11]. Dostupný z WWW: </w:t>
      </w:r>
      <w:r>
        <w:rPr>
          <w:lang w:val="en-US"/>
        </w:rPr>
        <w:t>&lt;</w:t>
      </w:r>
      <w:r w:rsidRPr="0036598C">
        <w:rPr>
          <w:lang w:val="en-US"/>
        </w:rPr>
        <w:t>http://spravy.pravda.sk/inflacne-kriterium-pre-euro-nema-na-slovensku-zmysel-hodnotit-p73-/sk_ekonomika.asp?c=A090717_134414_sk_ekonomika_p01</w:t>
      </w:r>
      <w:r>
        <w:t>&gt;</w:t>
      </w:r>
    </w:p>
  </w:footnote>
  <w:footnote w:id="51">
    <w:p w:rsidR="00C1227E" w:rsidRDefault="00C1227E" w:rsidP="00C535FC">
      <w:pPr>
        <w:pStyle w:val="Textpoznpodarou"/>
      </w:pPr>
      <w:r>
        <w:rPr>
          <w:rStyle w:val="Znakapoznpodarou"/>
        </w:rPr>
        <w:footnoteRef/>
      </w:r>
      <w:r>
        <w:t xml:space="preserve"> </w:t>
      </w:r>
      <w:r>
        <w:rPr>
          <w:i/>
        </w:rPr>
        <w:t xml:space="preserve">Inflačné kritérium pre euro nemá na Slovensku zmysel hodnotiť </w:t>
      </w:r>
      <w:r>
        <w:t xml:space="preserve">[online]. Bratislava: Pravda.sk </w:t>
      </w:r>
      <w:r>
        <w:br/>
        <w:t xml:space="preserve">[cit. 2011-04-11]. Dostupný z WWW: </w:t>
      </w:r>
      <w:r>
        <w:rPr>
          <w:lang w:val="en-US"/>
        </w:rPr>
        <w:t>&lt;</w:t>
      </w:r>
      <w:r w:rsidRPr="0036598C">
        <w:rPr>
          <w:lang w:val="en-US"/>
        </w:rPr>
        <w:t>http://spravy.pravda.sk/inflacne-kriterium-pre-euro-nema-na-slovensku-zmysel-hodnotit-p73-/sk_ekonomika.asp?c=A090717_134414_sk_ekonomika_p01</w:t>
      </w:r>
      <w:r>
        <w:t>&gt;</w:t>
      </w:r>
    </w:p>
  </w:footnote>
  <w:footnote w:id="52">
    <w:p w:rsidR="00C1227E" w:rsidRDefault="00C1227E" w:rsidP="00C535FC">
      <w:pPr>
        <w:pStyle w:val="Textpoznpodarou"/>
      </w:pPr>
      <w:r>
        <w:rPr>
          <w:rStyle w:val="Znakapoznpodarou"/>
        </w:rPr>
        <w:footnoteRef/>
      </w:r>
      <w:r>
        <w:t xml:space="preserve"> </w:t>
      </w:r>
      <w:r>
        <w:rPr>
          <w:i/>
        </w:rPr>
        <w:t xml:space="preserve">Predkladacia správa </w:t>
      </w:r>
      <w:r>
        <w:t xml:space="preserve">[online]. Bratislava: Ministerstvo financií SR [cit. 2011-04-11]. Dostupný z WWW: </w:t>
      </w:r>
      <w:r w:rsidRPr="00E67258">
        <w:t>&lt;http://www.finance.gov.sk/Documents/1_Adresar_redaktorov/Filo/Rozpo%C4%8Det%20%20VS/rozpocet_VS_%20na_%20roky_%202011%20az%202013%20-%20schvaleny_NR%20SR.pdf</w:t>
      </w:r>
      <w:r>
        <w:t xml:space="preserve"> &gt;</w:t>
      </w:r>
    </w:p>
  </w:footnote>
  <w:footnote w:id="53">
    <w:p w:rsidR="00C1227E" w:rsidRDefault="00C1227E" w:rsidP="00C535FC">
      <w:pPr>
        <w:pStyle w:val="Textpoznpodarou"/>
      </w:pPr>
      <w:r>
        <w:rPr>
          <w:rStyle w:val="Znakapoznpodarou"/>
        </w:rPr>
        <w:footnoteRef/>
      </w:r>
      <w:r>
        <w:t xml:space="preserve"> </w:t>
      </w:r>
      <w:r>
        <w:rPr>
          <w:i/>
        </w:rPr>
        <w:t>Návrh záverečného účtu verejnej správy SR za rok 2009 – aktualizácia podľa finálnych údajov vykázaných v metodike ESA 95</w:t>
      </w:r>
      <w:r>
        <w:t xml:space="preserve">[online]. Bratislava: Ministerstvo financií SR [cit. 2011-04-11]. Dostupný z WWW: </w:t>
      </w:r>
      <w:r w:rsidRPr="00E67258">
        <w:t>&lt;http://www.finance.gov.sk/Components/CategoryDocuments/s_LoadDocument.aspx?categoryId=7803&amp;documentId=5357</w:t>
      </w:r>
      <w:r>
        <w:t xml:space="preserve"> &gt;</w:t>
      </w:r>
    </w:p>
  </w:footnote>
  <w:footnote w:id="54">
    <w:p w:rsidR="00C1227E" w:rsidRDefault="00C1227E" w:rsidP="00C535FC">
      <w:pPr>
        <w:pStyle w:val="Textpoznpodarou"/>
      </w:pPr>
      <w:r>
        <w:rPr>
          <w:rStyle w:val="Znakapoznpodarou"/>
        </w:rPr>
        <w:footnoteRef/>
      </w:r>
      <w:r>
        <w:t xml:space="preserve"> </w:t>
      </w:r>
      <w:r>
        <w:rPr>
          <w:i/>
        </w:rPr>
        <w:t xml:space="preserve"> Dlh verejnej správy - konsolidovaný</w:t>
      </w:r>
      <w:r>
        <w:t xml:space="preserve">[online]. Bratislava: Ministerstvo financií SR [cit. 2011-04-11]. Dostupný z WWW: </w:t>
      </w:r>
      <w:r w:rsidRPr="00E67258">
        <w:t>http://www.finance.gov.sk/Components/CategoryDocuments/s_LoadDocument.aspx?categoryId=5234&amp;documentId=5219</w:t>
      </w:r>
      <w:r>
        <w:t xml:space="preserve"> &gt;</w:t>
      </w:r>
    </w:p>
  </w:footnote>
  <w:footnote w:id="55">
    <w:p w:rsidR="00C1227E" w:rsidRDefault="00C1227E" w:rsidP="00C535FC">
      <w:pPr>
        <w:pStyle w:val="Textpoznpodarou"/>
      </w:pPr>
      <w:r>
        <w:rPr>
          <w:rStyle w:val="Znakapoznpodarou"/>
        </w:rPr>
        <w:footnoteRef/>
      </w:r>
      <w:r>
        <w:t xml:space="preserve"> </w:t>
      </w:r>
      <w:r>
        <w:rPr>
          <w:i/>
        </w:rPr>
        <w:t xml:space="preserve">Predkladacia správa </w:t>
      </w:r>
      <w:r>
        <w:t xml:space="preserve">[online]. Bratislava: Ministerstvo financií SR [cit. 2011-04-11]. Dostupný z WWW: </w:t>
      </w:r>
      <w:r w:rsidRPr="00E67258">
        <w:t>&lt;http://www.finance.gov.sk/Documents/1_Adresar_redaktorov/Filo/Rozpo%C4%8Det%20%20VS/rozpocet_VS_%20na_%20roky_%202011%20az%202013%20-%20schvaleny_NR%20SR.pdf</w:t>
      </w:r>
      <w:r>
        <w:t xml:space="preserve"> &gt;</w:t>
      </w:r>
    </w:p>
  </w:footnote>
  <w:footnote w:id="56">
    <w:p w:rsidR="00C1227E" w:rsidRDefault="00C1227E" w:rsidP="00C535FC">
      <w:pPr>
        <w:pStyle w:val="Textpoznpodarou"/>
      </w:pPr>
      <w:r>
        <w:rPr>
          <w:rStyle w:val="Znakapoznpodarou"/>
        </w:rPr>
        <w:footnoteRef/>
      </w:r>
      <w:r>
        <w:t xml:space="preserve"> </w:t>
      </w:r>
      <w:r>
        <w:rPr>
          <w:i/>
        </w:rPr>
        <w:t xml:space="preserve">Predkladacia správa </w:t>
      </w:r>
      <w:r>
        <w:t xml:space="preserve">[online]. Bratislava: Ministerstvo financií SR [cit. 2011-04-11]. Dostupný z WWW: </w:t>
      </w:r>
      <w:r w:rsidRPr="00E67258">
        <w:t>&lt;http://www.finance.gov.sk/Documents/1_Adresar_redaktorov/Filo/Rozpo%C4%8Det%20%20VS/rozpocet_VS_%20na_%20roky_%202011%20az%202013%20-%20schvaleny_NR%20SR.pdf</w:t>
      </w:r>
      <w:r>
        <w:t xml:space="preserve"> &gt;</w:t>
      </w:r>
    </w:p>
  </w:footnote>
  <w:footnote w:id="57">
    <w:p w:rsidR="00C1227E" w:rsidRDefault="00C1227E" w:rsidP="00C535FC">
      <w:pPr>
        <w:pStyle w:val="Textpoznpodarou"/>
      </w:pPr>
      <w:r>
        <w:rPr>
          <w:rStyle w:val="Znakapoznpodarou"/>
        </w:rPr>
        <w:footnoteRef/>
      </w:r>
      <w:r>
        <w:t xml:space="preserve"> </w:t>
      </w:r>
      <w:r>
        <w:rPr>
          <w:i/>
        </w:rPr>
        <w:t xml:space="preserve">Zamestnanosť podľa Výberového zisťovania pracovných síl v roku 2009 </w:t>
      </w:r>
      <w:r>
        <w:t xml:space="preserve">[online]. Bratislava: Štatistický úrad Slovenskej republiky, 2010 [cit. 2011-04-11]. Dostupný z WWW: </w:t>
      </w:r>
      <w:r>
        <w:rPr>
          <w:lang w:val="en-US"/>
        </w:rPr>
        <w:t>&lt;</w:t>
      </w:r>
      <w:r w:rsidRPr="0036598C">
        <w:rPr>
          <w:lang w:val="en-US"/>
        </w:rPr>
        <w:t>http://portal.statistics.sk/showdoc.do?docid=17681</w:t>
      </w:r>
      <w:r>
        <w:t xml:space="preserve">&gt; </w:t>
      </w:r>
    </w:p>
  </w:footnote>
  <w:footnote w:id="58">
    <w:p w:rsidR="00C1227E" w:rsidRDefault="00C1227E" w:rsidP="00C535FC">
      <w:pPr>
        <w:pStyle w:val="Textpoznpodarou"/>
      </w:pPr>
      <w:r>
        <w:rPr>
          <w:rStyle w:val="Znakapoznpodarou"/>
        </w:rPr>
        <w:footnoteRef/>
      </w:r>
      <w:r>
        <w:rPr>
          <w:i/>
        </w:rPr>
        <w:t xml:space="preserve">Nezamestnanosť podľa Výberového zisťovania pracovných síl v roku 2010 </w:t>
      </w:r>
      <w:r>
        <w:t xml:space="preserve">[online]. Bratislava: Štatistický úrad Slovenskej republiky, 2011 [cit. 2011-04-11]. Dostupný z WWW: </w:t>
      </w:r>
      <w:r>
        <w:rPr>
          <w:lang w:val="en-US"/>
        </w:rPr>
        <w:t>&lt;</w:t>
      </w:r>
      <w:r w:rsidRPr="0036598C">
        <w:rPr>
          <w:lang w:val="en-US"/>
        </w:rPr>
        <w:t>http://portal.statistics.sk/showdoc.do?docid=24138</w:t>
      </w:r>
      <w:r>
        <w:t xml:space="preserve">&gt; </w:t>
      </w:r>
    </w:p>
    <w:p w:rsidR="00C1227E" w:rsidRDefault="00C1227E" w:rsidP="00C535FC">
      <w:pPr>
        <w:pStyle w:val="Textpoznpodarou"/>
      </w:pPr>
      <w:r>
        <w:t xml:space="preserve"> </w:t>
      </w:r>
    </w:p>
  </w:footnote>
  <w:footnote w:id="59">
    <w:p w:rsidR="00C1227E" w:rsidRDefault="00C1227E" w:rsidP="00C535FC">
      <w:pPr>
        <w:pStyle w:val="Textpoznpodarou"/>
      </w:pPr>
      <w:r>
        <w:rPr>
          <w:rStyle w:val="Znakapoznpodarou"/>
        </w:rPr>
        <w:footnoteRef/>
      </w:r>
      <w:r>
        <w:t xml:space="preserve"> </w:t>
      </w:r>
      <w:r>
        <w:rPr>
          <w:i/>
        </w:rPr>
        <w:t xml:space="preserve">Priame zahraničné investície do krajín strednej a východnej Európy vzrástli v roku 2010 o 9% </w:t>
      </w:r>
      <w:r>
        <w:t xml:space="preserve">[online]. </w:t>
      </w:r>
      <w:r>
        <w:br/>
        <w:t xml:space="preserve">[cit. 2011-04-17]. Dostupný z WWW: </w:t>
      </w:r>
      <w:r w:rsidRPr="00E67258">
        <w:rPr>
          <w:lang w:val="de-DE"/>
        </w:rPr>
        <w:t>&lt;</w:t>
      </w:r>
      <w:r w:rsidRPr="00B75F50">
        <w:t xml:space="preserve"> </w:t>
      </w:r>
      <w:r w:rsidRPr="00E67258">
        <w:rPr>
          <w:lang w:val="de-DE"/>
        </w:rPr>
        <w:t>http://fin-magazin.sk/priame-zahranicne-investicie-do-krajin-strednej-a-vychodnej-europy-vzrastli-v-roku-2010-o-9/</w:t>
      </w:r>
      <w:r>
        <w:t xml:space="preserve">&gt; </w:t>
      </w:r>
    </w:p>
  </w:footnote>
  <w:footnote w:id="60">
    <w:p w:rsidR="00C1227E" w:rsidRDefault="00C1227E" w:rsidP="00C535FC">
      <w:pPr>
        <w:pStyle w:val="Textpoznpodarou"/>
      </w:pPr>
      <w:r>
        <w:rPr>
          <w:rStyle w:val="Znakapoznpodarou"/>
        </w:rPr>
        <w:footnoteRef/>
      </w:r>
      <w:r>
        <w:t xml:space="preserve"> </w:t>
      </w:r>
      <w:r>
        <w:rPr>
          <w:i/>
        </w:rPr>
        <w:t xml:space="preserve">Priame zahraničné investície do krajín strednej a východnej Európy vzrástli v roku 2010 o 9% </w:t>
      </w:r>
      <w:r>
        <w:t xml:space="preserve">[online]. </w:t>
      </w:r>
      <w:r>
        <w:br/>
        <w:t xml:space="preserve">[cit. 2011-04-17]. Dostupný z WWW: </w:t>
      </w:r>
      <w:r w:rsidRPr="00E67258">
        <w:rPr>
          <w:lang w:val="de-DE"/>
        </w:rPr>
        <w:t>&lt;</w:t>
      </w:r>
      <w:r w:rsidRPr="00B75F50">
        <w:t xml:space="preserve"> </w:t>
      </w:r>
      <w:r w:rsidRPr="00E67258">
        <w:rPr>
          <w:lang w:val="de-DE"/>
        </w:rPr>
        <w:t>http://fin-magazin.sk/priame-zahranicne-investicie-do-krajin-strednej-a-vychodnej-europy-vzrastli-v-roku-2010-o-9/</w:t>
      </w:r>
      <w:r>
        <w:t>&gt;</w:t>
      </w:r>
    </w:p>
  </w:footnote>
  <w:footnote w:id="61">
    <w:p w:rsidR="00C1227E" w:rsidRDefault="00C1227E" w:rsidP="008321E0">
      <w:pPr>
        <w:pStyle w:val="Textpoznpodarou"/>
      </w:pPr>
      <w:r>
        <w:rPr>
          <w:rStyle w:val="Znakapoznpodarou"/>
        </w:rPr>
        <w:footnoteRef/>
      </w:r>
      <w:r>
        <w:t xml:space="preserve"> </w:t>
      </w:r>
      <w:r>
        <w:rPr>
          <w:i/>
        </w:rPr>
        <w:t xml:space="preserve">Vplyv zavedenia eura na slovenské hospodárstvo  </w:t>
      </w:r>
      <w:r>
        <w:t xml:space="preserve">[online]. Bratislava: Národná banka Slovenska, 2006 </w:t>
      </w:r>
      <w:r>
        <w:br/>
        <w:t>[cit. 2011-04-16]. Dostupný z WWW:</w:t>
      </w:r>
      <w:r>
        <w:rPr>
          <w:i/>
        </w:rPr>
        <w:t xml:space="preserve"> &lt;</w:t>
      </w:r>
      <w:r w:rsidRPr="009D3FCE">
        <w:rPr>
          <w:i/>
        </w:rPr>
        <w:t>http://www.nbs.sk/_img/Documents/PUBLIK/06_kol1.pdf</w:t>
      </w:r>
      <w:r w:rsidRPr="00E67258">
        <w:rPr>
          <w:i/>
        </w:rPr>
        <w:t>&gt;</w:t>
      </w:r>
    </w:p>
    <w:p w:rsidR="00C1227E" w:rsidRDefault="00C1227E" w:rsidP="008321E0">
      <w:pPr>
        <w:pStyle w:val="Textpoznpodarou"/>
      </w:pPr>
    </w:p>
  </w:footnote>
  <w:footnote w:id="62">
    <w:p w:rsidR="00C1227E" w:rsidRDefault="00C1227E" w:rsidP="000630B4">
      <w:pPr>
        <w:pStyle w:val="Textpoznpodarou"/>
      </w:pPr>
      <w:r>
        <w:rPr>
          <w:rStyle w:val="Znakapoznpodarou"/>
        </w:rPr>
        <w:footnoteRef/>
      </w:r>
      <w:r>
        <w:t xml:space="preserve"> </w:t>
      </w:r>
      <w:r>
        <w:rPr>
          <w:i/>
        </w:rPr>
        <w:t xml:space="preserve">NBS: v čase krízy je euro výhodou </w:t>
      </w:r>
      <w:r>
        <w:t>[online]. [cit. 2011-04-19]. Dostupný z WWW:</w:t>
      </w:r>
      <w:r>
        <w:rPr>
          <w:i/>
        </w:rPr>
        <w:t xml:space="preserve"> &lt;</w:t>
      </w:r>
      <w:r w:rsidRPr="00A727F3">
        <w:rPr>
          <w:i/>
        </w:rPr>
        <w:t>http://ekonomika.sme.sk/c/5213769/nbs-v-case-krizy-je-euro-vyhodou.html</w:t>
      </w:r>
      <w:r w:rsidRPr="00E67258">
        <w:rPr>
          <w:i/>
          <w:lang w:val="de-DE"/>
        </w:rPr>
        <w:t xml:space="preserve"> &gt;</w:t>
      </w:r>
    </w:p>
    <w:p w:rsidR="00C1227E" w:rsidRDefault="00C1227E" w:rsidP="000630B4">
      <w:pPr>
        <w:pStyle w:val="Textpoznpodarou"/>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CF2E29"/>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1">
    <w:nsid w:val="0CB4092D"/>
    <w:multiLevelType w:val="hybridMultilevel"/>
    <w:tmpl w:val="CBF618F2"/>
    <w:lvl w:ilvl="0" w:tplc="D910D220">
      <w:start w:val="1"/>
      <w:numFmt w:val="bullet"/>
      <w:lvlText w:val="-"/>
      <w:lvlJc w:val="left"/>
      <w:pPr>
        <w:ind w:left="1065" w:hanging="360"/>
      </w:pPr>
      <w:rPr>
        <w:rFonts w:ascii="Times New Roman" w:eastAsia="Arial Unicode MS" w:hAnsi="Times New Roman" w:hint="default"/>
      </w:rPr>
    </w:lvl>
    <w:lvl w:ilvl="1" w:tplc="04050003" w:tentative="1">
      <w:start w:val="1"/>
      <w:numFmt w:val="bullet"/>
      <w:lvlText w:val="o"/>
      <w:lvlJc w:val="left"/>
      <w:pPr>
        <w:ind w:left="1785" w:hanging="360"/>
      </w:pPr>
      <w:rPr>
        <w:rFonts w:ascii="Courier New" w:hAnsi="Courier New" w:hint="default"/>
      </w:rPr>
    </w:lvl>
    <w:lvl w:ilvl="2" w:tplc="04050005" w:tentative="1">
      <w:start w:val="1"/>
      <w:numFmt w:val="bullet"/>
      <w:lvlText w:val=""/>
      <w:lvlJc w:val="left"/>
      <w:pPr>
        <w:ind w:left="2505" w:hanging="360"/>
      </w:pPr>
      <w:rPr>
        <w:rFonts w:ascii="Wingdings" w:hAnsi="Wingdings" w:hint="default"/>
      </w:rPr>
    </w:lvl>
    <w:lvl w:ilvl="3" w:tplc="04050001" w:tentative="1">
      <w:start w:val="1"/>
      <w:numFmt w:val="bullet"/>
      <w:lvlText w:val=""/>
      <w:lvlJc w:val="left"/>
      <w:pPr>
        <w:ind w:left="3225" w:hanging="360"/>
      </w:pPr>
      <w:rPr>
        <w:rFonts w:ascii="Symbol" w:hAnsi="Symbol" w:hint="default"/>
      </w:rPr>
    </w:lvl>
    <w:lvl w:ilvl="4" w:tplc="04050003" w:tentative="1">
      <w:start w:val="1"/>
      <w:numFmt w:val="bullet"/>
      <w:lvlText w:val="o"/>
      <w:lvlJc w:val="left"/>
      <w:pPr>
        <w:ind w:left="3945" w:hanging="360"/>
      </w:pPr>
      <w:rPr>
        <w:rFonts w:ascii="Courier New" w:hAnsi="Courier New" w:hint="default"/>
      </w:rPr>
    </w:lvl>
    <w:lvl w:ilvl="5" w:tplc="04050005" w:tentative="1">
      <w:start w:val="1"/>
      <w:numFmt w:val="bullet"/>
      <w:lvlText w:val=""/>
      <w:lvlJc w:val="left"/>
      <w:pPr>
        <w:ind w:left="4665" w:hanging="360"/>
      </w:pPr>
      <w:rPr>
        <w:rFonts w:ascii="Wingdings" w:hAnsi="Wingdings" w:hint="default"/>
      </w:rPr>
    </w:lvl>
    <w:lvl w:ilvl="6" w:tplc="04050001" w:tentative="1">
      <w:start w:val="1"/>
      <w:numFmt w:val="bullet"/>
      <w:lvlText w:val=""/>
      <w:lvlJc w:val="left"/>
      <w:pPr>
        <w:ind w:left="5385" w:hanging="360"/>
      </w:pPr>
      <w:rPr>
        <w:rFonts w:ascii="Symbol" w:hAnsi="Symbol" w:hint="default"/>
      </w:rPr>
    </w:lvl>
    <w:lvl w:ilvl="7" w:tplc="04050003" w:tentative="1">
      <w:start w:val="1"/>
      <w:numFmt w:val="bullet"/>
      <w:lvlText w:val="o"/>
      <w:lvlJc w:val="left"/>
      <w:pPr>
        <w:ind w:left="6105" w:hanging="360"/>
      </w:pPr>
      <w:rPr>
        <w:rFonts w:ascii="Courier New" w:hAnsi="Courier New" w:hint="default"/>
      </w:rPr>
    </w:lvl>
    <w:lvl w:ilvl="8" w:tplc="04050005" w:tentative="1">
      <w:start w:val="1"/>
      <w:numFmt w:val="bullet"/>
      <w:lvlText w:val=""/>
      <w:lvlJc w:val="left"/>
      <w:pPr>
        <w:ind w:left="6825" w:hanging="360"/>
      </w:pPr>
      <w:rPr>
        <w:rFonts w:ascii="Wingdings" w:hAnsi="Wingdings" w:hint="default"/>
      </w:rPr>
    </w:lvl>
  </w:abstractNum>
  <w:abstractNum w:abstractNumId="2">
    <w:nsid w:val="0E98057A"/>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3">
    <w:nsid w:val="1E9617E7"/>
    <w:multiLevelType w:val="multilevel"/>
    <w:tmpl w:val="61BC05F0"/>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21306D7A"/>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5">
    <w:nsid w:val="24D4072C"/>
    <w:multiLevelType w:val="hybridMultilevel"/>
    <w:tmpl w:val="11F41512"/>
    <w:lvl w:ilvl="0" w:tplc="04050011">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6">
    <w:nsid w:val="28F73A68"/>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7">
    <w:nsid w:val="2D026247"/>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8">
    <w:nsid w:val="3325481C"/>
    <w:multiLevelType w:val="hybridMultilevel"/>
    <w:tmpl w:val="BBF668E8"/>
    <w:lvl w:ilvl="0" w:tplc="0405000F">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9">
    <w:nsid w:val="33573EB2"/>
    <w:multiLevelType w:val="hybridMultilevel"/>
    <w:tmpl w:val="0856150E"/>
    <w:lvl w:ilvl="0" w:tplc="04050017">
      <w:start w:val="1"/>
      <w:numFmt w:val="lowerLetter"/>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0">
    <w:nsid w:val="39B04635"/>
    <w:multiLevelType w:val="hybridMultilevel"/>
    <w:tmpl w:val="E97004EA"/>
    <w:lvl w:ilvl="0" w:tplc="D31217CA">
      <w:numFmt w:val="bullet"/>
      <w:lvlText w:val="-"/>
      <w:lvlJc w:val="left"/>
      <w:pPr>
        <w:ind w:left="720" w:hanging="360"/>
      </w:pPr>
      <w:rPr>
        <w:rFonts w:ascii="Times New Roman" w:eastAsia="Arial Unicode MS"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3D2F77C2"/>
    <w:multiLevelType w:val="hybridMultilevel"/>
    <w:tmpl w:val="A2E0E716"/>
    <w:lvl w:ilvl="0" w:tplc="E5A68D00">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12">
    <w:nsid w:val="429D300D"/>
    <w:multiLevelType w:val="multilevel"/>
    <w:tmpl w:val="282C7674"/>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496620DD"/>
    <w:multiLevelType w:val="hybridMultilevel"/>
    <w:tmpl w:val="8D30E1A2"/>
    <w:lvl w:ilvl="0" w:tplc="04050017">
      <w:start w:val="1"/>
      <w:numFmt w:val="lowerLetter"/>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4">
    <w:nsid w:val="4B682475"/>
    <w:multiLevelType w:val="multilevel"/>
    <w:tmpl w:val="D6424124"/>
    <w:lvl w:ilvl="0">
      <w:start w:val="1"/>
      <w:numFmt w:val="decimal"/>
      <w:lvlText w:val="%1."/>
      <w:lvlJc w:val="left"/>
      <w:pPr>
        <w:ind w:left="720" w:hanging="360"/>
      </w:pPr>
      <w:rPr>
        <w:rFonts w:cs="Times New Roman" w:hint="default"/>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5">
    <w:nsid w:val="4FE25F68"/>
    <w:multiLevelType w:val="hybridMultilevel"/>
    <w:tmpl w:val="BA84E042"/>
    <w:lvl w:ilvl="0" w:tplc="04050017">
      <w:start w:val="1"/>
      <w:numFmt w:val="lowerLetter"/>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6">
    <w:nsid w:val="51FC664D"/>
    <w:multiLevelType w:val="hybridMultilevel"/>
    <w:tmpl w:val="C252452E"/>
    <w:lvl w:ilvl="0" w:tplc="E8D005EE">
      <w:start w:val="2"/>
      <w:numFmt w:val="bullet"/>
      <w:lvlText w:val="-"/>
      <w:lvlJc w:val="left"/>
      <w:pPr>
        <w:ind w:left="1080" w:hanging="360"/>
      </w:pPr>
      <w:rPr>
        <w:rFonts w:ascii="Times New Roman" w:eastAsia="Arial Unicode MS" w:hAnsi="Times New Roman" w:hint="default"/>
      </w:rPr>
    </w:lvl>
    <w:lvl w:ilvl="1" w:tplc="04050003" w:tentative="1">
      <w:start w:val="1"/>
      <w:numFmt w:val="bullet"/>
      <w:lvlText w:val="o"/>
      <w:lvlJc w:val="left"/>
      <w:pPr>
        <w:ind w:left="1800" w:hanging="360"/>
      </w:pPr>
      <w:rPr>
        <w:rFonts w:ascii="Courier New" w:hAnsi="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17">
    <w:nsid w:val="66CA107A"/>
    <w:multiLevelType w:val="hybridMultilevel"/>
    <w:tmpl w:val="0B1EC8D0"/>
    <w:lvl w:ilvl="0" w:tplc="1AB4E18A">
      <w:start w:val="1"/>
      <w:numFmt w:val="bullet"/>
      <w:lvlText w:val="-"/>
      <w:lvlJc w:val="left"/>
      <w:pPr>
        <w:ind w:left="720" w:hanging="360"/>
      </w:pPr>
      <w:rPr>
        <w:rFonts w:ascii="Times New Roman" w:eastAsia="Arial Unicode MS"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6BEA370E"/>
    <w:multiLevelType w:val="hybridMultilevel"/>
    <w:tmpl w:val="33DE1ADC"/>
    <w:lvl w:ilvl="0" w:tplc="04050017">
      <w:start w:val="1"/>
      <w:numFmt w:val="lowerLetter"/>
      <w:lvlText w:val="%1)"/>
      <w:lvlJc w:val="left"/>
      <w:pPr>
        <w:ind w:left="1065" w:hanging="360"/>
      </w:pPr>
      <w:rPr>
        <w:rFonts w:cs="Times New Roman" w:hint="default"/>
      </w:rPr>
    </w:lvl>
    <w:lvl w:ilvl="1" w:tplc="04050019" w:tentative="1">
      <w:start w:val="1"/>
      <w:numFmt w:val="lowerLetter"/>
      <w:lvlText w:val="%2."/>
      <w:lvlJc w:val="left"/>
      <w:pPr>
        <w:ind w:left="1785" w:hanging="360"/>
      </w:pPr>
      <w:rPr>
        <w:rFonts w:cs="Times New Roman"/>
      </w:rPr>
    </w:lvl>
    <w:lvl w:ilvl="2" w:tplc="0405001B" w:tentative="1">
      <w:start w:val="1"/>
      <w:numFmt w:val="lowerRoman"/>
      <w:lvlText w:val="%3."/>
      <w:lvlJc w:val="right"/>
      <w:pPr>
        <w:ind w:left="2505" w:hanging="180"/>
      </w:pPr>
      <w:rPr>
        <w:rFonts w:cs="Times New Roman"/>
      </w:rPr>
    </w:lvl>
    <w:lvl w:ilvl="3" w:tplc="0405000F" w:tentative="1">
      <w:start w:val="1"/>
      <w:numFmt w:val="decimal"/>
      <w:lvlText w:val="%4."/>
      <w:lvlJc w:val="left"/>
      <w:pPr>
        <w:ind w:left="3225" w:hanging="360"/>
      </w:pPr>
      <w:rPr>
        <w:rFonts w:cs="Times New Roman"/>
      </w:rPr>
    </w:lvl>
    <w:lvl w:ilvl="4" w:tplc="04050019" w:tentative="1">
      <w:start w:val="1"/>
      <w:numFmt w:val="lowerLetter"/>
      <w:lvlText w:val="%5."/>
      <w:lvlJc w:val="left"/>
      <w:pPr>
        <w:ind w:left="3945" w:hanging="360"/>
      </w:pPr>
      <w:rPr>
        <w:rFonts w:cs="Times New Roman"/>
      </w:rPr>
    </w:lvl>
    <w:lvl w:ilvl="5" w:tplc="0405001B" w:tentative="1">
      <w:start w:val="1"/>
      <w:numFmt w:val="lowerRoman"/>
      <w:lvlText w:val="%6."/>
      <w:lvlJc w:val="right"/>
      <w:pPr>
        <w:ind w:left="4665" w:hanging="180"/>
      </w:pPr>
      <w:rPr>
        <w:rFonts w:cs="Times New Roman"/>
      </w:rPr>
    </w:lvl>
    <w:lvl w:ilvl="6" w:tplc="0405000F" w:tentative="1">
      <w:start w:val="1"/>
      <w:numFmt w:val="decimal"/>
      <w:lvlText w:val="%7."/>
      <w:lvlJc w:val="left"/>
      <w:pPr>
        <w:ind w:left="5385" w:hanging="360"/>
      </w:pPr>
      <w:rPr>
        <w:rFonts w:cs="Times New Roman"/>
      </w:rPr>
    </w:lvl>
    <w:lvl w:ilvl="7" w:tplc="04050019" w:tentative="1">
      <w:start w:val="1"/>
      <w:numFmt w:val="lowerLetter"/>
      <w:lvlText w:val="%8."/>
      <w:lvlJc w:val="left"/>
      <w:pPr>
        <w:ind w:left="6105" w:hanging="360"/>
      </w:pPr>
      <w:rPr>
        <w:rFonts w:cs="Times New Roman"/>
      </w:rPr>
    </w:lvl>
    <w:lvl w:ilvl="8" w:tplc="0405001B" w:tentative="1">
      <w:start w:val="1"/>
      <w:numFmt w:val="lowerRoman"/>
      <w:lvlText w:val="%9."/>
      <w:lvlJc w:val="right"/>
      <w:pPr>
        <w:ind w:left="6825" w:hanging="180"/>
      </w:pPr>
      <w:rPr>
        <w:rFonts w:cs="Times New Roman"/>
      </w:rPr>
    </w:lvl>
  </w:abstractNum>
  <w:abstractNum w:abstractNumId="19">
    <w:nsid w:val="6D6754F0"/>
    <w:multiLevelType w:val="multilevel"/>
    <w:tmpl w:val="718C6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B7D37B2"/>
    <w:multiLevelType w:val="hybridMultilevel"/>
    <w:tmpl w:val="15EEA4E6"/>
    <w:lvl w:ilvl="0" w:tplc="0405000F">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1">
    <w:nsid w:val="7D016CCA"/>
    <w:multiLevelType w:val="multilevel"/>
    <w:tmpl w:val="8CD68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8"/>
  </w:num>
  <w:num w:numId="2">
    <w:abstractNumId w:val="8"/>
  </w:num>
  <w:num w:numId="3">
    <w:abstractNumId w:val="14"/>
  </w:num>
  <w:num w:numId="4">
    <w:abstractNumId w:val="16"/>
  </w:num>
  <w:num w:numId="5">
    <w:abstractNumId w:val="20"/>
  </w:num>
  <w:num w:numId="6">
    <w:abstractNumId w:val="10"/>
  </w:num>
  <w:num w:numId="7">
    <w:abstractNumId w:val="5"/>
  </w:num>
  <w:num w:numId="8">
    <w:abstractNumId w:val="12"/>
  </w:num>
  <w:num w:numId="9">
    <w:abstractNumId w:val="19"/>
  </w:num>
  <w:num w:numId="10">
    <w:abstractNumId w:val="3"/>
  </w:num>
  <w:num w:numId="11">
    <w:abstractNumId w:val="21"/>
  </w:num>
  <w:num w:numId="12">
    <w:abstractNumId w:val="17"/>
  </w:num>
  <w:num w:numId="13">
    <w:abstractNumId w:val="1"/>
  </w:num>
  <w:num w:numId="14">
    <w:abstractNumId w:val="9"/>
  </w:num>
  <w:num w:numId="15">
    <w:abstractNumId w:val="15"/>
  </w:num>
  <w:num w:numId="16">
    <w:abstractNumId w:val="13"/>
  </w:num>
  <w:num w:numId="17">
    <w:abstractNumId w:val="7"/>
  </w:num>
  <w:num w:numId="18">
    <w:abstractNumId w:val="0"/>
  </w:num>
  <w:num w:numId="19">
    <w:abstractNumId w:val="2"/>
  </w:num>
  <w:num w:numId="20">
    <w:abstractNumId w:val="4"/>
  </w:num>
  <w:num w:numId="21">
    <w:abstractNumId w:val="6"/>
  </w:num>
  <w:num w:numId="2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3C2736"/>
    <w:rsid w:val="00007BBD"/>
    <w:rsid w:val="00037623"/>
    <w:rsid w:val="00044AA6"/>
    <w:rsid w:val="00045547"/>
    <w:rsid w:val="00045BA9"/>
    <w:rsid w:val="00055526"/>
    <w:rsid w:val="00057D25"/>
    <w:rsid w:val="000630B4"/>
    <w:rsid w:val="00066B02"/>
    <w:rsid w:val="00073046"/>
    <w:rsid w:val="000765B1"/>
    <w:rsid w:val="000A676F"/>
    <w:rsid w:val="000B4D19"/>
    <w:rsid w:val="000B5018"/>
    <w:rsid w:val="000B7133"/>
    <w:rsid w:val="000C09D9"/>
    <w:rsid w:val="000C51B0"/>
    <w:rsid w:val="000C72D8"/>
    <w:rsid w:val="000D1FD0"/>
    <w:rsid w:val="000D656B"/>
    <w:rsid w:val="000E1F76"/>
    <w:rsid w:val="000E3553"/>
    <w:rsid w:val="000F4508"/>
    <w:rsid w:val="00106484"/>
    <w:rsid w:val="00113C5E"/>
    <w:rsid w:val="00123A1B"/>
    <w:rsid w:val="00124496"/>
    <w:rsid w:val="00127CB1"/>
    <w:rsid w:val="00137066"/>
    <w:rsid w:val="001448C0"/>
    <w:rsid w:val="00152AA1"/>
    <w:rsid w:val="00153148"/>
    <w:rsid w:val="00154E0E"/>
    <w:rsid w:val="00160D5E"/>
    <w:rsid w:val="00167E27"/>
    <w:rsid w:val="00170559"/>
    <w:rsid w:val="0017311A"/>
    <w:rsid w:val="00175E48"/>
    <w:rsid w:val="001810E6"/>
    <w:rsid w:val="00182D28"/>
    <w:rsid w:val="001A46BF"/>
    <w:rsid w:val="001D4970"/>
    <w:rsid w:val="001E12E6"/>
    <w:rsid w:val="001E61C8"/>
    <w:rsid w:val="0021690C"/>
    <w:rsid w:val="00216A7A"/>
    <w:rsid w:val="0022740F"/>
    <w:rsid w:val="00227D4C"/>
    <w:rsid w:val="00237B96"/>
    <w:rsid w:val="002448E7"/>
    <w:rsid w:val="00246F3F"/>
    <w:rsid w:val="002470D7"/>
    <w:rsid w:val="002477B7"/>
    <w:rsid w:val="002536F2"/>
    <w:rsid w:val="00255A8D"/>
    <w:rsid w:val="00262A61"/>
    <w:rsid w:val="00263C73"/>
    <w:rsid w:val="0026611A"/>
    <w:rsid w:val="00274D5D"/>
    <w:rsid w:val="002C209D"/>
    <w:rsid w:val="002C5BAA"/>
    <w:rsid w:val="002C5C2F"/>
    <w:rsid w:val="002C5ECE"/>
    <w:rsid w:val="002C7E38"/>
    <w:rsid w:val="002D5A66"/>
    <w:rsid w:val="002E7019"/>
    <w:rsid w:val="002F2101"/>
    <w:rsid w:val="002F56EE"/>
    <w:rsid w:val="002F79B3"/>
    <w:rsid w:val="003241F0"/>
    <w:rsid w:val="003276C0"/>
    <w:rsid w:val="003526A0"/>
    <w:rsid w:val="003607C8"/>
    <w:rsid w:val="0036598C"/>
    <w:rsid w:val="0038654C"/>
    <w:rsid w:val="003A0D4B"/>
    <w:rsid w:val="003B6DB5"/>
    <w:rsid w:val="003C2736"/>
    <w:rsid w:val="003D39C1"/>
    <w:rsid w:val="003F227D"/>
    <w:rsid w:val="003F23A4"/>
    <w:rsid w:val="00402811"/>
    <w:rsid w:val="0040584C"/>
    <w:rsid w:val="00407060"/>
    <w:rsid w:val="00413C4C"/>
    <w:rsid w:val="0042096B"/>
    <w:rsid w:val="00423222"/>
    <w:rsid w:val="0043303F"/>
    <w:rsid w:val="00434F81"/>
    <w:rsid w:val="00435135"/>
    <w:rsid w:val="004471AF"/>
    <w:rsid w:val="00461EE1"/>
    <w:rsid w:val="00464376"/>
    <w:rsid w:val="00476B84"/>
    <w:rsid w:val="00477B97"/>
    <w:rsid w:val="004901D8"/>
    <w:rsid w:val="004A0096"/>
    <w:rsid w:val="004A4A77"/>
    <w:rsid w:val="004B142B"/>
    <w:rsid w:val="004E7A9C"/>
    <w:rsid w:val="004F5529"/>
    <w:rsid w:val="00503251"/>
    <w:rsid w:val="00511E92"/>
    <w:rsid w:val="00517A86"/>
    <w:rsid w:val="00530BD2"/>
    <w:rsid w:val="005333E1"/>
    <w:rsid w:val="00566DA0"/>
    <w:rsid w:val="00567DD7"/>
    <w:rsid w:val="00577DB7"/>
    <w:rsid w:val="005A337A"/>
    <w:rsid w:val="005A3F1D"/>
    <w:rsid w:val="005B1DBF"/>
    <w:rsid w:val="005B6261"/>
    <w:rsid w:val="005B6C50"/>
    <w:rsid w:val="005C6E1C"/>
    <w:rsid w:val="005D0D2C"/>
    <w:rsid w:val="005D4C3C"/>
    <w:rsid w:val="005E4208"/>
    <w:rsid w:val="005F0FB5"/>
    <w:rsid w:val="0060205F"/>
    <w:rsid w:val="0060410E"/>
    <w:rsid w:val="00612D0E"/>
    <w:rsid w:val="006179F4"/>
    <w:rsid w:val="00624971"/>
    <w:rsid w:val="00630C4A"/>
    <w:rsid w:val="0064278B"/>
    <w:rsid w:val="00646676"/>
    <w:rsid w:val="0065153A"/>
    <w:rsid w:val="0065367B"/>
    <w:rsid w:val="006756BB"/>
    <w:rsid w:val="00675FF9"/>
    <w:rsid w:val="00677B4E"/>
    <w:rsid w:val="0068602C"/>
    <w:rsid w:val="006946FB"/>
    <w:rsid w:val="0069753B"/>
    <w:rsid w:val="006B0919"/>
    <w:rsid w:val="006B6AED"/>
    <w:rsid w:val="006C0B27"/>
    <w:rsid w:val="006D156F"/>
    <w:rsid w:val="006D5222"/>
    <w:rsid w:val="006D523E"/>
    <w:rsid w:val="006D7A21"/>
    <w:rsid w:val="006E1C09"/>
    <w:rsid w:val="006E6764"/>
    <w:rsid w:val="00702808"/>
    <w:rsid w:val="00712E44"/>
    <w:rsid w:val="00714C8B"/>
    <w:rsid w:val="00721EC6"/>
    <w:rsid w:val="00726C87"/>
    <w:rsid w:val="00727550"/>
    <w:rsid w:val="00731698"/>
    <w:rsid w:val="007356FA"/>
    <w:rsid w:val="00741443"/>
    <w:rsid w:val="0074215F"/>
    <w:rsid w:val="00747FEE"/>
    <w:rsid w:val="007500BE"/>
    <w:rsid w:val="00753322"/>
    <w:rsid w:val="00755F03"/>
    <w:rsid w:val="00764555"/>
    <w:rsid w:val="0076608A"/>
    <w:rsid w:val="00766D4A"/>
    <w:rsid w:val="00770F2E"/>
    <w:rsid w:val="00773983"/>
    <w:rsid w:val="0078370E"/>
    <w:rsid w:val="00797549"/>
    <w:rsid w:val="007A16F1"/>
    <w:rsid w:val="007B1CAE"/>
    <w:rsid w:val="007B5FA1"/>
    <w:rsid w:val="007C05BC"/>
    <w:rsid w:val="007C16C9"/>
    <w:rsid w:val="007C1E91"/>
    <w:rsid w:val="007C5491"/>
    <w:rsid w:val="007C6A11"/>
    <w:rsid w:val="007C7F58"/>
    <w:rsid w:val="007D47A3"/>
    <w:rsid w:val="007E1D39"/>
    <w:rsid w:val="007E1DA7"/>
    <w:rsid w:val="007E2323"/>
    <w:rsid w:val="007E72E2"/>
    <w:rsid w:val="007F5799"/>
    <w:rsid w:val="00800AC8"/>
    <w:rsid w:val="00801F9D"/>
    <w:rsid w:val="00806D98"/>
    <w:rsid w:val="00811E67"/>
    <w:rsid w:val="00813126"/>
    <w:rsid w:val="00813CA3"/>
    <w:rsid w:val="008208AC"/>
    <w:rsid w:val="00823679"/>
    <w:rsid w:val="008239C4"/>
    <w:rsid w:val="00830527"/>
    <w:rsid w:val="008321E0"/>
    <w:rsid w:val="008350D4"/>
    <w:rsid w:val="008352F6"/>
    <w:rsid w:val="00836951"/>
    <w:rsid w:val="00841550"/>
    <w:rsid w:val="00842D93"/>
    <w:rsid w:val="008519E1"/>
    <w:rsid w:val="00854A67"/>
    <w:rsid w:val="00856408"/>
    <w:rsid w:val="00860DD7"/>
    <w:rsid w:val="00864B19"/>
    <w:rsid w:val="00891749"/>
    <w:rsid w:val="00896982"/>
    <w:rsid w:val="008A3667"/>
    <w:rsid w:val="008A7CA2"/>
    <w:rsid w:val="008B09FE"/>
    <w:rsid w:val="008B0E1C"/>
    <w:rsid w:val="008C2688"/>
    <w:rsid w:val="008D5809"/>
    <w:rsid w:val="008E2544"/>
    <w:rsid w:val="008E55F6"/>
    <w:rsid w:val="008E6572"/>
    <w:rsid w:val="008F5CCD"/>
    <w:rsid w:val="009203DA"/>
    <w:rsid w:val="00924C05"/>
    <w:rsid w:val="009348DE"/>
    <w:rsid w:val="009349F7"/>
    <w:rsid w:val="009354D1"/>
    <w:rsid w:val="00941126"/>
    <w:rsid w:val="00941AE3"/>
    <w:rsid w:val="00944796"/>
    <w:rsid w:val="00945E92"/>
    <w:rsid w:val="009538A2"/>
    <w:rsid w:val="00962940"/>
    <w:rsid w:val="00962F3E"/>
    <w:rsid w:val="009660B5"/>
    <w:rsid w:val="0096716A"/>
    <w:rsid w:val="00970EB0"/>
    <w:rsid w:val="009724AF"/>
    <w:rsid w:val="0097440B"/>
    <w:rsid w:val="00977B38"/>
    <w:rsid w:val="00977D0F"/>
    <w:rsid w:val="0098203D"/>
    <w:rsid w:val="00993725"/>
    <w:rsid w:val="009943A7"/>
    <w:rsid w:val="009A0225"/>
    <w:rsid w:val="009A151F"/>
    <w:rsid w:val="009A41F2"/>
    <w:rsid w:val="009A6CDE"/>
    <w:rsid w:val="009A6E22"/>
    <w:rsid w:val="009B2715"/>
    <w:rsid w:val="009B3633"/>
    <w:rsid w:val="009C0010"/>
    <w:rsid w:val="009C2F01"/>
    <w:rsid w:val="009C77C2"/>
    <w:rsid w:val="009D3FCE"/>
    <w:rsid w:val="009D525F"/>
    <w:rsid w:val="009D5438"/>
    <w:rsid w:val="009D7C9A"/>
    <w:rsid w:val="009E137F"/>
    <w:rsid w:val="009F0BBA"/>
    <w:rsid w:val="009F7449"/>
    <w:rsid w:val="00A00ACF"/>
    <w:rsid w:val="00A04B15"/>
    <w:rsid w:val="00A153B0"/>
    <w:rsid w:val="00A24709"/>
    <w:rsid w:val="00A257F1"/>
    <w:rsid w:val="00A2755B"/>
    <w:rsid w:val="00A4015F"/>
    <w:rsid w:val="00A4187F"/>
    <w:rsid w:val="00A4619D"/>
    <w:rsid w:val="00A65D7D"/>
    <w:rsid w:val="00A6637A"/>
    <w:rsid w:val="00A727F3"/>
    <w:rsid w:val="00A769D5"/>
    <w:rsid w:val="00A95368"/>
    <w:rsid w:val="00AA31CC"/>
    <w:rsid w:val="00AA6F64"/>
    <w:rsid w:val="00AC48C9"/>
    <w:rsid w:val="00AD7975"/>
    <w:rsid w:val="00AE2F6F"/>
    <w:rsid w:val="00AF5FD4"/>
    <w:rsid w:val="00AF6784"/>
    <w:rsid w:val="00B0048E"/>
    <w:rsid w:val="00B0160E"/>
    <w:rsid w:val="00B06019"/>
    <w:rsid w:val="00B12E63"/>
    <w:rsid w:val="00B245DC"/>
    <w:rsid w:val="00B27C12"/>
    <w:rsid w:val="00B3595D"/>
    <w:rsid w:val="00B36494"/>
    <w:rsid w:val="00B4561A"/>
    <w:rsid w:val="00B4582E"/>
    <w:rsid w:val="00B47B09"/>
    <w:rsid w:val="00B523A7"/>
    <w:rsid w:val="00B651BC"/>
    <w:rsid w:val="00B656DE"/>
    <w:rsid w:val="00B659B1"/>
    <w:rsid w:val="00B7056C"/>
    <w:rsid w:val="00B74586"/>
    <w:rsid w:val="00B74EE6"/>
    <w:rsid w:val="00B75767"/>
    <w:rsid w:val="00B75F50"/>
    <w:rsid w:val="00B77733"/>
    <w:rsid w:val="00B83321"/>
    <w:rsid w:val="00B94BD8"/>
    <w:rsid w:val="00B969D9"/>
    <w:rsid w:val="00BA759D"/>
    <w:rsid w:val="00BB1D11"/>
    <w:rsid w:val="00BB2034"/>
    <w:rsid w:val="00BB43D8"/>
    <w:rsid w:val="00BC4269"/>
    <w:rsid w:val="00BD44CD"/>
    <w:rsid w:val="00BD5D98"/>
    <w:rsid w:val="00BE3A2E"/>
    <w:rsid w:val="00BF18B9"/>
    <w:rsid w:val="00BF1E82"/>
    <w:rsid w:val="00BF758D"/>
    <w:rsid w:val="00BF7620"/>
    <w:rsid w:val="00C10F6E"/>
    <w:rsid w:val="00C1227E"/>
    <w:rsid w:val="00C13DA5"/>
    <w:rsid w:val="00C160A3"/>
    <w:rsid w:val="00C20034"/>
    <w:rsid w:val="00C25B70"/>
    <w:rsid w:val="00C3342D"/>
    <w:rsid w:val="00C45C99"/>
    <w:rsid w:val="00C535FC"/>
    <w:rsid w:val="00C70753"/>
    <w:rsid w:val="00C841D4"/>
    <w:rsid w:val="00C850B4"/>
    <w:rsid w:val="00CB5153"/>
    <w:rsid w:val="00CC6544"/>
    <w:rsid w:val="00CD7F21"/>
    <w:rsid w:val="00CF56BB"/>
    <w:rsid w:val="00D10B9E"/>
    <w:rsid w:val="00D13EB4"/>
    <w:rsid w:val="00D16318"/>
    <w:rsid w:val="00D166F2"/>
    <w:rsid w:val="00D26D94"/>
    <w:rsid w:val="00D27143"/>
    <w:rsid w:val="00D4246C"/>
    <w:rsid w:val="00D508A9"/>
    <w:rsid w:val="00D54419"/>
    <w:rsid w:val="00D62808"/>
    <w:rsid w:val="00D63AD5"/>
    <w:rsid w:val="00D64977"/>
    <w:rsid w:val="00D64F1C"/>
    <w:rsid w:val="00D66518"/>
    <w:rsid w:val="00D72624"/>
    <w:rsid w:val="00D75D15"/>
    <w:rsid w:val="00D76083"/>
    <w:rsid w:val="00D7630A"/>
    <w:rsid w:val="00D84B48"/>
    <w:rsid w:val="00D90CCE"/>
    <w:rsid w:val="00D932E9"/>
    <w:rsid w:val="00DA3C8F"/>
    <w:rsid w:val="00DC4908"/>
    <w:rsid w:val="00DD21F8"/>
    <w:rsid w:val="00DD55D3"/>
    <w:rsid w:val="00DE286E"/>
    <w:rsid w:val="00DF6911"/>
    <w:rsid w:val="00E07DFF"/>
    <w:rsid w:val="00E106A9"/>
    <w:rsid w:val="00E146B8"/>
    <w:rsid w:val="00E22095"/>
    <w:rsid w:val="00E25505"/>
    <w:rsid w:val="00E32001"/>
    <w:rsid w:val="00E41FD7"/>
    <w:rsid w:val="00E504BC"/>
    <w:rsid w:val="00E67258"/>
    <w:rsid w:val="00E73B24"/>
    <w:rsid w:val="00E8046D"/>
    <w:rsid w:val="00E86BE0"/>
    <w:rsid w:val="00E87C83"/>
    <w:rsid w:val="00E9282E"/>
    <w:rsid w:val="00EA4A02"/>
    <w:rsid w:val="00EA63C2"/>
    <w:rsid w:val="00EB4377"/>
    <w:rsid w:val="00EB4880"/>
    <w:rsid w:val="00EB66B5"/>
    <w:rsid w:val="00EC5C16"/>
    <w:rsid w:val="00EE041A"/>
    <w:rsid w:val="00EE27D1"/>
    <w:rsid w:val="00F041FD"/>
    <w:rsid w:val="00F04F76"/>
    <w:rsid w:val="00F177A7"/>
    <w:rsid w:val="00F2751F"/>
    <w:rsid w:val="00F32177"/>
    <w:rsid w:val="00F40FD1"/>
    <w:rsid w:val="00F42533"/>
    <w:rsid w:val="00F46E55"/>
    <w:rsid w:val="00F54206"/>
    <w:rsid w:val="00F623A7"/>
    <w:rsid w:val="00F663C9"/>
    <w:rsid w:val="00F730F2"/>
    <w:rsid w:val="00F81921"/>
    <w:rsid w:val="00F90380"/>
    <w:rsid w:val="00F944EF"/>
    <w:rsid w:val="00FA0D62"/>
    <w:rsid w:val="00FA4C87"/>
    <w:rsid w:val="00FB011D"/>
    <w:rsid w:val="00FB21CB"/>
    <w:rsid w:val="00FC0A91"/>
    <w:rsid w:val="00FC44C2"/>
    <w:rsid w:val="00FD1F82"/>
    <w:rsid w:val="00FD2446"/>
    <w:rsid w:val="00FE2435"/>
    <w:rsid w:val="00FE383B"/>
    <w:rsid w:val="00FF44B2"/>
    <w:rsid w:val="00FF6B70"/>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C2736"/>
    <w:pPr>
      <w:widowControl w:val="0"/>
      <w:suppressAutoHyphens/>
    </w:pPr>
    <w:rPr>
      <w:rFonts w:ascii="Times New Roman" w:eastAsia="Arial Unicode MS" w:hAnsi="Times New Roman"/>
      <w:kern w:val="1"/>
      <w:sz w:val="24"/>
      <w:szCs w:val="24"/>
      <w:lang w:eastAsia="en-US"/>
    </w:rPr>
  </w:style>
  <w:style w:type="paragraph" w:styleId="Nadpis1">
    <w:name w:val="heading 1"/>
    <w:basedOn w:val="Normln"/>
    <w:next w:val="Normln"/>
    <w:link w:val="Nadpis1Char"/>
    <w:uiPriority w:val="99"/>
    <w:qFormat/>
    <w:rsid w:val="00DD55D3"/>
    <w:pPr>
      <w:keepNext/>
      <w:keepLines/>
      <w:spacing w:before="480"/>
      <w:outlineLvl w:val="0"/>
    </w:pPr>
    <w:rPr>
      <w:rFonts w:ascii="Cambria" w:eastAsia="Times New Roman" w:hAnsi="Cambria"/>
      <w:b/>
      <w:bCs/>
      <w:color w:val="365F91"/>
      <w:sz w:val="28"/>
      <w:szCs w:val="28"/>
    </w:rPr>
  </w:style>
  <w:style w:type="paragraph" w:styleId="Nadpis2">
    <w:name w:val="heading 2"/>
    <w:basedOn w:val="Normln"/>
    <w:next w:val="Normln"/>
    <w:link w:val="Nadpis2Char"/>
    <w:uiPriority w:val="99"/>
    <w:qFormat/>
    <w:locked/>
    <w:rsid w:val="00E67258"/>
    <w:pPr>
      <w:keepNext/>
      <w:spacing w:before="240" w:after="60"/>
      <w:outlineLvl w:val="1"/>
    </w:pPr>
    <w:rPr>
      <w:rFonts w:ascii="Arial" w:hAnsi="Arial" w:cs="Arial"/>
      <w:b/>
      <w:bCs/>
      <w:i/>
      <w:iCs/>
      <w:sz w:val="28"/>
      <w:szCs w:val="28"/>
    </w:rPr>
  </w:style>
  <w:style w:type="paragraph" w:styleId="Nadpis3">
    <w:name w:val="heading 3"/>
    <w:basedOn w:val="Normln"/>
    <w:link w:val="Nadpis3Char"/>
    <w:uiPriority w:val="99"/>
    <w:qFormat/>
    <w:rsid w:val="003C2736"/>
    <w:pPr>
      <w:widowControl/>
      <w:suppressAutoHyphens w:val="0"/>
      <w:spacing w:before="100" w:beforeAutospacing="1" w:after="100" w:afterAutospacing="1"/>
      <w:outlineLvl w:val="2"/>
    </w:pPr>
    <w:rPr>
      <w:rFonts w:eastAsia="Times New Roman"/>
      <w:b/>
      <w:bCs/>
      <w:kern w:val="0"/>
      <w:sz w:val="27"/>
      <w:szCs w:val="27"/>
      <w:lang w:eastAsia="cs-CZ"/>
    </w:rPr>
  </w:style>
  <w:style w:type="paragraph" w:styleId="Nadpis4">
    <w:name w:val="heading 4"/>
    <w:basedOn w:val="Normln"/>
    <w:next w:val="Normln"/>
    <w:link w:val="Nadpis4Char"/>
    <w:uiPriority w:val="99"/>
    <w:qFormat/>
    <w:rsid w:val="00DD55D3"/>
    <w:pPr>
      <w:keepNext/>
      <w:keepLines/>
      <w:spacing w:before="200"/>
      <w:outlineLvl w:val="3"/>
    </w:pPr>
    <w:rPr>
      <w:rFonts w:ascii="Cambria" w:eastAsia="Times New Roman" w:hAnsi="Cambria"/>
      <w:b/>
      <w:bCs/>
      <w:i/>
      <w:iCs/>
      <w:color w:val="4F81BD"/>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DD55D3"/>
    <w:rPr>
      <w:rFonts w:ascii="Cambria" w:hAnsi="Cambria" w:cs="Times New Roman"/>
      <w:b/>
      <w:bCs/>
      <w:color w:val="365F91"/>
      <w:kern w:val="1"/>
      <w:sz w:val="28"/>
      <w:szCs w:val="28"/>
    </w:rPr>
  </w:style>
  <w:style w:type="character" w:customStyle="1" w:styleId="Nadpis2Char">
    <w:name w:val="Nadpis 2 Char"/>
    <w:basedOn w:val="Standardnpsmoodstavce"/>
    <w:link w:val="Nadpis2"/>
    <w:uiPriority w:val="9"/>
    <w:semiHidden/>
    <w:rsid w:val="00BF4F33"/>
    <w:rPr>
      <w:rFonts w:asciiTheme="majorHAnsi" w:eastAsiaTheme="majorEastAsia" w:hAnsiTheme="majorHAnsi" w:cstheme="majorBidi"/>
      <w:b/>
      <w:bCs/>
      <w:i/>
      <w:iCs/>
      <w:kern w:val="1"/>
      <w:sz w:val="28"/>
      <w:szCs w:val="28"/>
      <w:lang w:eastAsia="en-US"/>
    </w:rPr>
  </w:style>
  <w:style w:type="character" w:customStyle="1" w:styleId="Nadpis3Char">
    <w:name w:val="Nadpis 3 Char"/>
    <w:basedOn w:val="Standardnpsmoodstavce"/>
    <w:link w:val="Nadpis3"/>
    <w:uiPriority w:val="99"/>
    <w:locked/>
    <w:rsid w:val="003C2736"/>
    <w:rPr>
      <w:rFonts w:ascii="Times New Roman" w:hAnsi="Times New Roman" w:cs="Times New Roman"/>
      <w:b/>
      <w:bCs/>
      <w:sz w:val="27"/>
      <w:szCs w:val="27"/>
      <w:lang w:eastAsia="cs-CZ"/>
    </w:rPr>
  </w:style>
  <w:style w:type="character" w:customStyle="1" w:styleId="Nadpis4Char">
    <w:name w:val="Nadpis 4 Char"/>
    <w:basedOn w:val="Standardnpsmoodstavce"/>
    <w:link w:val="Nadpis4"/>
    <w:uiPriority w:val="99"/>
    <w:semiHidden/>
    <w:locked/>
    <w:rsid w:val="00DD55D3"/>
    <w:rPr>
      <w:rFonts w:ascii="Cambria" w:hAnsi="Cambria" w:cs="Times New Roman"/>
      <w:b/>
      <w:bCs/>
      <w:i/>
      <w:iCs/>
      <w:color w:val="4F81BD"/>
      <w:kern w:val="1"/>
      <w:sz w:val="24"/>
      <w:szCs w:val="24"/>
    </w:rPr>
  </w:style>
  <w:style w:type="paragraph" w:styleId="Zkladntext">
    <w:name w:val="Body Text"/>
    <w:basedOn w:val="Normln"/>
    <w:link w:val="ZkladntextChar"/>
    <w:uiPriority w:val="99"/>
    <w:rsid w:val="003C2736"/>
    <w:pPr>
      <w:spacing w:after="120"/>
    </w:pPr>
  </w:style>
  <w:style w:type="character" w:customStyle="1" w:styleId="ZkladntextChar">
    <w:name w:val="Základní text Char"/>
    <w:basedOn w:val="Standardnpsmoodstavce"/>
    <w:link w:val="Zkladntext"/>
    <w:uiPriority w:val="99"/>
    <w:locked/>
    <w:rsid w:val="003C2736"/>
    <w:rPr>
      <w:rFonts w:ascii="Times New Roman" w:eastAsia="Arial Unicode MS" w:hAnsi="Times New Roman" w:cs="Times New Roman"/>
      <w:kern w:val="1"/>
      <w:sz w:val="24"/>
      <w:szCs w:val="24"/>
    </w:rPr>
  </w:style>
  <w:style w:type="character" w:styleId="Znakapoznpodarou">
    <w:name w:val="footnote reference"/>
    <w:basedOn w:val="Standardnpsmoodstavce"/>
    <w:uiPriority w:val="99"/>
    <w:rsid w:val="00DD55D3"/>
    <w:rPr>
      <w:rFonts w:cs="Times New Roman"/>
      <w:vertAlign w:val="superscript"/>
    </w:rPr>
  </w:style>
  <w:style w:type="paragraph" w:styleId="Textpoznpodarou">
    <w:name w:val="footnote text"/>
    <w:basedOn w:val="Normln"/>
    <w:link w:val="TextpoznpodarouChar"/>
    <w:uiPriority w:val="99"/>
    <w:rsid w:val="00DD55D3"/>
    <w:pPr>
      <w:suppressLineNumbers/>
      <w:ind w:left="283" w:hanging="283"/>
    </w:pPr>
    <w:rPr>
      <w:sz w:val="20"/>
      <w:szCs w:val="20"/>
    </w:rPr>
  </w:style>
  <w:style w:type="character" w:customStyle="1" w:styleId="TextpoznpodarouChar">
    <w:name w:val="Text pozn. pod čarou Char"/>
    <w:basedOn w:val="Standardnpsmoodstavce"/>
    <w:link w:val="Textpoznpodarou"/>
    <w:uiPriority w:val="99"/>
    <w:locked/>
    <w:rsid w:val="00DD55D3"/>
    <w:rPr>
      <w:rFonts w:ascii="Times New Roman" w:eastAsia="Arial Unicode MS" w:hAnsi="Times New Roman" w:cs="Times New Roman"/>
      <w:kern w:val="1"/>
      <w:sz w:val="20"/>
      <w:szCs w:val="20"/>
    </w:rPr>
  </w:style>
  <w:style w:type="paragraph" w:styleId="Normlnweb">
    <w:name w:val="Normal (Web)"/>
    <w:basedOn w:val="Normln"/>
    <w:uiPriority w:val="99"/>
    <w:rsid w:val="00DD55D3"/>
    <w:pPr>
      <w:spacing w:before="280" w:after="280"/>
    </w:pPr>
  </w:style>
  <w:style w:type="paragraph" w:styleId="Odstavecseseznamem">
    <w:name w:val="List Paragraph"/>
    <w:basedOn w:val="Normln"/>
    <w:uiPriority w:val="99"/>
    <w:qFormat/>
    <w:rsid w:val="00DD55D3"/>
    <w:pPr>
      <w:ind w:left="720"/>
      <w:contextualSpacing/>
    </w:pPr>
  </w:style>
  <w:style w:type="paragraph" w:styleId="Textbubliny">
    <w:name w:val="Balloon Text"/>
    <w:basedOn w:val="Normln"/>
    <w:link w:val="TextbublinyChar"/>
    <w:uiPriority w:val="99"/>
    <w:semiHidden/>
    <w:rsid w:val="00DD55D3"/>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DD55D3"/>
    <w:rPr>
      <w:rFonts w:ascii="Tahoma" w:eastAsia="Arial Unicode MS" w:hAnsi="Tahoma" w:cs="Tahoma"/>
      <w:kern w:val="1"/>
      <w:sz w:val="16"/>
      <w:szCs w:val="16"/>
    </w:rPr>
  </w:style>
  <w:style w:type="character" w:styleId="Hypertextovodkaz">
    <w:name w:val="Hyperlink"/>
    <w:basedOn w:val="Standardnpsmoodstavce"/>
    <w:uiPriority w:val="99"/>
    <w:rsid w:val="00F40FD1"/>
    <w:rPr>
      <w:rFonts w:cs="Times New Roman"/>
      <w:color w:val="0000FF"/>
      <w:u w:val="single"/>
    </w:rPr>
  </w:style>
  <w:style w:type="character" w:styleId="Siln">
    <w:name w:val="Strong"/>
    <w:basedOn w:val="Standardnpsmoodstavce"/>
    <w:uiPriority w:val="99"/>
    <w:qFormat/>
    <w:rsid w:val="00F663C9"/>
    <w:rPr>
      <w:rFonts w:cs="Times New Roman"/>
      <w:b/>
      <w:bCs/>
    </w:rPr>
  </w:style>
  <w:style w:type="table" w:styleId="Mkatabulky">
    <w:name w:val="Table Grid"/>
    <w:basedOn w:val="Normlntabulka"/>
    <w:uiPriority w:val="99"/>
    <w:rsid w:val="00C535F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Zvraznn">
    <w:name w:val="Emphasis"/>
    <w:basedOn w:val="Standardnpsmoodstavce"/>
    <w:uiPriority w:val="99"/>
    <w:qFormat/>
    <w:rsid w:val="00C535FC"/>
    <w:rPr>
      <w:rFonts w:cs="Times New Roman"/>
      <w:i/>
      <w:iCs/>
    </w:rPr>
  </w:style>
  <w:style w:type="paragraph" w:styleId="Zhlav">
    <w:name w:val="header"/>
    <w:basedOn w:val="Normln"/>
    <w:link w:val="ZhlavChar"/>
    <w:uiPriority w:val="99"/>
    <w:semiHidden/>
    <w:rsid w:val="00C535FC"/>
    <w:pPr>
      <w:tabs>
        <w:tab w:val="center" w:pos="4536"/>
        <w:tab w:val="right" w:pos="9072"/>
      </w:tabs>
    </w:pPr>
  </w:style>
  <w:style w:type="character" w:customStyle="1" w:styleId="ZhlavChar">
    <w:name w:val="Záhlaví Char"/>
    <w:basedOn w:val="Standardnpsmoodstavce"/>
    <w:link w:val="Zhlav"/>
    <w:uiPriority w:val="99"/>
    <w:semiHidden/>
    <w:locked/>
    <w:rsid w:val="00C535FC"/>
    <w:rPr>
      <w:rFonts w:ascii="Times New Roman" w:eastAsia="Arial Unicode MS" w:hAnsi="Times New Roman" w:cs="Times New Roman"/>
      <w:kern w:val="1"/>
      <w:sz w:val="24"/>
      <w:szCs w:val="24"/>
    </w:rPr>
  </w:style>
  <w:style w:type="paragraph" w:styleId="Zpat">
    <w:name w:val="footer"/>
    <w:basedOn w:val="Normln"/>
    <w:link w:val="ZpatChar"/>
    <w:uiPriority w:val="99"/>
    <w:rsid w:val="00C535FC"/>
    <w:pPr>
      <w:tabs>
        <w:tab w:val="center" w:pos="4536"/>
        <w:tab w:val="right" w:pos="9072"/>
      </w:tabs>
    </w:pPr>
  </w:style>
  <w:style w:type="character" w:customStyle="1" w:styleId="ZpatChar">
    <w:name w:val="Zápatí Char"/>
    <w:basedOn w:val="Standardnpsmoodstavce"/>
    <w:link w:val="Zpat"/>
    <w:uiPriority w:val="99"/>
    <w:locked/>
    <w:rsid w:val="00C535FC"/>
    <w:rPr>
      <w:rFonts w:ascii="Times New Roman" w:eastAsia="Arial Unicode MS" w:hAnsi="Times New Roman" w:cs="Times New Roman"/>
      <w:kern w:val="1"/>
      <w:sz w:val="24"/>
      <w:szCs w:val="24"/>
    </w:rPr>
  </w:style>
  <w:style w:type="paragraph" w:styleId="Rozvrendokumentu">
    <w:name w:val="Document Map"/>
    <w:basedOn w:val="Normln"/>
    <w:link w:val="RozvrendokumentuChar"/>
    <w:uiPriority w:val="99"/>
    <w:semiHidden/>
    <w:rsid w:val="00E67258"/>
    <w:pPr>
      <w:shd w:val="clear" w:color="auto" w:fill="000080"/>
    </w:pPr>
    <w:rPr>
      <w:rFonts w:ascii="Tahoma" w:hAnsi="Tahoma" w:cs="Tahoma"/>
      <w:sz w:val="20"/>
      <w:szCs w:val="20"/>
    </w:rPr>
  </w:style>
  <w:style w:type="character" w:customStyle="1" w:styleId="RozvrendokumentuChar">
    <w:name w:val="Rozvržení dokumentu Char"/>
    <w:basedOn w:val="Standardnpsmoodstavce"/>
    <w:link w:val="Rozvrendokumentu"/>
    <w:uiPriority w:val="99"/>
    <w:semiHidden/>
    <w:rsid w:val="00BF4F33"/>
    <w:rPr>
      <w:rFonts w:ascii="Times New Roman" w:eastAsia="Arial Unicode MS" w:hAnsi="Times New Roman"/>
      <w:kern w:val="1"/>
      <w:sz w:val="0"/>
      <w:szCs w:val="0"/>
      <w:lang w:eastAsia="en-US"/>
    </w:rPr>
  </w:style>
  <w:style w:type="character" w:styleId="slostrnky">
    <w:name w:val="page number"/>
    <w:basedOn w:val="Standardnpsmoodstavce"/>
    <w:uiPriority w:val="99"/>
    <w:rsid w:val="00D64977"/>
    <w:rPr>
      <w:rFonts w:cs="Times New Roman"/>
    </w:rPr>
  </w:style>
</w:styles>
</file>

<file path=word/webSettings.xml><?xml version="1.0" encoding="utf-8"?>
<w:webSettings xmlns:r="http://schemas.openxmlformats.org/officeDocument/2006/relationships" xmlns:w="http://schemas.openxmlformats.org/wordprocessingml/2006/main">
  <w:divs>
    <w:div w:id="734666167">
      <w:marLeft w:val="0"/>
      <w:marRight w:val="0"/>
      <w:marTop w:val="0"/>
      <w:marBottom w:val="0"/>
      <w:divBdr>
        <w:top w:val="none" w:sz="0" w:space="0" w:color="auto"/>
        <w:left w:val="none" w:sz="0" w:space="0" w:color="auto"/>
        <w:bottom w:val="none" w:sz="0" w:space="0" w:color="auto"/>
        <w:right w:val="none" w:sz="0" w:space="0" w:color="auto"/>
      </w:divBdr>
    </w:div>
    <w:div w:id="734666168">
      <w:marLeft w:val="0"/>
      <w:marRight w:val="0"/>
      <w:marTop w:val="0"/>
      <w:marBottom w:val="0"/>
      <w:divBdr>
        <w:top w:val="none" w:sz="0" w:space="0" w:color="auto"/>
        <w:left w:val="none" w:sz="0" w:space="0" w:color="auto"/>
        <w:bottom w:val="none" w:sz="0" w:space="0" w:color="auto"/>
        <w:right w:val="none" w:sz="0" w:space="0" w:color="auto"/>
      </w:divBdr>
      <w:divsChild>
        <w:div w:id="734666171">
          <w:marLeft w:val="0"/>
          <w:marRight w:val="0"/>
          <w:marTop w:val="0"/>
          <w:marBottom w:val="0"/>
          <w:divBdr>
            <w:top w:val="none" w:sz="0" w:space="0" w:color="auto"/>
            <w:left w:val="none" w:sz="0" w:space="0" w:color="auto"/>
            <w:bottom w:val="none" w:sz="0" w:space="0" w:color="auto"/>
            <w:right w:val="none" w:sz="0" w:space="0" w:color="auto"/>
          </w:divBdr>
          <w:divsChild>
            <w:div w:id="734666175">
              <w:marLeft w:val="0"/>
              <w:marRight w:val="0"/>
              <w:marTop w:val="0"/>
              <w:marBottom w:val="0"/>
              <w:divBdr>
                <w:top w:val="none" w:sz="0" w:space="0" w:color="auto"/>
                <w:left w:val="none" w:sz="0" w:space="0" w:color="auto"/>
                <w:bottom w:val="none" w:sz="0" w:space="0" w:color="auto"/>
                <w:right w:val="none" w:sz="0" w:space="0" w:color="auto"/>
              </w:divBdr>
            </w:div>
            <w:div w:id="734666176">
              <w:marLeft w:val="0"/>
              <w:marRight w:val="0"/>
              <w:marTop w:val="0"/>
              <w:marBottom w:val="0"/>
              <w:divBdr>
                <w:top w:val="none" w:sz="0" w:space="0" w:color="auto"/>
                <w:left w:val="none" w:sz="0" w:space="0" w:color="auto"/>
                <w:bottom w:val="none" w:sz="0" w:space="0" w:color="auto"/>
                <w:right w:val="none" w:sz="0" w:space="0" w:color="auto"/>
              </w:divBdr>
            </w:div>
            <w:div w:id="734666177">
              <w:marLeft w:val="0"/>
              <w:marRight w:val="0"/>
              <w:marTop w:val="0"/>
              <w:marBottom w:val="0"/>
              <w:divBdr>
                <w:top w:val="none" w:sz="0" w:space="0" w:color="auto"/>
                <w:left w:val="none" w:sz="0" w:space="0" w:color="auto"/>
                <w:bottom w:val="none" w:sz="0" w:space="0" w:color="auto"/>
                <w:right w:val="none" w:sz="0" w:space="0" w:color="auto"/>
              </w:divBdr>
            </w:div>
            <w:div w:id="734666178">
              <w:marLeft w:val="0"/>
              <w:marRight w:val="0"/>
              <w:marTop w:val="0"/>
              <w:marBottom w:val="0"/>
              <w:divBdr>
                <w:top w:val="none" w:sz="0" w:space="0" w:color="auto"/>
                <w:left w:val="none" w:sz="0" w:space="0" w:color="auto"/>
                <w:bottom w:val="none" w:sz="0" w:space="0" w:color="auto"/>
                <w:right w:val="none" w:sz="0" w:space="0" w:color="auto"/>
              </w:divBdr>
            </w:div>
            <w:div w:id="734666181">
              <w:marLeft w:val="0"/>
              <w:marRight w:val="0"/>
              <w:marTop w:val="0"/>
              <w:marBottom w:val="0"/>
              <w:divBdr>
                <w:top w:val="none" w:sz="0" w:space="0" w:color="auto"/>
                <w:left w:val="none" w:sz="0" w:space="0" w:color="auto"/>
                <w:bottom w:val="none" w:sz="0" w:space="0" w:color="auto"/>
                <w:right w:val="none" w:sz="0" w:space="0" w:color="auto"/>
              </w:divBdr>
            </w:div>
            <w:div w:id="734666182">
              <w:marLeft w:val="0"/>
              <w:marRight w:val="0"/>
              <w:marTop w:val="0"/>
              <w:marBottom w:val="0"/>
              <w:divBdr>
                <w:top w:val="none" w:sz="0" w:space="0" w:color="auto"/>
                <w:left w:val="none" w:sz="0" w:space="0" w:color="auto"/>
                <w:bottom w:val="none" w:sz="0" w:space="0" w:color="auto"/>
                <w:right w:val="none" w:sz="0" w:space="0" w:color="auto"/>
              </w:divBdr>
            </w:div>
            <w:div w:id="734666185">
              <w:marLeft w:val="0"/>
              <w:marRight w:val="0"/>
              <w:marTop w:val="0"/>
              <w:marBottom w:val="0"/>
              <w:divBdr>
                <w:top w:val="none" w:sz="0" w:space="0" w:color="auto"/>
                <w:left w:val="none" w:sz="0" w:space="0" w:color="auto"/>
                <w:bottom w:val="none" w:sz="0" w:space="0" w:color="auto"/>
                <w:right w:val="none" w:sz="0" w:space="0" w:color="auto"/>
              </w:divBdr>
            </w:div>
            <w:div w:id="734666186">
              <w:marLeft w:val="0"/>
              <w:marRight w:val="0"/>
              <w:marTop w:val="0"/>
              <w:marBottom w:val="0"/>
              <w:divBdr>
                <w:top w:val="none" w:sz="0" w:space="0" w:color="auto"/>
                <w:left w:val="none" w:sz="0" w:space="0" w:color="auto"/>
                <w:bottom w:val="none" w:sz="0" w:space="0" w:color="auto"/>
                <w:right w:val="none" w:sz="0" w:space="0" w:color="auto"/>
              </w:divBdr>
            </w:div>
            <w:div w:id="734666188">
              <w:marLeft w:val="0"/>
              <w:marRight w:val="0"/>
              <w:marTop w:val="0"/>
              <w:marBottom w:val="0"/>
              <w:divBdr>
                <w:top w:val="none" w:sz="0" w:space="0" w:color="auto"/>
                <w:left w:val="none" w:sz="0" w:space="0" w:color="auto"/>
                <w:bottom w:val="none" w:sz="0" w:space="0" w:color="auto"/>
                <w:right w:val="none" w:sz="0" w:space="0" w:color="auto"/>
              </w:divBdr>
            </w:div>
            <w:div w:id="734666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666170">
      <w:marLeft w:val="0"/>
      <w:marRight w:val="0"/>
      <w:marTop w:val="0"/>
      <w:marBottom w:val="0"/>
      <w:divBdr>
        <w:top w:val="none" w:sz="0" w:space="0" w:color="auto"/>
        <w:left w:val="none" w:sz="0" w:space="0" w:color="auto"/>
        <w:bottom w:val="none" w:sz="0" w:space="0" w:color="auto"/>
        <w:right w:val="none" w:sz="0" w:space="0" w:color="auto"/>
      </w:divBdr>
      <w:divsChild>
        <w:div w:id="734666180">
          <w:marLeft w:val="0"/>
          <w:marRight w:val="0"/>
          <w:marTop w:val="0"/>
          <w:marBottom w:val="0"/>
          <w:divBdr>
            <w:top w:val="none" w:sz="0" w:space="0" w:color="auto"/>
            <w:left w:val="none" w:sz="0" w:space="0" w:color="auto"/>
            <w:bottom w:val="none" w:sz="0" w:space="0" w:color="auto"/>
            <w:right w:val="none" w:sz="0" w:space="0" w:color="auto"/>
          </w:divBdr>
          <w:divsChild>
            <w:div w:id="734666166">
              <w:marLeft w:val="0"/>
              <w:marRight w:val="0"/>
              <w:marTop w:val="0"/>
              <w:marBottom w:val="0"/>
              <w:divBdr>
                <w:top w:val="none" w:sz="0" w:space="0" w:color="auto"/>
                <w:left w:val="none" w:sz="0" w:space="0" w:color="auto"/>
                <w:bottom w:val="none" w:sz="0" w:space="0" w:color="auto"/>
                <w:right w:val="none" w:sz="0" w:space="0" w:color="auto"/>
              </w:divBdr>
            </w:div>
            <w:div w:id="734666169">
              <w:marLeft w:val="0"/>
              <w:marRight w:val="0"/>
              <w:marTop w:val="0"/>
              <w:marBottom w:val="0"/>
              <w:divBdr>
                <w:top w:val="none" w:sz="0" w:space="0" w:color="auto"/>
                <w:left w:val="none" w:sz="0" w:space="0" w:color="auto"/>
                <w:bottom w:val="none" w:sz="0" w:space="0" w:color="auto"/>
                <w:right w:val="none" w:sz="0" w:space="0" w:color="auto"/>
              </w:divBdr>
            </w:div>
            <w:div w:id="734666172">
              <w:marLeft w:val="0"/>
              <w:marRight w:val="0"/>
              <w:marTop w:val="0"/>
              <w:marBottom w:val="0"/>
              <w:divBdr>
                <w:top w:val="none" w:sz="0" w:space="0" w:color="auto"/>
                <w:left w:val="none" w:sz="0" w:space="0" w:color="auto"/>
                <w:bottom w:val="none" w:sz="0" w:space="0" w:color="auto"/>
                <w:right w:val="none" w:sz="0" w:space="0" w:color="auto"/>
              </w:divBdr>
            </w:div>
            <w:div w:id="734666173">
              <w:marLeft w:val="0"/>
              <w:marRight w:val="0"/>
              <w:marTop w:val="0"/>
              <w:marBottom w:val="0"/>
              <w:divBdr>
                <w:top w:val="none" w:sz="0" w:space="0" w:color="auto"/>
                <w:left w:val="none" w:sz="0" w:space="0" w:color="auto"/>
                <w:bottom w:val="none" w:sz="0" w:space="0" w:color="auto"/>
                <w:right w:val="none" w:sz="0" w:space="0" w:color="auto"/>
              </w:divBdr>
            </w:div>
            <w:div w:id="734666174">
              <w:marLeft w:val="0"/>
              <w:marRight w:val="0"/>
              <w:marTop w:val="0"/>
              <w:marBottom w:val="0"/>
              <w:divBdr>
                <w:top w:val="none" w:sz="0" w:space="0" w:color="auto"/>
                <w:left w:val="none" w:sz="0" w:space="0" w:color="auto"/>
                <w:bottom w:val="none" w:sz="0" w:space="0" w:color="auto"/>
                <w:right w:val="none" w:sz="0" w:space="0" w:color="auto"/>
              </w:divBdr>
            </w:div>
            <w:div w:id="734666179">
              <w:marLeft w:val="0"/>
              <w:marRight w:val="0"/>
              <w:marTop w:val="0"/>
              <w:marBottom w:val="0"/>
              <w:divBdr>
                <w:top w:val="none" w:sz="0" w:space="0" w:color="auto"/>
                <w:left w:val="none" w:sz="0" w:space="0" w:color="auto"/>
                <w:bottom w:val="none" w:sz="0" w:space="0" w:color="auto"/>
                <w:right w:val="none" w:sz="0" w:space="0" w:color="auto"/>
              </w:divBdr>
            </w:div>
            <w:div w:id="734666183">
              <w:marLeft w:val="0"/>
              <w:marRight w:val="0"/>
              <w:marTop w:val="0"/>
              <w:marBottom w:val="0"/>
              <w:divBdr>
                <w:top w:val="none" w:sz="0" w:space="0" w:color="auto"/>
                <w:left w:val="none" w:sz="0" w:space="0" w:color="auto"/>
                <w:bottom w:val="none" w:sz="0" w:space="0" w:color="auto"/>
                <w:right w:val="none" w:sz="0" w:space="0" w:color="auto"/>
              </w:divBdr>
            </w:div>
            <w:div w:id="734666184">
              <w:marLeft w:val="0"/>
              <w:marRight w:val="0"/>
              <w:marTop w:val="0"/>
              <w:marBottom w:val="0"/>
              <w:divBdr>
                <w:top w:val="none" w:sz="0" w:space="0" w:color="auto"/>
                <w:left w:val="none" w:sz="0" w:space="0" w:color="auto"/>
                <w:bottom w:val="none" w:sz="0" w:space="0" w:color="auto"/>
                <w:right w:val="none" w:sz="0" w:space="0" w:color="auto"/>
              </w:divBdr>
            </w:div>
            <w:div w:id="734666187">
              <w:marLeft w:val="0"/>
              <w:marRight w:val="0"/>
              <w:marTop w:val="0"/>
              <w:marBottom w:val="0"/>
              <w:divBdr>
                <w:top w:val="none" w:sz="0" w:space="0" w:color="auto"/>
                <w:left w:val="none" w:sz="0" w:space="0" w:color="auto"/>
                <w:bottom w:val="none" w:sz="0" w:space="0" w:color="auto"/>
                <w:right w:val="none" w:sz="0" w:space="0" w:color="auto"/>
              </w:divBdr>
            </w:div>
            <w:div w:id="734666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png"/><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hyperlink" Target="http://en.wikipedia.org/wiki/Eurozone" TargetMode="External"/><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hyperlink" Target="http://en.wikipedia.org/wiki/Currency" TargetMode="External"/><Relationship Id="rId14" Type="http://schemas.openxmlformats.org/officeDocument/2006/relationships/image" Target="media/image5.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Pages>
  <Words>20477</Words>
  <Characters>120816</Characters>
  <Application>Microsoft Office Word</Application>
  <DocSecurity>0</DocSecurity>
  <Lines>1006</Lines>
  <Paragraphs>282</Paragraphs>
  <ScaleCrop>false</ScaleCrop>
  <HeadingPairs>
    <vt:vector size="2" baseType="variant">
      <vt:variant>
        <vt:lpstr>Název</vt:lpstr>
      </vt:variant>
      <vt:variant>
        <vt:i4>1</vt:i4>
      </vt:variant>
    </vt:vector>
  </HeadingPairs>
  <TitlesOfParts>
    <vt:vector size="1" baseType="lpstr">
      <vt:lpstr/>
    </vt:vector>
  </TitlesOfParts>
  <Company>Hewlett-Packard</Company>
  <LinksUpToDate>false</LinksUpToDate>
  <CharactersWithSpaces>141011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Andy</dc:creator>
  <cp:lastModifiedBy>Andy</cp:lastModifiedBy>
  <cp:revision>13</cp:revision>
  <cp:lastPrinted>2011-04-28T08:21:00Z</cp:lastPrinted>
  <dcterms:created xsi:type="dcterms:W3CDTF">2011-05-04T08:01:00Z</dcterms:created>
  <dcterms:modified xsi:type="dcterms:W3CDTF">2011-05-05T12:07:00Z</dcterms:modified>
</cp:coreProperties>
</file>