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480" w:before="48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drawing>
          <wp:anchor allowOverlap="1" behindDoc="0" distB="0" distT="0" distL="114300" distR="114300" hidden="0" layoutInCell="1" locked="0" relativeHeight="0" simplePos="0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b="0" l="0" r="0" t="0"/>
            <wp:wrapNone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588125" cy="86042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Písemné hodnocení bakalářské práce</w:t>
      </w:r>
    </w:p>
    <w:tbl>
      <w:tblPr>
        <w:tblStyle w:val="Table1"/>
        <w:tblW w:w="9145.0" w:type="dxa"/>
        <w:jc w:val="left"/>
        <w:tblInd w:w="-108.0" w:type="dxa"/>
        <w:tblLayout w:type="fixed"/>
        <w:tblLook w:val="0000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  <w:tblGridChange w:id="0">
          <w:tblGrid>
            <w:gridCol w:w="43"/>
            <w:gridCol w:w="2173"/>
            <w:gridCol w:w="4378"/>
            <w:gridCol w:w="637"/>
            <w:gridCol w:w="638"/>
            <w:gridCol w:w="638"/>
            <w:gridCol w:w="565"/>
            <w:gridCol w:w="73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2"/>
            <w:shd w:fill="auto" w:val="clear"/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Autor/ka B</w:t>
            </w:r>
            <w:bookmarkStart w:colFirst="0" w:colLast="0" w:name="bookmark=id.gjdgxs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shd w:fill="f2f2f2" w:val="clear"/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Lucie Vávr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ová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shd w:fill="auto" w:val="clear"/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Název práce:</w:t>
            </w:r>
            <w:bookmarkStart w:colFirst="0" w:colLast="0" w:name="bookmark=id.30j0zll" w:id="1"/>
            <w:bookmarkEnd w:id="1"/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shd w:fill="f2f2f2" w:val="clear"/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Politeness in the language of gaming in Overwatch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shd w:fill="auto" w:val="clear"/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Vedoucí práce</w:t>
            </w:r>
            <w:bookmarkStart w:colFirst="0" w:colLast="0" w:name="bookmark=id.1fob9te" w:id="2"/>
            <w:bookmarkEnd w:id="2"/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shd w:fill="f2f2f2" w:val="clear"/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Mgr. Jaromír Haupt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, Ph.D.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1134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Hodnotící kritéria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Splňuje bez výhrad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Splňuje s drobnými výhradami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Splňuje s výhradami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Nesplňuje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Obsahová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 práci jsou vymezeny základní a dílčí cíle, </w:t>
            </w:r>
            <w:bookmarkStart w:colFirst="0" w:colLast="0" w:name="bookmark=id.3znysh7" w:id="3"/>
            <w:bookmarkEnd w:id="3"/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které jsou v koncepci práce patřičně rozpracovány. Cíle jsou adekvátně naplňovány.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Práce splňuje cíle zadání.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Studující využívá a kriticky vybírá primární a/nebo sekundární literaturu.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Práce má vymezen předmět, je využito odpovídajících metodologických postupů.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Výstupy výzkumných částí jsou adekvátně syntetizovány a je o nich diskutováno.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 práci je využita odborná terminologie a jsou vysvětleny hlavní pojmy.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Formální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Práce vykazuje standardní poznámkový aparát a jednotný způsob citací v rámci práce, je typograficky jednotná.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Studující dodržuje jazykovou normu, text je stylisticky jednotný.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Text je soudržný, srozumitelný a argumentačně podložený.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Přínos práce ⃰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666666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☐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Posouzení původnosti textu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Zjištěná shoda textu (dle IS STAG/Theses):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  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%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Slovní hodnocení významu zjištěné shody: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nevýznamná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     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Slovní hodnocení práce: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Celková úroveň práce je tuze vysoká. Teoretická čast poskytuje bez zbytečných odboček adekvátní oporu pro část praktickou. V praktické části j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sou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prezentovány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jak kvantitativní výsledky, tak kvalitativní rozbory typických i vybočujících autentických příkladů. Příloha svědčí o velice systematické a pečlivé analýze. Nedostatků je v práci minimum, např. na české anotaci se patrně podepsal automatický překlad; definice pragmatiky by zasloužila odbornější zdroj, nežli pouhý slovník. Jedná se však o řídké a nepříliš podstatné zjevy.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Ocenit je třeba také skutečnost, že se autorka uplatnila svůj vhled členky hráčské komunity, a přitom si počínala čtenářsky vstřícně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všímajíc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si textových i kontextových aspektů, které zasvěcení (ne)vnímají jako samozřejmé.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14.0" w:type="dxa"/>
        <w:jc w:val="left"/>
        <w:tblInd w:w="-108.0" w:type="dxa"/>
        <w:tblLayout w:type="fixed"/>
        <w:tblLook w:val="0000"/>
      </w:tblPr>
      <w:tblGrid>
        <w:gridCol w:w="7372"/>
        <w:gridCol w:w="1842"/>
        <w:tblGridChange w:id="0">
          <w:tblGrid>
            <w:gridCol w:w="7372"/>
            <w:gridCol w:w="1842"/>
          </w:tblGrid>
        </w:tblGridChange>
      </w:tblGrid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Práce splňuje požadavky na udělení akademického titulu Bc.</w:t>
            </w:r>
            <w:bookmarkStart w:colFirst="0" w:colLast="0" w:name="bookmark=id.tyjcwt" w:id="4"/>
            <w:bookmarkEnd w:id="4"/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Ano.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bookmarkStart w:colFirst="0" w:colLast="0" w:name="bookmark=id.3dy6vkm" w:id="5"/>
          <w:bookmarkEnd w:id="5"/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Práci doporučuji k obhajobě: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Ano.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bookmarkStart w:colFirst="0" w:colLast="0" w:name="bookmark=id.1t3h5sf" w:id="6"/>
          <w:bookmarkEnd w:id="6"/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Návrh klasifikačního stupně: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Výborně.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0" w:right="0" w:firstLine="0"/>
        <w:jc w:val="lef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Náměty pro obhajobu: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Do you think that the more recent set of maxims introduced in Leech (2014) would make a difference to your thesis?</w:t>
      </w:r>
    </w:p>
    <w:p w:rsidR="00000000" w:rsidDel="00000000" w:rsidP="00000000" w:rsidRDefault="00000000" w:rsidRPr="00000000" w14:paraId="000000B4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How does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 chatbot</w:t>
      </w:r>
      <w:r w:rsidDel="00000000" w:rsidR="00000000" w:rsidRPr="00000000">
        <w:rPr>
          <w:rFonts w:ascii="Arial" w:cs="Arial" w:eastAsia="Arial" w:hAnsi="Arial"/>
          <w:rtl w:val="0"/>
        </w:rPr>
        <w:t xml:space="preserve"> answer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your research question, or a reasonably generalized version of it? Try to critically evaluate the answer</w:t>
      </w:r>
      <w:r w:rsidDel="00000000" w:rsidR="00000000" w:rsidRPr="00000000">
        <w:rPr>
          <w:rFonts w:ascii="Arial" w:cs="Arial" w:eastAsia="Arial" w:hAnsi="Arial"/>
          <w:rtl w:val="0"/>
        </w:rPr>
        <w:t xml:space="preserve">(s).</w:t>
      </w:r>
    </w:p>
    <w:bookmarkStart w:colFirst="0" w:colLast="0" w:name="bookmark=id.4d34og8" w:id="7"/>
    <w:bookmarkEnd w:id="7"/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     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12.0" w:type="dxa"/>
        <w:jc w:val="left"/>
        <w:tblInd w:w="-108.0" w:type="dxa"/>
        <w:tblLayout w:type="fixed"/>
        <w:tblLook w:val="0000"/>
      </w:tblPr>
      <w:tblGrid>
        <w:gridCol w:w="1101"/>
        <w:gridCol w:w="1417"/>
        <w:gridCol w:w="2693"/>
        <w:gridCol w:w="4001"/>
        <w:tblGridChange w:id="0">
          <w:tblGrid>
            <w:gridCol w:w="1101"/>
            <w:gridCol w:w="1417"/>
            <w:gridCol w:w="2693"/>
            <w:gridCol w:w="400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Datum:</w:t>
            </w:r>
          </w:p>
        </w:tc>
        <w:tc>
          <w:tcPr/>
          <w:bookmarkStart w:colFirst="0" w:colLast="0" w:name="bookmark=id.2s8eyo1" w:id="8"/>
          <w:bookmarkEnd w:id="8"/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     </w:t>
            </w:r>
          </w:p>
        </w:tc>
        <w:tc>
          <w:tcPr/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Podpis: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250"/>
        </w:tabs>
        <w:spacing w:after="20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footerReference r:id="rId9" w:type="first"/>
      <w:pgSz w:h="16838" w:w="11906" w:orient="portrait"/>
      <w:pgMar w:bottom="709" w:top="1134" w:left="1417" w:right="1417" w:header="708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Verdan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2"/>
        <w:szCs w:val="1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1"/>
        <w:smallCaps w:val="0"/>
        <w:strike w:val="0"/>
        <w:color w:val="000000"/>
        <w:sz w:val="12"/>
        <w:szCs w:val="12"/>
        <w:u w:val="none"/>
        <w:shd w:fill="auto" w:val="clear"/>
        <w:vertAlign w:val="baseline"/>
        <w:rtl w:val="0"/>
      </w:rPr>
      <w:t xml:space="preserve">⃰ Rozveďte ve slovním hodnocení práce.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Strana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Arial" w:cs="Arial" w:eastAsia="Arial" w:hAnsi="Arial"/>
        <w:b w:val="0"/>
        <w:i w:val="1"/>
        <w:smallCaps w:val="0"/>
        <w:strike w:val="0"/>
        <w:color w:val="000000"/>
        <w:sz w:val="12"/>
        <w:szCs w:val="12"/>
        <w:u w:val="none"/>
        <w:shd w:fill="auto" w:val="clear"/>
        <w:vertAlign w:val="baseline"/>
        <w:rtl w:val="0"/>
      </w:rPr>
      <w:t xml:space="preserve">Hodnocení BP vedoucím práce, verze 1/2016.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cs-CZ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OMTcDrfZjzcu9DNtO0DqX5pdfg==">CgMxLjAyCWlkLmdqZGd4czIKaWQuMzBqMHpsbDIKaWQuMWZvYjl0ZTIKaWQuM3pueXNoNzIJaWQudHlqY3d0MgppZC4zZHk2dmttMgppZC4xdDNoNXNmMgppZC40ZDM0b2c4MgppZC4yczhleW8xOAByITF5LWFMSlhWNERaejNDanpqZlp2Sng3bzlORHdDSGJkRQ==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