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2E03" w:rsidRDefault="008336B7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0" w:hanging="2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Verdana" w:eastAsia="Verdana" w:hAnsi="Verdana" w:cs="Verdana"/>
          <w:b/>
          <w:i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588125" cy="860425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588125" cy="8604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color w:val="000000"/>
          <w:sz w:val="32"/>
          <w:szCs w:val="32"/>
        </w:rPr>
        <w:t>Písemné hodnocení diplomové práce</w:t>
      </w:r>
    </w:p>
    <w:tbl>
      <w:tblPr>
        <w:tblStyle w:val="a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1B2E03">
        <w:trPr>
          <w:trHeight w:val="340"/>
        </w:trPr>
        <w:tc>
          <w:tcPr>
            <w:tcW w:w="2216" w:type="dxa"/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Autor/ka D</w:t>
            </w:r>
            <w:bookmarkStart w:id="0" w:name="bookmark=id.gjdgxs" w:colFirst="0" w:colLast="0"/>
            <w:bookmarkEnd w:id="0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Bc. Jana Marhanová</w:t>
            </w:r>
          </w:p>
        </w:tc>
      </w:tr>
      <w:tr w:rsidR="001B2E03">
        <w:trPr>
          <w:trHeight w:val="340"/>
        </w:trPr>
        <w:tc>
          <w:tcPr>
            <w:tcW w:w="2216" w:type="dxa"/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1" w:name="bookmark=id.30j0zll" w:colFirst="0" w:colLast="0"/>
            <w:bookmarkEnd w:id="1"/>
          </w:p>
        </w:tc>
        <w:tc>
          <w:tcPr>
            <w:tcW w:w="6929" w:type="dxa"/>
            <w:gridSpan w:val="5"/>
            <w:shd w:val="clear" w:color="auto" w:fill="F2F2F2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Microsoft Powerpoint jako nástroj pro vytváření didaktických prostředí napříč vzdělávacími oblastmi</w:t>
            </w:r>
          </w:p>
        </w:tc>
      </w:tr>
      <w:tr w:rsidR="001B2E03">
        <w:trPr>
          <w:trHeight w:val="340"/>
        </w:trPr>
        <w:tc>
          <w:tcPr>
            <w:tcW w:w="2216" w:type="dxa"/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Vedoucí práce</w:t>
            </w:r>
            <w:bookmarkStart w:id="2" w:name="bookmark=id.1fob9te" w:colFirst="0" w:colLast="0"/>
            <w:bookmarkEnd w:id="2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doc. RNDr. Jana Příhonská, Ph.D.</w:t>
            </w:r>
          </w:p>
        </w:tc>
      </w:tr>
      <w:tr w:rsidR="001B2E03">
        <w:trPr>
          <w:trHeight w:val="60"/>
        </w:trPr>
        <w:tc>
          <w:tcPr>
            <w:tcW w:w="2216" w:type="dxa"/>
          </w:tcPr>
          <w:p w:rsidR="001B2E03" w:rsidRDefault="001B2E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:rsidR="001B2E03" w:rsidRDefault="001B2E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1B2E03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1B2E03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2E03" w:rsidRDefault="008336B7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1B2E03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3" w:name="bookmark=id.3znysh7" w:colFirst="0" w:colLast="0"/>
            <w:bookmarkEnd w:id="3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2E03" w:rsidRDefault="008336B7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1B2E03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261027706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1B2E03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2E03" w:rsidRDefault="008336B7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 w:rsidR="001B2E03">
        <w:trPr>
          <w:trHeight w:val="247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Zjištěná shoda textu (dle IS STAG/Theses):</w:t>
            </w: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1 %</w:t>
            </w:r>
          </w:p>
        </w:tc>
      </w:tr>
    </w:tbl>
    <w:p w:rsidR="001B2E03" w:rsidRDefault="008336B7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významu zjištěné shody:</w:t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0"/>
          <w:szCs w:val="20"/>
        </w:rPr>
        <w:t>Posouzení plagiátorství diplomové práce ukazuje na zanedbatelné 1% maximální shody. Diplomová práce v tomto směru originálním autorským dílem studenta.</w:t>
      </w:r>
    </w:p>
    <w:p w:rsidR="001B2E03" w:rsidRDefault="008336B7">
      <w:pPr>
        <w:keepNext/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bookmarkStart w:id="4" w:name="bookmark=id.2et92p0" w:colFirst="0" w:colLast="0"/>
      <w:bookmarkEnd w:id="4"/>
      <w:r>
        <w:rPr>
          <w:rFonts w:ascii="Arial" w:eastAsia="Arial" w:hAnsi="Arial" w:cs="Arial"/>
          <w:color w:val="000000"/>
        </w:rPr>
        <w:t>Diplomová práce si klade za cíl seznámit čtenáře s aktivizačními výukovými metod</w:t>
      </w:r>
      <w:r>
        <w:rPr>
          <w:rFonts w:ascii="Arial" w:eastAsia="Arial" w:hAnsi="Arial" w:cs="Arial"/>
          <w:color w:val="000000"/>
        </w:rPr>
        <w:t>ami, zejména pak s využitím didaktických her ve výuce. Nabídnout učitelům výukový materiál využitelný napříč různými předměty ve formě originálně vytvořených pěti šablon pro didaktické hry. Šablony následně otestovat ve škole ve výuce matematiky a vyhodnot</w:t>
      </w:r>
      <w:r>
        <w:rPr>
          <w:rFonts w:ascii="Arial" w:eastAsia="Arial" w:hAnsi="Arial" w:cs="Arial"/>
          <w:color w:val="000000"/>
        </w:rPr>
        <w:t>it zpětnou vazbu jak od učitelů, tak i od žáků.</w:t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Cíl DP je možno považovat za splněný.</w:t>
      </w:r>
      <w:r>
        <w:rPr>
          <w:rFonts w:ascii="Arial" w:eastAsia="Arial" w:hAnsi="Arial" w:cs="Arial"/>
          <w:color w:val="000000"/>
        </w:rPr>
        <w:tab/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Diplomová práce je rozdělena na tři základní části: teoretickou, prakticko-výzkumnou a vyhodnocení výzkumné části včetně shrnutí ověření výzkumných předpokladů.</w:t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V teoret</w:t>
      </w:r>
      <w:r>
        <w:rPr>
          <w:rFonts w:ascii="Arial" w:eastAsia="Arial" w:hAnsi="Arial" w:cs="Arial"/>
          <w:color w:val="000000"/>
        </w:rPr>
        <w:t>ické části studentka charakterizuje aktivizační výukové metody se zaměřením na didaktické hry a využití programu Microsoft Power Point pro vytváření zmíněných her. Studentka vy</w:t>
      </w:r>
      <w:r>
        <w:rPr>
          <w:rFonts w:ascii="Arial" w:eastAsia="Arial" w:hAnsi="Arial" w:cs="Arial"/>
        </w:rPr>
        <w:t>šla</w:t>
      </w:r>
      <w:r>
        <w:rPr>
          <w:rFonts w:ascii="Arial" w:eastAsia="Arial" w:hAnsi="Arial" w:cs="Arial"/>
          <w:color w:val="000000"/>
        </w:rPr>
        <w:t xml:space="preserve"> z domácích i zahraničních zdrojů, které vzájemně provázala. Teoretickou část</w:t>
      </w:r>
      <w:r>
        <w:rPr>
          <w:rFonts w:ascii="Arial" w:eastAsia="Arial" w:hAnsi="Arial" w:cs="Arial"/>
          <w:color w:val="000000"/>
        </w:rPr>
        <w:t xml:space="preserve"> pro</w:t>
      </w:r>
      <w:r>
        <w:rPr>
          <w:rFonts w:ascii="Arial" w:eastAsia="Arial" w:hAnsi="Arial" w:cs="Arial"/>
        </w:rPr>
        <w:t>pojila</w:t>
      </w:r>
      <w:r>
        <w:rPr>
          <w:rFonts w:ascii="Arial" w:eastAsia="Arial" w:hAnsi="Arial" w:cs="Arial"/>
          <w:color w:val="000000"/>
        </w:rPr>
        <w:t xml:space="preserve"> i s praktickou částí, zejména z pohledu tvorby vlastních didaktických her, resp. šablon pro tyto hry, které se dají následně využít v různých vyučovaných předmětech. Podstatnou částí praktické části je pak tvorba zmíněných didaktických her. Dipl</w:t>
      </w:r>
      <w:r>
        <w:rPr>
          <w:rFonts w:ascii="Arial" w:eastAsia="Arial" w:hAnsi="Arial" w:cs="Arial"/>
          <w:color w:val="000000"/>
        </w:rPr>
        <w:t>omantka uvádí podrobný popis vytváření těchto her. K jejich ověření se zaměřila na matematiku na 2. stupni základní školy. Pro každou jednotlivou hru</w:t>
      </w:r>
      <w:r>
        <w:rPr>
          <w:rFonts w:ascii="Arial" w:eastAsia="Arial" w:hAnsi="Arial" w:cs="Arial"/>
        </w:rPr>
        <w:t xml:space="preserve"> studentka zvolila</w:t>
      </w:r>
      <w:r>
        <w:rPr>
          <w:rFonts w:ascii="Arial" w:eastAsia="Arial" w:hAnsi="Arial" w:cs="Arial"/>
          <w:color w:val="000000"/>
        </w:rPr>
        <w:t xml:space="preserve"> jiné téma školské matematiky, vycházela z RVP a vzala v potaz i kritická místa ve výuce </w:t>
      </w:r>
      <w:r>
        <w:rPr>
          <w:rFonts w:ascii="Arial" w:eastAsia="Arial" w:hAnsi="Arial" w:cs="Arial"/>
          <w:color w:val="000000"/>
        </w:rPr>
        <w:t xml:space="preserve">matematiky. Tím si do jisté míry ověřila možnost, jak s těmito tématy </w:t>
      </w:r>
      <w:r>
        <w:rPr>
          <w:rFonts w:ascii="Arial" w:eastAsia="Arial" w:hAnsi="Arial" w:cs="Arial"/>
        </w:rPr>
        <w:t>lze různě</w:t>
      </w:r>
      <w:r>
        <w:rPr>
          <w:rFonts w:ascii="Arial" w:eastAsia="Arial" w:hAnsi="Arial" w:cs="Arial"/>
          <w:color w:val="000000"/>
        </w:rPr>
        <w:t xml:space="preserve"> pracovat a zapojit tak žáky do výukového procesu. Volila jak otevřené, tak i uzavřené otázky, včetně gradace  úloh. Zaměřila se i na otázky s více správnými </w:t>
      </w:r>
      <w:r>
        <w:rPr>
          <w:rFonts w:ascii="Arial" w:eastAsia="Arial" w:hAnsi="Arial" w:cs="Arial"/>
        </w:rPr>
        <w:t>odpověďmi</w:t>
      </w:r>
      <w:r>
        <w:rPr>
          <w:rFonts w:ascii="Arial" w:eastAsia="Arial" w:hAnsi="Arial" w:cs="Arial"/>
          <w:color w:val="000000"/>
        </w:rPr>
        <w:t>, což pova</w:t>
      </w:r>
      <w:r>
        <w:rPr>
          <w:rFonts w:ascii="Arial" w:eastAsia="Arial" w:hAnsi="Arial" w:cs="Arial"/>
          <w:color w:val="000000"/>
        </w:rPr>
        <w:t xml:space="preserve">žuji z </w:t>
      </w:r>
      <w:r>
        <w:rPr>
          <w:rFonts w:ascii="Arial" w:eastAsia="Arial" w:hAnsi="Arial" w:cs="Arial"/>
        </w:rPr>
        <w:t>didaktického hlediska za velmi užitečné pro rozvoj logického myšlení žáků.</w:t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Výzkumná část je pokryta dotazníky pro učitele i pro žáky ke zjištění zpětné vazby na realizované hry. Druhý dotazník</w:t>
      </w:r>
      <w:r>
        <w:rPr>
          <w:rFonts w:ascii="Arial" w:eastAsia="Arial" w:hAnsi="Arial" w:cs="Arial"/>
        </w:rPr>
        <w:t xml:space="preserve"> je cílený na</w:t>
      </w:r>
      <w:r>
        <w:rPr>
          <w:rFonts w:ascii="Arial" w:eastAsia="Arial" w:hAnsi="Arial" w:cs="Arial"/>
          <w:color w:val="000000"/>
        </w:rPr>
        <w:t xml:space="preserve"> učitele základních a středních škol k zmapo</w:t>
      </w:r>
      <w:r>
        <w:rPr>
          <w:rFonts w:ascii="Arial" w:eastAsia="Arial" w:hAnsi="Arial" w:cs="Arial"/>
          <w:color w:val="000000"/>
        </w:rPr>
        <w:t xml:space="preserve">vání situace ohledně využívání aktivizačních výukových metod. I když se nepodařilo plně ověřit vymezené výzkumné předpoklady, považuji DP za přínosnou z hlediska učitelské praxe. </w:t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Diplomantka </w:t>
      </w:r>
      <w:r>
        <w:rPr>
          <w:rFonts w:ascii="Arial" w:eastAsia="Arial" w:hAnsi="Arial" w:cs="Arial"/>
        </w:rPr>
        <w:t>pracovala zcela samostatně,</w:t>
      </w:r>
      <w:r>
        <w:rPr>
          <w:rFonts w:ascii="Arial" w:eastAsia="Arial" w:hAnsi="Arial" w:cs="Arial"/>
          <w:color w:val="000000"/>
        </w:rPr>
        <w:t xml:space="preserve"> propojila výraznou měrou matematiku </w:t>
      </w:r>
      <w:r>
        <w:rPr>
          <w:rFonts w:ascii="Arial" w:eastAsia="Arial" w:hAnsi="Arial" w:cs="Arial"/>
          <w:color w:val="000000"/>
        </w:rPr>
        <w:t xml:space="preserve">a informatiku.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color w:val="000000"/>
        </w:rPr>
        <w:t>ráce je psána kultivovaným jazykem, po formální stránce neshledávám žádné nedostatky.</w:t>
      </w:r>
    </w:p>
    <w:tbl>
      <w:tblPr>
        <w:tblStyle w:val="a0"/>
        <w:tblW w:w="92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7372"/>
        <w:gridCol w:w="1842"/>
      </w:tblGrid>
      <w:tr w:rsidR="001B2E03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Mgr.</w:t>
            </w:r>
            <w:bookmarkStart w:id="5" w:name="bookmark=id.tyjcwt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1B2E03" w:rsidRPr="00F1423A" w:rsidRDefault="00F142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F1423A">
              <w:rPr>
                <w:rFonts w:ascii="Arial" w:eastAsia="Arial" w:hAnsi="Arial" w:cs="Arial"/>
                <w:b/>
              </w:rPr>
              <w:t>ANO</w:t>
            </w:r>
          </w:p>
        </w:tc>
      </w:tr>
      <w:tr w:rsidR="001B2E03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6" w:name="bookmark=id.3dy6vkm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Práci 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1B2E03" w:rsidRPr="00F1423A" w:rsidRDefault="00F142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>ANO</w:t>
            </w:r>
          </w:p>
        </w:tc>
      </w:tr>
      <w:tr w:rsidR="001B2E03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7" w:name="bookmark=id.1t3h5sf" w:colFirst="0" w:colLast="0"/>
            <w:bookmarkEnd w:id="7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1B2E03" w:rsidRPr="00F1423A" w:rsidRDefault="00F142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>výborně</w:t>
            </w:r>
          </w:p>
        </w:tc>
      </w:tr>
    </w:tbl>
    <w:p w:rsidR="001B2E03" w:rsidRDefault="008336B7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bookmarkStart w:id="8" w:name="bookmark=id.4d34og8" w:colFirst="0" w:colLast="0"/>
      <w:bookmarkEnd w:id="8"/>
      <w:r>
        <w:rPr>
          <w:rFonts w:ascii="Arial" w:eastAsia="Arial" w:hAnsi="Arial" w:cs="Arial"/>
          <w:color w:val="000000"/>
        </w:rPr>
        <w:t>1. Je nějaký zásadní rozdíl ve využívání aktivizačních výukových metod na 1. stupni ZŠ, 2. stupni ZŠ a střední škole?</w:t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2. Předpoklad P3 se nepodařilo ověřit, přestože je i v souladu s uvedeným citátem. Proč se to nepodařilo? </w:t>
      </w:r>
    </w:p>
    <w:p w:rsidR="001B2E03" w:rsidRDefault="008336B7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3. Co pova</w:t>
      </w:r>
      <w:r>
        <w:rPr>
          <w:rFonts w:ascii="Arial" w:eastAsia="Arial" w:hAnsi="Arial" w:cs="Arial"/>
          <w:color w:val="000000"/>
        </w:rPr>
        <w:t>žujete za největší přínos Vámi vytvořených her?</w:t>
      </w:r>
    </w:p>
    <w:p w:rsidR="001B2E03" w:rsidRDefault="001B2E03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1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1B2E03">
        <w:tc>
          <w:tcPr>
            <w:tcW w:w="1101" w:type="dxa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bookmarkStart w:id="9" w:name="_GoBack" w:colFirst="1" w:colLast="1"/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:rsidR="001B2E03" w:rsidRPr="00F1423A" w:rsidRDefault="008336B7" w:rsidP="00F142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F1423A">
              <w:rPr>
                <w:rFonts w:ascii="Arial" w:eastAsia="Arial" w:hAnsi="Arial" w:cs="Arial"/>
                <w:sz w:val="20"/>
                <w:szCs w:val="20"/>
              </w:rPr>
              <w:t>11</w:t>
            </w:r>
            <w:r w:rsidRPr="00F1423A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 w:rsidR="00F1423A" w:rsidRPr="00F1423A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05</w:t>
            </w:r>
            <w:r w:rsidRPr="00F1423A">
              <w:rPr>
                <w:rFonts w:ascii="Arial" w:eastAsia="Arial" w:hAnsi="Arial" w:cs="Arial"/>
                <w:color w:val="000000"/>
                <w:sz w:val="20"/>
                <w:szCs w:val="20"/>
              </w:rPr>
              <w:t>.</w:t>
            </w:r>
            <w:r w:rsidR="00F1423A" w:rsidRPr="00F1423A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F1423A">
              <w:rPr>
                <w:rFonts w:ascii="Arial" w:eastAsia="Arial" w:hAnsi="Arial" w:cs="Arial"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2693" w:type="dxa"/>
          </w:tcPr>
          <w:p w:rsidR="001B2E03" w:rsidRDefault="008336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</w:rPr>
              <w:t>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:rsidR="001B2E03" w:rsidRDefault="001B2E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  <w:bookmarkEnd w:id="9"/>
    </w:tbl>
    <w:p w:rsidR="001B2E03" w:rsidRDefault="001B2E03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</w:p>
    <w:sectPr w:rsidR="001B2E03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36B7" w:rsidRDefault="008336B7">
      <w:pPr>
        <w:spacing w:after="0" w:line="240" w:lineRule="auto"/>
        <w:ind w:left="0" w:hanging="2"/>
      </w:pPr>
      <w:r>
        <w:separator/>
      </w:r>
    </w:p>
  </w:endnote>
  <w:endnote w:type="continuationSeparator" w:id="0">
    <w:p w:rsidR="008336B7" w:rsidRDefault="008336B7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2E03" w:rsidRDefault="008336B7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</w:t>
    </w:r>
    <w:r>
      <w:rPr>
        <w:rFonts w:ascii="Arial" w:eastAsia="Arial" w:hAnsi="Arial" w:cs="Arial"/>
        <w:i/>
        <w:color w:val="000000"/>
        <w:sz w:val="12"/>
        <w:szCs w:val="12"/>
      </w:rPr>
      <w:t xml:space="preserve">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 w:rsidR="00F1423A"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F1423A">
      <w:rPr>
        <w:rFonts w:ascii="Arial" w:eastAsia="Arial" w:hAnsi="Arial" w:cs="Arial"/>
        <w:noProof/>
        <w:color w:val="000000"/>
        <w:sz w:val="14"/>
        <w:szCs w:val="14"/>
      </w:rPr>
      <w:t>1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Hodnocení DP vedoucím práce, verze 1/2016.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2E03" w:rsidRDefault="008336B7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36B7" w:rsidRDefault="008336B7">
      <w:pPr>
        <w:spacing w:after="0" w:line="240" w:lineRule="auto"/>
        <w:ind w:left="0" w:hanging="2"/>
      </w:pPr>
      <w:r>
        <w:separator/>
      </w:r>
    </w:p>
  </w:footnote>
  <w:footnote w:type="continuationSeparator" w:id="0">
    <w:p w:rsidR="008336B7" w:rsidRDefault="008336B7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E945C7"/>
    <w:multiLevelType w:val="multilevel"/>
    <w:tmpl w:val="3A484172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E03"/>
    <w:rsid w:val="001B2E03"/>
    <w:rsid w:val="008336B7"/>
    <w:rsid w:val="00F14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F0924C1-9EB6-4F99-B5B4-083A6928F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titul">
    <w:name w:val="Subtitle"/>
    <w:basedOn w:val="Normln"/>
    <w:next w:val="Norml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Xpt1MpS5pYPh0xb4sVT5O1Ao1bA==">AMUW2mUTcsmvYBHwto5JbK83+gviHaBhKgDi+RErOrf4Htlgtl1CRZ+PK4Fw1d6kDsdzSFnlv0Icbpg104Hj5ZvgbC9bQcHUTM7ViG8w452mpFg5yr5ssA6rxv0bHo5bvftZHJJNMwWdIJnmSSDVZcFFNHueY14aMmf+rCFZIKoF0El9ciLUaz97JY5rGvabUrETUVnL0Mdq7GM0o5lFhY6lSnlLEJ2T7ZVId7TufgbuVKiflLV8uWANLTLwrnrr6hHlBhOLFRFAWGWbcr1cKKKAlpjK0eJpCga5srRi7ci6mfArGzBR0J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617</Words>
  <Characters>3641</Characters>
  <Application>Microsoft Office Word</Application>
  <DocSecurity>0</DocSecurity>
  <Lines>30</Lines>
  <Paragraphs>8</Paragraphs>
  <ScaleCrop>false</ScaleCrop>
  <Company>Technická univerzita v Liberci</Company>
  <LinksUpToDate>false</LinksUpToDate>
  <CharactersWithSpaces>4250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Jana Příhonská</cp:lastModifiedBy>
  <cp:revision>2</cp:revision>
  <dcterms:created xsi:type="dcterms:W3CDTF">2023-04-24T08:38:00Z</dcterms:created>
  <dcterms:modified xsi:type="dcterms:W3CDTF">2023-05-11T08:31:00Z</dcterms:modified>
</cp:coreProperties>
</file>