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B45" w:rsidRPr="00750EBD" w:rsidRDefault="00FD7B45" w:rsidP="00750EBD">
      <w:pPr>
        <w:spacing w:line="240" w:lineRule="auto"/>
        <w:jc w:val="center"/>
        <w:rPr>
          <w:sz w:val="44"/>
          <w:szCs w:val="44"/>
        </w:rPr>
      </w:pPr>
      <w:r w:rsidRPr="00750EBD">
        <w:rPr>
          <w:sz w:val="44"/>
          <w:szCs w:val="44"/>
        </w:rPr>
        <w:t>Technická Univerzita v Liberci</w:t>
      </w:r>
    </w:p>
    <w:p w:rsidR="00FD7B45" w:rsidRPr="00B7218F" w:rsidRDefault="00FD7B45" w:rsidP="00AA1417">
      <w:pPr>
        <w:spacing w:line="240" w:lineRule="auto"/>
      </w:pPr>
    </w:p>
    <w:p w:rsidR="00FD7B45" w:rsidRPr="00750EBD" w:rsidRDefault="00FD7B45" w:rsidP="00750EBD">
      <w:pPr>
        <w:spacing w:line="240" w:lineRule="auto"/>
        <w:jc w:val="center"/>
        <w:rPr>
          <w:sz w:val="40"/>
          <w:szCs w:val="40"/>
        </w:rPr>
      </w:pPr>
      <w:r w:rsidRPr="00750EBD">
        <w:rPr>
          <w:sz w:val="40"/>
          <w:szCs w:val="40"/>
        </w:rPr>
        <w:t>Ekonomická fakulta</w:t>
      </w:r>
    </w:p>
    <w:p w:rsidR="00FD7B45" w:rsidRPr="00B7218F" w:rsidRDefault="00FD7B45" w:rsidP="00AA1417">
      <w:pPr>
        <w:spacing w:line="240" w:lineRule="auto"/>
      </w:pPr>
    </w:p>
    <w:p w:rsidR="00FD7B45"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Default="00A02874" w:rsidP="00750EBD">
      <w:pPr>
        <w:spacing w:line="240" w:lineRule="auto"/>
        <w:jc w:val="center"/>
      </w:pPr>
      <w:r>
        <w:rPr>
          <w:noProof/>
          <w:lang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1" o:spid="_x0000_i1025" type="#_x0000_t75" style="width:167.25pt;height:167.25pt;visibility:visible">
            <v:imagedata r:id="rId7" o:title=""/>
          </v:shape>
        </w:pict>
      </w:r>
    </w:p>
    <w:p w:rsidR="00FD7B45" w:rsidRDefault="00FD7B45" w:rsidP="00750EBD">
      <w:pPr>
        <w:spacing w:line="240" w:lineRule="auto"/>
        <w:jc w:val="center"/>
      </w:pPr>
    </w:p>
    <w:p w:rsidR="00FD7B45" w:rsidRDefault="00FD7B45" w:rsidP="00750EBD">
      <w:pPr>
        <w:spacing w:line="240" w:lineRule="auto"/>
        <w:jc w:val="center"/>
      </w:pPr>
    </w:p>
    <w:p w:rsidR="00FD7B45" w:rsidRDefault="00FD7B45" w:rsidP="00750EBD">
      <w:pPr>
        <w:spacing w:line="240" w:lineRule="auto"/>
        <w:jc w:val="center"/>
      </w:pPr>
    </w:p>
    <w:p w:rsidR="00FD7B45" w:rsidRDefault="00FD7B45" w:rsidP="00750EBD">
      <w:pPr>
        <w:spacing w:line="240" w:lineRule="auto"/>
        <w:jc w:val="center"/>
      </w:pPr>
    </w:p>
    <w:p w:rsidR="00FD7B45" w:rsidRPr="00B7218F" w:rsidRDefault="00FD7B45" w:rsidP="00750EBD">
      <w:pPr>
        <w:spacing w:line="240" w:lineRule="auto"/>
        <w:jc w:val="center"/>
      </w:pPr>
    </w:p>
    <w:p w:rsidR="00FD7B45" w:rsidRPr="00B7218F" w:rsidRDefault="00FD7B45" w:rsidP="00335852">
      <w:pPr>
        <w:pStyle w:val="Titulekprce"/>
      </w:pPr>
    </w:p>
    <w:p w:rsidR="00FD7B45" w:rsidRPr="00B7218F" w:rsidRDefault="00FD7B45" w:rsidP="00335852">
      <w:pPr>
        <w:pStyle w:val="Titulekprce"/>
      </w:pPr>
    </w:p>
    <w:p w:rsidR="00FD7B45" w:rsidRPr="00750EBD" w:rsidRDefault="00FD7B45" w:rsidP="00335852">
      <w:pPr>
        <w:pStyle w:val="Titulekprce"/>
        <w:rPr>
          <w:sz w:val="40"/>
          <w:szCs w:val="40"/>
        </w:rPr>
      </w:pPr>
      <w:r w:rsidRPr="00750EBD">
        <w:rPr>
          <w:sz w:val="40"/>
          <w:szCs w:val="40"/>
        </w:rPr>
        <w:t>DIPLOMOVÁ PRÁCE</w:t>
      </w: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B7218F" w:rsidRDefault="00FD7B45" w:rsidP="00AA1417">
      <w:pPr>
        <w:spacing w:line="240" w:lineRule="auto"/>
      </w:pPr>
    </w:p>
    <w:p w:rsidR="00FD7B45" w:rsidRPr="00750EBD" w:rsidRDefault="00FD7B45" w:rsidP="00AA1417">
      <w:pPr>
        <w:spacing w:line="240" w:lineRule="auto"/>
        <w:rPr>
          <w:sz w:val="36"/>
          <w:szCs w:val="36"/>
        </w:rPr>
      </w:pPr>
    </w:p>
    <w:p w:rsidR="00FD7B45" w:rsidRPr="00750EBD" w:rsidRDefault="00FD7B45" w:rsidP="00AA1417">
      <w:pPr>
        <w:spacing w:line="240" w:lineRule="auto"/>
        <w:rPr>
          <w:sz w:val="36"/>
          <w:szCs w:val="36"/>
        </w:rPr>
      </w:pPr>
      <w:r w:rsidRPr="00750EBD">
        <w:rPr>
          <w:sz w:val="36"/>
          <w:szCs w:val="36"/>
        </w:rPr>
        <w:t>2011</w:t>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sidRPr="00750EBD">
        <w:rPr>
          <w:sz w:val="36"/>
          <w:szCs w:val="36"/>
        </w:rPr>
        <w:t>Bc. Lucie Vokáčová</w:t>
      </w:r>
    </w:p>
    <w:p w:rsidR="00FD7B45" w:rsidRPr="00B7218F" w:rsidRDefault="00FD7B45" w:rsidP="00AA1417">
      <w:pPr>
        <w:spacing w:line="240" w:lineRule="auto"/>
        <w:jc w:val="center"/>
      </w:pPr>
    </w:p>
    <w:p w:rsidR="00FD7B45" w:rsidRPr="00B7218F" w:rsidRDefault="00FD7B45" w:rsidP="00AA1417">
      <w:pPr>
        <w:spacing w:line="240" w:lineRule="auto"/>
        <w:jc w:val="center"/>
      </w:pPr>
    </w:p>
    <w:p w:rsidR="00FD7B45" w:rsidRPr="00ED52D3" w:rsidRDefault="00FD7B45" w:rsidP="00AA1417">
      <w:pPr>
        <w:spacing w:line="240" w:lineRule="auto"/>
        <w:jc w:val="center"/>
        <w:rPr>
          <w:sz w:val="44"/>
          <w:szCs w:val="44"/>
        </w:rPr>
      </w:pPr>
      <w:r w:rsidRPr="00ED52D3">
        <w:rPr>
          <w:sz w:val="44"/>
          <w:szCs w:val="44"/>
        </w:rPr>
        <w:lastRenderedPageBreak/>
        <w:t>Technická univerzita v Liberci</w:t>
      </w:r>
    </w:p>
    <w:p w:rsidR="00FD7B45" w:rsidRPr="00ED52D3" w:rsidRDefault="00FD7B45" w:rsidP="00AA1417">
      <w:pPr>
        <w:spacing w:line="240" w:lineRule="auto"/>
        <w:jc w:val="center"/>
        <w:rPr>
          <w:sz w:val="40"/>
          <w:szCs w:val="40"/>
        </w:rPr>
      </w:pPr>
      <w:r w:rsidRPr="00ED52D3">
        <w:rPr>
          <w:sz w:val="40"/>
          <w:szCs w:val="40"/>
        </w:rPr>
        <w:t>Ekonomická fakulta</w:t>
      </w:r>
    </w:p>
    <w:p w:rsidR="00FD7B45" w:rsidRPr="00B7218F" w:rsidRDefault="00FD7B45" w:rsidP="00AA1417">
      <w:pPr>
        <w:spacing w:line="240" w:lineRule="auto"/>
        <w:jc w:val="center"/>
        <w:rPr>
          <w:sz w:val="28"/>
        </w:rPr>
      </w:pPr>
    </w:p>
    <w:p w:rsidR="00FD7B45" w:rsidRPr="00B7218F" w:rsidRDefault="00FD7B45" w:rsidP="006E036D">
      <w:pPr>
        <w:spacing w:line="240" w:lineRule="auto"/>
      </w:pPr>
      <w:r w:rsidRPr="00B7218F">
        <w:t xml:space="preserve">Studijní program: </w:t>
      </w:r>
      <w:r w:rsidRPr="00B7218F">
        <w:tab/>
      </w:r>
      <w:r w:rsidRPr="00B7218F">
        <w:rPr>
          <w:b/>
        </w:rPr>
        <w:t xml:space="preserve">N </w:t>
      </w:r>
      <w:proofErr w:type="gramStart"/>
      <w:r w:rsidRPr="00B7218F">
        <w:rPr>
          <w:b/>
        </w:rPr>
        <w:t>6208  Ekonomika</w:t>
      </w:r>
      <w:proofErr w:type="gramEnd"/>
      <w:r w:rsidRPr="00B7218F">
        <w:rPr>
          <w:b/>
        </w:rPr>
        <w:t xml:space="preserve"> a management</w:t>
      </w:r>
    </w:p>
    <w:p w:rsidR="00FD7B45" w:rsidRPr="00B7218F" w:rsidRDefault="00FD7B45" w:rsidP="006E036D">
      <w:pPr>
        <w:spacing w:line="240" w:lineRule="auto"/>
      </w:pPr>
      <w:r w:rsidRPr="00B7218F">
        <w:t>Studijní obor:</w:t>
      </w:r>
      <w:r w:rsidRPr="00B7218F">
        <w:tab/>
        <w:t xml:space="preserve">      </w:t>
      </w:r>
      <w:r w:rsidRPr="00B7218F">
        <w:tab/>
      </w:r>
      <w:r w:rsidRPr="00B7218F">
        <w:rPr>
          <w:b/>
        </w:rPr>
        <w:t>Podniková ekonomika</w:t>
      </w:r>
    </w:p>
    <w:p w:rsidR="00FD7B45" w:rsidRPr="00B7218F" w:rsidRDefault="00FD7B45" w:rsidP="006E036D">
      <w:pPr>
        <w:spacing w:line="240" w:lineRule="auto"/>
      </w:pPr>
    </w:p>
    <w:p w:rsidR="00FD7B45" w:rsidRPr="00B7218F" w:rsidRDefault="00FD7B45" w:rsidP="006E036D">
      <w:pPr>
        <w:spacing w:line="240" w:lineRule="auto"/>
        <w:jc w:val="center"/>
        <w:rPr>
          <w:szCs w:val="24"/>
          <w:lang w:eastAsia="cs-CZ"/>
        </w:rPr>
      </w:pPr>
    </w:p>
    <w:p w:rsidR="00FD7B45" w:rsidRPr="00B7218F" w:rsidRDefault="00FD7B45" w:rsidP="006E036D">
      <w:pPr>
        <w:spacing w:line="240" w:lineRule="auto"/>
        <w:jc w:val="center"/>
        <w:rPr>
          <w:szCs w:val="24"/>
          <w:lang w:eastAsia="cs-CZ"/>
        </w:rPr>
      </w:pPr>
    </w:p>
    <w:p w:rsidR="00FD7B45" w:rsidRPr="00B7218F" w:rsidRDefault="00FD7B45" w:rsidP="006E036D">
      <w:pPr>
        <w:spacing w:line="240" w:lineRule="auto"/>
        <w:jc w:val="center"/>
        <w:rPr>
          <w:szCs w:val="24"/>
          <w:lang w:eastAsia="cs-CZ"/>
        </w:rPr>
      </w:pPr>
    </w:p>
    <w:p w:rsidR="00FD7B45" w:rsidRPr="00B7218F" w:rsidRDefault="00FD7B45" w:rsidP="006E036D">
      <w:pPr>
        <w:spacing w:line="240" w:lineRule="auto"/>
        <w:jc w:val="center"/>
        <w:rPr>
          <w:szCs w:val="24"/>
          <w:lang w:eastAsia="cs-CZ"/>
        </w:rPr>
      </w:pPr>
    </w:p>
    <w:p w:rsidR="00FD7B45" w:rsidRPr="00B7218F" w:rsidRDefault="00FD7B45" w:rsidP="006E036D">
      <w:pPr>
        <w:spacing w:line="240" w:lineRule="auto"/>
        <w:jc w:val="center"/>
        <w:rPr>
          <w:szCs w:val="24"/>
          <w:lang w:eastAsia="cs-CZ"/>
        </w:rPr>
      </w:pPr>
    </w:p>
    <w:p w:rsidR="00FD7B45" w:rsidRPr="00ED52D3" w:rsidRDefault="00FD7B45" w:rsidP="006E036D">
      <w:pPr>
        <w:spacing w:line="240" w:lineRule="auto"/>
        <w:jc w:val="center"/>
        <w:rPr>
          <w:b/>
          <w:sz w:val="36"/>
          <w:szCs w:val="36"/>
        </w:rPr>
      </w:pPr>
      <w:r w:rsidRPr="00ED52D3">
        <w:rPr>
          <w:b/>
          <w:sz w:val="36"/>
          <w:szCs w:val="36"/>
          <w:lang w:eastAsia="cs-CZ"/>
        </w:rPr>
        <w:t>Dosavadní zkušenosti Slovinska se zavedením eura</w:t>
      </w:r>
      <w:r w:rsidRPr="00ED52D3">
        <w:rPr>
          <w:b/>
          <w:sz w:val="36"/>
          <w:szCs w:val="36"/>
        </w:rPr>
        <w:t xml:space="preserve"> </w:t>
      </w:r>
    </w:p>
    <w:p w:rsidR="00FD7B45" w:rsidRPr="00ED52D3" w:rsidRDefault="00FD7B45" w:rsidP="006E036D">
      <w:pPr>
        <w:spacing w:line="240" w:lineRule="auto"/>
        <w:jc w:val="center"/>
        <w:rPr>
          <w:b/>
          <w:sz w:val="36"/>
          <w:szCs w:val="36"/>
        </w:rPr>
      </w:pPr>
    </w:p>
    <w:p w:rsidR="00FD7B45" w:rsidRPr="00ED52D3" w:rsidRDefault="00FD7B45" w:rsidP="00932844">
      <w:pPr>
        <w:spacing w:line="240" w:lineRule="auto"/>
        <w:jc w:val="center"/>
        <w:rPr>
          <w:b/>
          <w:sz w:val="36"/>
          <w:szCs w:val="36"/>
          <w:lang w:eastAsia="cs-CZ"/>
        </w:rPr>
      </w:pPr>
      <w:proofErr w:type="spellStart"/>
      <w:r w:rsidRPr="00ED52D3">
        <w:rPr>
          <w:b/>
          <w:sz w:val="32"/>
          <w:szCs w:val="36"/>
          <w:lang w:eastAsia="cs-CZ"/>
        </w:rPr>
        <w:t>The</w:t>
      </w:r>
      <w:proofErr w:type="spellEnd"/>
      <w:r w:rsidRPr="00ED52D3">
        <w:rPr>
          <w:b/>
          <w:sz w:val="32"/>
          <w:szCs w:val="36"/>
          <w:lang w:eastAsia="cs-CZ"/>
        </w:rPr>
        <w:t xml:space="preserve"> </w:t>
      </w:r>
      <w:proofErr w:type="spellStart"/>
      <w:r w:rsidRPr="00ED52D3">
        <w:rPr>
          <w:b/>
          <w:sz w:val="32"/>
          <w:szCs w:val="36"/>
          <w:lang w:eastAsia="cs-CZ"/>
        </w:rPr>
        <w:t>current</w:t>
      </w:r>
      <w:proofErr w:type="spellEnd"/>
      <w:r w:rsidRPr="00ED52D3">
        <w:rPr>
          <w:b/>
          <w:sz w:val="32"/>
          <w:szCs w:val="36"/>
          <w:lang w:eastAsia="cs-CZ"/>
        </w:rPr>
        <w:t xml:space="preserve"> </w:t>
      </w:r>
      <w:proofErr w:type="spellStart"/>
      <w:r w:rsidRPr="00ED52D3">
        <w:rPr>
          <w:b/>
          <w:sz w:val="32"/>
          <w:szCs w:val="36"/>
          <w:lang w:eastAsia="cs-CZ"/>
        </w:rPr>
        <w:t>experience</w:t>
      </w:r>
      <w:proofErr w:type="spellEnd"/>
      <w:r w:rsidRPr="00ED52D3">
        <w:rPr>
          <w:b/>
          <w:sz w:val="32"/>
          <w:szCs w:val="36"/>
          <w:lang w:eastAsia="cs-CZ"/>
        </w:rPr>
        <w:t xml:space="preserve"> </w:t>
      </w:r>
      <w:proofErr w:type="spellStart"/>
      <w:r w:rsidRPr="00ED52D3">
        <w:rPr>
          <w:b/>
          <w:sz w:val="32"/>
          <w:szCs w:val="36"/>
          <w:lang w:eastAsia="cs-CZ"/>
        </w:rPr>
        <w:t>of</w:t>
      </w:r>
      <w:proofErr w:type="spellEnd"/>
      <w:r w:rsidRPr="00ED52D3">
        <w:rPr>
          <w:b/>
          <w:sz w:val="32"/>
          <w:szCs w:val="36"/>
          <w:lang w:eastAsia="cs-CZ"/>
        </w:rPr>
        <w:t xml:space="preserve"> </w:t>
      </w:r>
      <w:proofErr w:type="spellStart"/>
      <w:r w:rsidRPr="00ED52D3">
        <w:rPr>
          <w:b/>
          <w:sz w:val="32"/>
          <w:szCs w:val="36"/>
          <w:lang w:eastAsia="cs-CZ"/>
        </w:rPr>
        <w:t>Slovenia</w:t>
      </w:r>
      <w:proofErr w:type="spellEnd"/>
      <w:r w:rsidRPr="00ED52D3">
        <w:rPr>
          <w:b/>
          <w:sz w:val="32"/>
          <w:szCs w:val="36"/>
          <w:lang w:eastAsia="cs-CZ"/>
        </w:rPr>
        <w:t xml:space="preserve"> </w:t>
      </w:r>
      <w:proofErr w:type="spellStart"/>
      <w:r w:rsidRPr="00ED52D3">
        <w:rPr>
          <w:b/>
          <w:sz w:val="32"/>
          <w:szCs w:val="36"/>
          <w:lang w:eastAsia="cs-CZ"/>
        </w:rPr>
        <w:t>with</w:t>
      </w:r>
      <w:proofErr w:type="spellEnd"/>
      <w:r w:rsidRPr="00ED52D3">
        <w:rPr>
          <w:b/>
          <w:sz w:val="32"/>
          <w:szCs w:val="36"/>
          <w:lang w:eastAsia="cs-CZ"/>
        </w:rPr>
        <w:t xml:space="preserve"> </w:t>
      </w:r>
      <w:proofErr w:type="spellStart"/>
      <w:r w:rsidRPr="00ED52D3">
        <w:rPr>
          <w:b/>
          <w:sz w:val="32"/>
          <w:szCs w:val="36"/>
          <w:lang w:eastAsia="cs-CZ"/>
        </w:rPr>
        <w:t>the</w:t>
      </w:r>
      <w:proofErr w:type="spellEnd"/>
      <w:r w:rsidRPr="00ED52D3">
        <w:rPr>
          <w:b/>
          <w:sz w:val="32"/>
          <w:szCs w:val="36"/>
          <w:lang w:eastAsia="cs-CZ"/>
        </w:rPr>
        <w:t xml:space="preserve"> </w:t>
      </w:r>
      <w:proofErr w:type="spellStart"/>
      <w:r w:rsidRPr="00ED52D3">
        <w:rPr>
          <w:b/>
          <w:sz w:val="36"/>
          <w:szCs w:val="36"/>
          <w:lang w:eastAsia="cs-CZ"/>
        </w:rPr>
        <w:t>implementation</w:t>
      </w:r>
      <w:proofErr w:type="spellEnd"/>
      <w:r w:rsidRPr="00ED52D3">
        <w:rPr>
          <w:b/>
          <w:sz w:val="36"/>
          <w:szCs w:val="36"/>
          <w:lang w:eastAsia="cs-CZ"/>
        </w:rPr>
        <w:t xml:space="preserve"> </w:t>
      </w:r>
      <w:proofErr w:type="spellStart"/>
      <w:r w:rsidRPr="00ED52D3">
        <w:rPr>
          <w:b/>
          <w:sz w:val="32"/>
          <w:szCs w:val="36"/>
          <w:lang w:eastAsia="cs-CZ"/>
        </w:rPr>
        <w:t>of</w:t>
      </w:r>
      <w:proofErr w:type="spellEnd"/>
      <w:r w:rsidRPr="00ED52D3">
        <w:rPr>
          <w:b/>
          <w:sz w:val="32"/>
          <w:szCs w:val="36"/>
          <w:lang w:eastAsia="cs-CZ"/>
        </w:rPr>
        <w:t xml:space="preserve"> Euro</w:t>
      </w:r>
    </w:p>
    <w:p w:rsidR="00FD7B45" w:rsidRPr="00B7218F" w:rsidRDefault="00FD7B45" w:rsidP="00932844">
      <w:pPr>
        <w:spacing w:line="240" w:lineRule="auto"/>
        <w:jc w:val="center"/>
        <w:rPr>
          <w:sz w:val="28"/>
        </w:rPr>
      </w:pPr>
    </w:p>
    <w:p w:rsidR="00FD7B45" w:rsidRDefault="00FD7B45" w:rsidP="004A06BD">
      <w:pPr>
        <w:spacing w:line="240" w:lineRule="auto"/>
        <w:jc w:val="center"/>
        <w:rPr>
          <w:sz w:val="28"/>
        </w:rPr>
      </w:pPr>
    </w:p>
    <w:p w:rsidR="00FD7B45" w:rsidRDefault="00FD7B45" w:rsidP="004A06BD">
      <w:pPr>
        <w:spacing w:line="240" w:lineRule="auto"/>
        <w:jc w:val="center"/>
        <w:rPr>
          <w:sz w:val="28"/>
        </w:rPr>
      </w:pPr>
    </w:p>
    <w:p w:rsidR="00FD7B45" w:rsidRPr="00B7218F" w:rsidRDefault="00FD7B45" w:rsidP="004A06BD">
      <w:pPr>
        <w:spacing w:line="240" w:lineRule="auto"/>
        <w:jc w:val="center"/>
        <w:rPr>
          <w:sz w:val="28"/>
        </w:rPr>
      </w:pPr>
      <w:proofErr w:type="spellStart"/>
      <w:r w:rsidRPr="00B7218F">
        <w:rPr>
          <w:sz w:val="28"/>
        </w:rPr>
        <w:t>DP</w:t>
      </w:r>
      <w:proofErr w:type="spellEnd"/>
      <w:r w:rsidRPr="00B7218F">
        <w:rPr>
          <w:sz w:val="28"/>
        </w:rPr>
        <w:t>-</w:t>
      </w:r>
      <w:proofErr w:type="spellStart"/>
      <w:r w:rsidRPr="00B7218F">
        <w:rPr>
          <w:sz w:val="28"/>
        </w:rPr>
        <w:t>EF</w:t>
      </w:r>
      <w:proofErr w:type="spellEnd"/>
      <w:r w:rsidRPr="00B7218F">
        <w:rPr>
          <w:sz w:val="28"/>
        </w:rPr>
        <w:t>-</w:t>
      </w:r>
      <w:proofErr w:type="spellStart"/>
      <w:r w:rsidRPr="00B7218F">
        <w:rPr>
          <w:sz w:val="28"/>
        </w:rPr>
        <w:t>KEK</w:t>
      </w:r>
      <w:proofErr w:type="spellEnd"/>
      <w:r w:rsidRPr="00B7218F">
        <w:rPr>
          <w:sz w:val="28"/>
        </w:rPr>
        <w:t>-2011-</w:t>
      </w:r>
      <w:r>
        <w:rPr>
          <w:sz w:val="28"/>
        </w:rPr>
        <w:t>73</w:t>
      </w:r>
    </w:p>
    <w:p w:rsidR="00FD7B45" w:rsidRDefault="00FD7B45" w:rsidP="004A06BD">
      <w:pPr>
        <w:spacing w:line="240" w:lineRule="auto"/>
        <w:jc w:val="center"/>
        <w:rPr>
          <w:sz w:val="28"/>
        </w:rPr>
      </w:pPr>
    </w:p>
    <w:p w:rsidR="00FD7B45" w:rsidRPr="00B7218F" w:rsidRDefault="00FD7B45" w:rsidP="004A06BD">
      <w:pPr>
        <w:spacing w:line="240" w:lineRule="auto"/>
        <w:jc w:val="center"/>
        <w:rPr>
          <w:sz w:val="32"/>
        </w:rPr>
      </w:pPr>
      <w:r w:rsidRPr="00B7218F">
        <w:rPr>
          <w:sz w:val="28"/>
        </w:rPr>
        <w:t>Bc. Lucie Vokáčová</w:t>
      </w: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r w:rsidRPr="00B7218F">
        <w:t>Vedoucí práce:</w:t>
      </w:r>
      <w:r>
        <w:tab/>
      </w:r>
      <w:r w:rsidRPr="00B7218F">
        <w:t xml:space="preserve"> PhDr. Ing. Pavla Bednářová, </w:t>
      </w:r>
      <w:proofErr w:type="spellStart"/>
      <w:r w:rsidRPr="00B7218F">
        <w:t>Ph.D</w:t>
      </w:r>
      <w:proofErr w:type="spellEnd"/>
      <w:r w:rsidRPr="00B7218F">
        <w:t>., katedra ekonomie</w:t>
      </w:r>
    </w:p>
    <w:p w:rsidR="00FD7B45" w:rsidRPr="00B7218F" w:rsidRDefault="00FD7B45" w:rsidP="006E036D">
      <w:pPr>
        <w:spacing w:line="240" w:lineRule="auto"/>
      </w:pPr>
      <w:r w:rsidRPr="00B7218F">
        <w:t>Konzultant:</w:t>
      </w:r>
      <w:r>
        <w:tab/>
      </w:r>
      <w:r>
        <w:tab/>
      </w:r>
      <w:r w:rsidRPr="00B7218F">
        <w:t xml:space="preserve"> Ing. Michal Benda, s</w:t>
      </w:r>
      <w:r>
        <w:t>poleč</w:t>
      </w:r>
      <w:r w:rsidRPr="00B7218F">
        <w:t xml:space="preserve">nost </w:t>
      </w:r>
      <w:proofErr w:type="spellStart"/>
      <w:r w:rsidRPr="00B7218F">
        <w:t>Protool</w:t>
      </w:r>
      <w:proofErr w:type="spellEnd"/>
      <w:r w:rsidRPr="00B7218F">
        <w:t xml:space="preserve"> s.r.o.</w:t>
      </w:r>
    </w:p>
    <w:p w:rsidR="00FD7B45" w:rsidRPr="00B7218F" w:rsidRDefault="00FD7B45" w:rsidP="006E036D">
      <w:pPr>
        <w:spacing w:line="240" w:lineRule="auto"/>
      </w:pPr>
    </w:p>
    <w:p w:rsidR="00FD7B45" w:rsidRDefault="00FD7B45" w:rsidP="006E036D">
      <w:pPr>
        <w:spacing w:line="240" w:lineRule="auto"/>
      </w:pPr>
    </w:p>
    <w:p w:rsidR="00FD7B45" w:rsidRPr="00B7218F" w:rsidRDefault="00FD7B45" w:rsidP="006E036D">
      <w:pPr>
        <w:spacing w:line="240" w:lineRule="auto"/>
      </w:pPr>
      <w:r w:rsidRPr="00B7218F">
        <w:t>Počet stran:</w:t>
      </w:r>
      <w:r w:rsidRPr="00B7218F">
        <w:tab/>
      </w:r>
      <w:r w:rsidRPr="00B7218F">
        <w:tab/>
      </w:r>
      <w:r>
        <w:t>108</w:t>
      </w:r>
      <w:r w:rsidRPr="00B7218F">
        <w:tab/>
      </w:r>
      <w:r w:rsidRPr="00B7218F">
        <w:tab/>
      </w:r>
      <w:r w:rsidRPr="00B7218F">
        <w:tab/>
      </w:r>
      <w:r w:rsidRPr="00B7218F">
        <w:tab/>
      </w:r>
      <w:r w:rsidRPr="00B7218F">
        <w:tab/>
      </w:r>
      <w:r w:rsidRPr="00B7218F">
        <w:tab/>
        <w:t>Počet příloh:</w:t>
      </w:r>
      <w:r>
        <w:t xml:space="preserve"> 0</w:t>
      </w:r>
    </w:p>
    <w:p w:rsidR="00FD7B45" w:rsidRPr="00B7218F" w:rsidRDefault="00FD7B45" w:rsidP="006E036D">
      <w:pPr>
        <w:spacing w:line="240" w:lineRule="auto"/>
      </w:pPr>
    </w:p>
    <w:p w:rsidR="00FD7B45" w:rsidRPr="00B7218F" w:rsidRDefault="00FD7B45" w:rsidP="006E036D">
      <w:pPr>
        <w:spacing w:line="240" w:lineRule="auto"/>
      </w:pPr>
      <w:r w:rsidRPr="00B7218F">
        <w:t>Datum odevzdání</w:t>
      </w:r>
      <w:r>
        <w:t>:</w:t>
      </w:r>
      <w:r>
        <w:tab/>
        <w:t>3. 1. 2011</w:t>
      </w:r>
    </w:p>
    <w:p w:rsidR="00FD7B45" w:rsidRPr="00B7218F" w:rsidRDefault="00FD7B45" w:rsidP="00870EB2">
      <w:pPr>
        <w:autoSpaceDE w:val="0"/>
        <w:autoSpaceDN w:val="0"/>
        <w:adjustRightInd w:val="0"/>
        <w:rPr>
          <w:i/>
          <w:iCs/>
        </w:rPr>
      </w:pPr>
    </w:p>
    <w:p w:rsidR="00FD7B45" w:rsidRPr="00B7218F" w:rsidRDefault="00FD7B45" w:rsidP="00870EB2">
      <w:pPr>
        <w:autoSpaceDE w:val="0"/>
        <w:autoSpaceDN w:val="0"/>
        <w:adjustRightInd w:val="0"/>
        <w:rPr>
          <w:i/>
          <w:iCs/>
        </w:rPr>
      </w:pPr>
    </w:p>
    <w:p w:rsidR="00FD7B45" w:rsidRPr="00B7218F" w:rsidRDefault="00FD7B45" w:rsidP="00870EB2">
      <w:pPr>
        <w:autoSpaceDE w:val="0"/>
        <w:autoSpaceDN w:val="0"/>
        <w:adjustRightInd w:val="0"/>
        <w:rPr>
          <w:i/>
          <w:iCs/>
        </w:rPr>
      </w:pPr>
    </w:p>
    <w:p w:rsidR="00FD7B45" w:rsidRDefault="00FD7B45" w:rsidP="00870EB2">
      <w:pPr>
        <w:pStyle w:val="Nadpis"/>
        <w:keepNext/>
        <w:keepLines/>
        <w:pageBreakBefore/>
      </w:pPr>
    </w:p>
    <w:p w:rsidR="00FD7B45" w:rsidRPr="00B7218F" w:rsidRDefault="00FD7B45" w:rsidP="00870EB2">
      <w:pPr>
        <w:pStyle w:val="Nadpis"/>
        <w:keepNext/>
        <w:keepLines/>
        <w:pageBreakBefore/>
      </w:pPr>
      <w:r w:rsidRPr="00B7218F">
        <w:lastRenderedPageBreak/>
        <w:t>Prohlášení</w:t>
      </w:r>
    </w:p>
    <w:p w:rsidR="00FD7B45" w:rsidRPr="00B7218F" w:rsidRDefault="00FD7B45" w:rsidP="00870EB2">
      <w:r w:rsidRPr="00B7218F">
        <w:t>Byla jsem seznámena s tím, že na mou diplomovou práci se plně vztahuje zákon č. 121/2000 Sb. o právu autorském, zejména § 60 – školní dílo.</w:t>
      </w:r>
    </w:p>
    <w:p w:rsidR="00FD7B45" w:rsidRPr="00B7218F" w:rsidRDefault="00FD7B45" w:rsidP="00870EB2"/>
    <w:p w:rsidR="00FD7B45" w:rsidRPr="00B7218F" w:rsidRDefault="00FD7B45" w:rsidP="00870EB2">
      <w:r w:rsidRPr="00B7218F">
        <w:t>Beru na vědomí, že Technická univerzita v Liberci (TUL) nezasahuje do mých autorských práv užitím mé diplomové práce pro vnitřní potřebu TUL.</w:t>
      </w:r>
    </w:p>
    <w:p w:rsidR="00FD7B45" w:rsidRPr="00B7218F" w:rsidRDefault="00FD7B45" w:rsidP="00870EB2"/>
    <w:p w:rsidR="00FD7B45" w:rsidRPr="00B7218F" w:rsidRDefault="00FD7B45" w:rsidP="00870EB2">
      <w:r w:rsidRPr="00B7218F">
        <w:t>Užiji-li diplomovou práci nebo poskytnu-li licenci k jejímu využití, jsem si vědoma povinnosti informovat o této skutečnosti TUL; v tomto případě má TUL právo ode mne požadovat úhradu nákladů, které vynaložila na vytvoření díla, až do jejich skutečné výše.</w:t>
      </w:r>
    </w:p>
    <w:p w:rsidR="00FD7B45" w:rsidRPr="00B7218F" w:rsidRDefault="00FD7B45" w:rsidP="00870EB2"/>
    <w:p w:rsidR="00FD7B45" w:rsidRPr="00B7218F" w:rsidRDefault="00FD7B45" w:rsidP="00870EB2">
      <w:r w:rsidRPr="00B7218F">
        <w:t xml:space="preserve">Diplomovou práci jsem vypracovala samostatně s použitím uvedené literatury a na základě konzultací s vedoucím diplomové práce a konzultantem. </w:t>
      </w:r>
    </w:p>
    <w:p w:rsidR="00FD7B45" w:rsidRPr="00B7218F" w:rsidRDefault="00FD7B45" w:rsidP="00DE216C">
      <w:pPr>
        <w:spacing w:line="276"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4A06BD">
      <w:pPr>
        <w:spacing w:line="240" w:lineRule="auto"/>
        <w:jc w:val="left"/>
      </w:pPr>
    </w:p>
    <w:p w:rsidR="00FD7B45" w:rsidRDefault="00FD7B45" w:rsidP="004A06BD">
      <w:pPr>
        <w:spacing w:line="240" w:lineRule="auto"/>
        <w:jc w:val="left"/>
      </w:pPr>
    </w:p>
    <w:p w:rsidR="00FD7B45" w:rsidRDefault="00FD7B45" w:rsidP="004A06BD">
      <w:pPr>
        <w:spacing w:line="240" w:lineRule="auto"/>
        <w:jc w:val="left"/>
      </w:pPr>
    </w:p>
    <w:p w:rsidR="00FD7B45" w:rsidRDefault="00FD7B45" w:rsidP="004A06BD">
      <w:pPr>
        <w:spacing w:line="240" w:lineRule="auto"/>
        <w:jc w:val="left"/>
      </w:pPr>
    </w:p>
    <w:p w:rsidR="00FD7B45" w:rsidRPr="00B7218F" w:rsidRDefault="00FD7B45" w:rsidP="004A06BD">
      <w:pPr>
        <w:spacing w:line="240" w:lineRule="auto"/>
        <w:jc w:val="left"/>
      </w:pPr>
    </w:p>
    <w:p w:rsidR="00FD7B45" w:rsidRPr="00B7218F" w:rsidRDefault="00FD7B45" w:rsidP="004A06BD">
      <w:pPr>
        <w:spacing w:line="240" w:lineRule="auto"/>
        <w:jc w:val="left"/>
      </w:pPr>
    </w:p>
    <w:p w:rsidR="00FD7B45" w:rsidRPr="00B7218F" w:rsidRDefault="00FD7B45" w:rsidP="004A06BD">
      <w:pPr>
        <w:spacing w:line="240" w:lineRule="auto"/>
        <w:jc w:val="left"/>
      </w:pPr>
    </w:p>
    <w:p w:rsidR="00FD7B45" w:rsidRPr="00B7218F" w:rsidRDefault="00FD7B45" w:rsidP="004A06BD">
      <w:pPr>
        <w:spacing w:line="240" w:lineRule="auto"/>
        <w:jc w:val="left"/>
      </w:pPr>
      <w:r w:rsidRPr="00B7218F">
        <w:t>V Liberci dne 4. Ledna 2011</w:t>
      </w:r>
      <w:r w:rsidRPr="00B7218F">
        <w:tab/>
      </w:r>
      <w:r w:rsidRPr="00B7218F">
        <w:tab/>
      </w:r>
      <w:r w:rsidRPr="00B7218F">
        <w:tab/>
      </w:r>
      <w:r w:rsidRPr="00B7218F">
        <w:tab/>
      </w:r>
      <w:r w:rsidRPr="00B7218F">
        <w:tab/>
      </w:r>
      <w:r w:rsidRPr="00B7218F">
        <w:tab/>
        <w:t>Bc. Lucie Vokáčová</w:t>
      </w: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D14BDA">
      <w:pPr>
        <w:pStyle w:val="Nadpis1"/>
      </w:pPr>
      <w:bookmarkStart w:id="0" w:name="_Toc282027333"/>
      <w:r w:rsidRPr="00B7218F">
        <w:lastRenderedPageBreak/>
        <w:t>ANOTACE</w:t>
      </w:r>
      <w:bookmarkEnd w:id="0"/>
    </w:p>
    <w:p w:rsidR="00FD7B45" w:rsidRPr="00B7218F" w:rsidRDefault="00FD7B45" w:rsidP="000912A4"/>
    <w:p w:rsidR="00FD7B45" w:rsidRPr="00B7218F" w:rsidRDefault="00FD7B45" w:rsidP="000912A4">
      <w:r w:rsidRPr="00B7218F">
        <w:t>Téma této diplomové práce zní: „Dosavadní zkušenosti Slovinska se zavedením eura“.  Cílem této práce</w:t>
      </w:r>
      <w:r>
        <w:t xml:space="preserve"> je </w:t>
      </w:r>
      <w:r w:rsidRPr="00B7218F">
        <w:t xml:space="preserve">charakterizovat všeobecný postup při zavádění společné měny spojený s plněním konvergenčních kritérií, která jsou známa i pod názvem Maastrichtská kritéria a volbou scénáře pro zavedení eura. Ještě předtím </w:t>
      </w:r>
      <w:proofErr w:type="gramStart"/>
      <w:r w:rsidRPr="00B7218F">
        <w:t>je  popsán</w:t>
      </w:r>
      <w:proofErr w:type="gramEnd"/>
      <w:r w:rsidRPr="00B7218F">
        <w:t xml:space="preserve"> vývoj a rozšiřování eurozóny. </w:t>
      </w:r>
      <w:r>
        <w:t>V</w:t>
      </w:r>
      <w:r w:rsidRPr="00B7218F">
        <w:t> práci</w:t>
      </w:r>
      <w:r>
        <w:t xml:space="preserve"> je současně</w:t>
      </w:r>
      <w:r w:rsidRPr="00B7218F">
        <w:t xml:space="preserve"> věnován prostor pro analyzování výhod a nevýhod společné měny. Ve druhé části je popsán proces zavedení jednotné měny v zem</w:t>
      </w:r>
      <w:r>
        <w:t>i</w:t>
      </w:r>
      <w:r w:rsidRPr="00B7218F">
        <w:t xml:space="preserve"> a to od jeho příprav </w:t>
      </w:r>
      <w:proofErr w:type="gramStart"/>
      <w:r w:rsidRPr="00B7218F">
        <w:t xml:space="preserve">až </w:t>
      </w:r>
      <w:r>
        <w:t xml:space="preserve">           </w:t>
      </w:r>
      <w:r w:rsidRPr="00B7218F">
        <w:t>k plněn</w:t>
      </w:r>
      <w:r>
        <w:t>í</w:t>
      </w:r>
      <w:proofErr w:type="gramEnd"/>
      <w:r w:rsidRPr="00B7218F">
        <w:t xml:space="preserve"> nominálních kritérií. Pod přípravami se rozumí proces od obeznámení veřejnos</w:t>
      </w:r>
      <w:r>
        <w:t>ti s eurem až k výměně oběživa.</w:t>
      </w:r>
      <w:r w:rsidRPr="00B7218F">
        <w:t xml:space="preserve"> V poslední kapitole je analyzován vývoj hlavních makroekonomických ukazatelů země před a po zavedení eura v časovém rozmezí let 2005 až 2009. Je zde zkoumána závislost růstu HDP s růstem spotřeby, vládních </w:t>
      </w:r>
      <w:proofErr w:type="gramStart"/>
      <w:r w:rsidRPr="00B7218F">
        <w:t>výdajů</w:t>
      </w:r>
      <w:r>
        <w:t xml:space="preserve">            </w:t>
      </w:r>
      <w:r w:rsidRPr="00B7218F">
        <w:t xml:space="preserve"> a investic</w:t>
      </w:r>
      <w:proofErr w:type="gramEnd"/>
      <w:r w:rsidRPr="00B7218F">
        <w:t xml:space="preserve">. </w:t>
      </w:r>
    </w:p>
    <w:p w:rsidR="00FD7B45" w:rsidRPr="00B7218F" w:rsidRDefault="00FD7B45" w:rsidP="000912A4"/>
    <w:p w:rsidR="00FD7B45" w:rsidRPr="00B7218F" w:rsidRDefault="00FD7B45" w:rsidP="00F24EA2">
      <w:pPr>
        <w:pStyle w:val="Nadpis1"/>
      </w:pPr>
      <w:bookmarkStart w:id="1" w:name="_Toc282027334"/>
      <w:r w:rsidRPr="00B7218F">
        <w:t>KLÍČOVÁ SLOVA</w:t>
      </w:r>
      <w:bookmarkEnd w:id="1"/>
    </w:p>
    <w:p w:rsidR="00FD7B45" w:rsidRPr="00B7218F" w:rsidRDefault="00FD7B45" w:rsidP="00B1622F">
      <w:pPr>
        <w:pStyle w:val="Zpat"/>
        <w:tabs>
          <w:tab w:val="clear" w:pos="4536"/>
          <w:tab w:val="clear" w:pos="9072"/>
        </w:tabs>
        <w:spacing w:line="360" w:lineRule="auto"/>
        <w:rPr>
          <w:i/>
        </w:rPr>
      </w:pPr>
      <w:r w:rsidRPr="00B7218F">
        <w:t>Evropská měnová unie, jednotná měna euro, eurozóna, kritéria konvergence, zavádění eura</w:t>
      </w:r>
      <w:r w:rsidRPr="00B7218F">
        <w:rPr>
          <w:i/>
        </w:rPr>
        <w:t>.</w:t>
      </w:r>
    </w:p>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Pr="00B7218F" w:rsidRDefault="00FD7B45" w:rsidP="00F24EA2"/>
    <w:p w:rsidR="00FD7B45" w:rsidRDefault="00FD7B45" w:rsidP="00F24EA2">
      <w:pPr>
        <w:pStyle w:val="Nadpis1"/>
      </w:pPr>
      <w:bookmarkStart w:id="2" w:name="_Toc282027335"/>
      <w:r w:rsidRPr="00B7218F">
        <w:lastRenderedPageBreak/>
        <w:t>ANNOTATION</w:t>
      </w:r>
      <w:bookmarkEnd w:id="2"/>
    </w:p>
    <w:p w:rsidR="00FD7B45" w:rsidRDefault="00FD7B45" w:rsidP="00CF0AC5">
      <w:pPr>
        <w:rPr>
          <w:lang w:val="en-GB"/>
        </w:rPr>
      </w:pPr>
    </w:p>
    <w:p w:rsidR="00FD7B45" w:rsidRPr="00CA6FBB" w:rsidRDefault="00FD7B45" w:rsidP="00CF0AC5">
      <w:pPr>
        <w:rPr>
          <w:lang w:val="en-GB"/>
        </w:rPr>
      </w:pPr>
      <w:r w:rsidRPr="00CA6FBB">
        <w:rPr>
          <w:lang w:val="en-GB"/>
        </w:rPr>
        <w:t xml:space="preserve">The theme of this thesis is „ The current experience of </w:t>
      </w:r>
      <w:smartTag w:uri="urn:schemas-microsoft-com:office:smarttags" w:element="place">
        <w:smartTag w:uri="urn:schemas-microsoft-com:office:smarttags" w:element="country-region">
          <w:r w:rsidRPr="00CA6FBB">
            <w:rPr>
              <w:lang w:val="en-GB"/>
            </w:rPr>
            <w:t>Slovenia</w:t>
          </w:r>
        </w:smartTag>
      </w:smartTag>
      <w:r w:rsidRPr="00CA6FBB">
        <w:rPr>
          <w:lang w:val="en-GB"/>
        </w:rPr>
        <w:t xml:space="preserve"> with the introduction of the euro“.  The aim of this thesis is as first characterize the general progre</w:t>
      </w:r>
      <w:r>
        <w:rPr>
          <w:lang w:val="en-GB"/>
        </w:rPr>
        <w:t xml:space="preserve">ss </w:t>
      </w:r>
      <w:r w:rsidRPr="00CA6FBB">
        <w:rPr>
          <w:lang w:val="en-GB"/>
        </w:rPr>
        <w:t>of the common</w:t>
      </w:r>
      <w:r>
        <w:rPr>
          <w:lang w:val="en-GB"/>
        </w:rPr>
        <w:t xml:space="preserve"> </w:t>
      </w:r>
      <w:r w:rsidRPr="00CA6FBB">
        <w:rPr>
          <w:lang w:val="en-GB"/>
        </w:rPr>
        <w:t xml:space="preserve">currency associated with meeting the convergence criteria, which are also know under the name </w:t>
      </w:r>
      <w:r>
        <w:rPr>
          <w:lang w:val="en-GB"/>
        </w:rPr>
        <w:t>t</w:t>
      </w:r>
      <w:r w:rsidRPr="00CA6FBB">
        <w:rPr>
          <w:lang w:val="en-GB"/>
        </w:rPr>
        <w:t xml:space="preserve">he </w:t>
      </w:r>
      <w:smartTag w:uri="urn:schemas-microsoft-com:office:smarttags" w:element="place">
        <w:smartTag w:uri="urn:schemas-microsoft-com:office:smarttags" w:element="City">
          <w:r w:rsidRPr="00CA6FBB">
            <w:rPr>
              <w:lang w:val="en-GB"/>
            </w:rPr>
            <w:t>Maastricht</w:t>
          </w:r>
        </w:smartTag>
      </w:smartTag>
      <w:r w:rsidRPr="00CA6FBB">
        <w:rPr>
          <w:lang w:val="en-GB"/>
        </w:rPr>
        <w:t xml:space="preserve"> criteria. Very importa</w:t>
      </w:r>
      <w:r>
        <w:rPr>
          <w:lang w:val="en-GB"/>
        </w:rPr>
        <w:t>nt part of this is chosen sceneries of introduction. Before that, however roughly describes the development and expansion of the euro area. The study also provides the space to analyze</w:t>
      </w:r>
      <w:r w:rsidRPr="00CA6FBB">
        <w:rPr>
          <w:lang w:val="en-GB"/>
        </w:rPr>
        <w:t> the advantages and disadvantages of the common currency</w:t>
      </w:r>
      <w:r>
        <w:rPr>
          <w:lang w:val="en-GB"/>
        </w:rPr>
        <w:t xml:space="preserve">. The second section describes the process of introducing the single currency in the country and from his preparations to the fulfilment of the nominal criteria.  Under the preparation is meaning the process of familiarizing the public with the euro currency to exchange. The last chapter analyzes the main macroeconomic indicators of the country before and after the changeover time between years 2005 to 2009. There are examined the dependence of growth of GDP and consumption growth, government spending and investment. </w:t>
      </w:r>
    </w:p>
    <w:p w:rsidR="00FD7B45" w:rsidRPr="00CF0AC5" w:rsidRDefault="00FD7B45" w:rsidP="00CF0AC5"/>
    <w:p w:rsidR="00FD7B45" w:rsidRPr="00B7218F" w:rsidRDefault="00FD7B45" w:rsidP="00F24EA2">
      <w:pPr>
        <w:pStyle w:val="Nadpis1"/>
      </w:pPr>
      <w:bookmarkStart w:id="3" w:name="_Toc282027336"/>
      <w:r w:rsidRPr="00B7218F">
        <w:t>KEY WORDS</w:t>
      </w:r>
      <w:bookmarkEnd w:id="3"/>
    </w:p>
    <w:p w:rsidR="00FD7B45" w:rsidRPr="00B7218F" w:rsidRDefault="00FD7B45" w:rsidP="00B1622F">
      <w:pPr>
        <w:pStyle w:val="Zkladntext"/>
      </w:pPr>
    </w:p>
    <w:p w:rsidR="00FD7B45" w:rsidRPr="00B7218F" w:rsidRDefault="00FD7B45" w:rsidP="00B1622F">
      <w:pPr>
        <w:pStyle w:val="Zkladntext"/>
      </w:pPr>
      <w:proofErr w:type="spellStart"/>
      <w:r w:rsidRPr="00B7218F">
        <w:t>European</w:t>
      </w:r>
      <w:proofErr w:type="spellEnd"/>
      <w:r w:rsidRPr="00B7218F">
        <w:t xml:space="preserve"> </w:t>
      </w:r>
      <w:proofErr w:type="spellStart"/>
      <w:r w:rsidRPr="00B7218F">
        <w:t>Monetary</w:t>
      </w:r>
      <w:proofErr w:type="spellEnd"/>
      <w:r w:rsidRPr="00B7218F">
        <w:t xml:space="preserve"> Union, single </w:t>
      </w:r>
      <w:proofErr w:type="spellStart"/>
      <w:r w:rsidRPr="00B7218F">
        <w:t>currency</w:t>
      </w:r>
      <w:proofErr w:type="spellEnd"/>
      <w:r w:rsidRPr="00B7218F">
        <w:t xml:space="preserve">, </w:t>
      </w:r>
      <w:proofErr w:type="spellStart"/>
      <w:r w:rsidRPr="00B7218F">
        <w:t>Eurozone</w:t>
      </w:r>
      <w:proofErr w:type="spellEnd"/>
      <w:r w:rsidRPr="00B7218F">
        <w:t xml:space="preserve">, </w:t>
      </w:r>
      <w:proofErr w:type="spellStart"/>
      <w:r w:rsidRPr="00B7218F">
        <w:t>convergence</w:t>
      </w:r>
      <w:proofErr w:type="spellEnd"/>
      <w:r w:rsidRPr="00B7218F">
        <w:t xml:space="preserve"> </w:t>
      </w:r>
      <w:proofErr w:type="spellStart"/>
      <w:r w:rsidRPr="00B7218F">
        <w:t>criteria</w:t>
      </w:r>
      <w:proofErr w:type="spellEnd"/>
      <w:r w:rsidRPr="00B7218F">
        <w:rPr>
          <w:i/>
        </w:rPr>
        <w:t xml:space="preserve">, </w:t>
      </w:r>
      <w:r w:rsidRPr="00B7218F">
        <w:t xml:space="preserve">Euro </w:t>
      </w:r>
      <w:proofErr w:type="spellStart"/>
      <w:r w:rsidRPr="00B7218F">
        <w:t>implementation</w:t>
      </w:r>
      <w:proofErr w:type="spellEnd"/>
      <w:r w:rsidRPr="00B7218F">
        <w:rPr>
          <w:i/>
        </w:rPr>
        <w:t>.</w:t>
      </w: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8C39DC">
      <w:pPr>
        <w:pStyle w:val="Nadpis1"/>
      </w:pPr>
      <w:bookmarkStart w:id="4" w:name="_Toc282027337"/>
      <w:r>
        <w:lastRenderedPageBreak/>
        <w:t>PODĚKOVÁNÍ</w:t>
      </w:r>
      <w:bookmarkEnd w:id="4"/>
    </w:p>
    <w:p w:rsidR="00FD7B45" w:rsidRPr="00B7218F" w:rsidRDefault="00FD7B45" w:rsidP="006E036D">
      <w:pPr>
        <w:spacing w:line="240" w:lineRule="auto"/>
      </w:pPr>
    </w:p>
    <w:p w:rsidR="00FD7B45" w:rsidRPr="00B7218F" w:rsidRDefault="00FD7B45" w:rsidP="006E036D">
      <w:pPr>
        <w:spacing w:line="240" w:lineRule="auto"/>
      </w:pPr>
    </w:p>
    <w:p w:rsidR="00FD7B45" w:rsidRDefault="00FD7B45" w:rsidP="00A00FB2">
      <w:r>
        <w:t xml:space="preserve">Ráda bych poděkovala paní </w:t>
      </w:r>
      <w:r w:rsidRPr="00B7218F">
        <w:t>PhDr. Ing. Pavl</w:t>
      </w:r>
      <w:r>
        <w:t>e</w:t>
      </w:r>
      <w:r w:rsidRPr="00B7218F">
        <w:t xml:space="preserve"> Bednářov</w:t>
      </w:r>
      <w:r>
        <w:t>é</w:t>
      </w:r>
      <w:r w:rsidRPr="00B7218F">
        <w:t xml:space="preserve">, </w:t>
      </w:r>
      <w:proofErr w:type="spellStart"/>
      <w:r w:rsidRPr="00B7218F">
        <w:t>Ph.D</w:t>
      </w:r>
      <w:proofErr w:type="spellEnd"/>
      <w:r>
        <w:t>. za odborné vedení během psaní této diplomové práce.</w:t>
      </w:r>
    </w:p>
    <w:p w:rsidR="00FD7B45" w:rsidRDefault="00FD7B45" w:rsidP="00A00FB2"/>
    <w:p w:rsidR="00FD7B45" w:rsidRPr="00B7218F" w:rsidRDefault="00FD7B45" w:rsidP="00A00FB2">
      <w:r>
        <w:t xml:space="preserve">Dále bych ráda poděkovala panu Ing. Michalu Bendovi vedoucímu personálního oddělení v </w:t>
      </w:r>
      <w:proofErr w:type="spellStart"/>
      <w:r>
        <w:t>Protool</w:t>
      </w:r>
      <w:proofErr w:type="spellEnd"/>
      <w:r>
        <w:t xml:space="preserve"> s.r.o. Česká Lípa za konzultantskou pomoc při psaní této práce. </w:t>
      </w: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D365DF">
      <w:pPr>
        <w:pStyle w:val="Nadpisobsahu"/>
        <w:tabs>
          <w:tab w:val="left" w:pos="8080"/>
        </w:tabs>
      </w:pPr>
      <w:r w:rsidRPr="00B7218F">
        <w:rPr>
          <w:rStyle w:val="Nadpis1Char"/>
          <w:color w:val="auto"/>
          <w:sz w:val="40"/>
        </w:rPr>
        <w:lastRenderedPageBreak/>
        <w:t>Obsah</w:t>
      </w:r>
    </w:p>
    <w:p w:rsidR="00FD7B45" w:rsidRDefault="00A02874">
      <w:pPr>
        <w:pStyle w:val="Obsah1"/>
        <w:tabs>
          <w:tab w:val="right" w:leader="dot" w:pos="8777"/>
        </w:tabs>
        <w:rPr>
          <w:rFonts w:ascii="Calibri" w:hAnsi="Calibri"/>
          <w:noProof/>
          <w:sz w:val="22"/>
          <w:lang w:eastAsia="cs-CZ"/>
        </w:rPr>
      </w:pPr>
      <w:r w:rsidRPr="00B7218F">
        <w:fldChar w:fldCharType="begin"/>
      </w:r>
      <w:r w:rsidR="00FD7B45" w:rsidRPr="00B7218F">
        <w:instrText xml:space="preserve"> TOC \o "1-3" \h \z \u </w:instrText>
      </w:r>
      <w:r w:rsidRPr="00B7218F">
        <w:fldChar w:fldCharType="separate"/>
      </w:r>
      <w:hyperlink w:anchor="_Toc282027333" w:history="1">
        <w:r w:rsidR="00FD7B45" w:rsidRPr="00080AB6">
          <w:rPr>
            <w:rStyle w:val="Hypertextovodkaz"/>
            <w:noProof/>
          </w:rPr>
          <w:t>ANOTACE</w:t>
        </w:r>
        <w:r w:rsidR="00FD7B45">
          <w:rPr>
            <w:noProof/>
            <w:webHidden/>
          </w:rPr>
          <w:tab/>
        </w:r>
        <w:r>
          <w:rPr>
            <w:noProof/>
            <w:webHidden/>
          </w:rPr>
          <w:fldChar w:fldCharType="begin"/>
        </w:r>
        <w:r w:rsidR="00FD7B45">
          <w:rPr>
            <w:noProof/>
            <w:webHidden/>
          </w:rPr>
          <w:instrText xml:space="preserve"> PAGEREF _Toc282027333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34" w:history="1">
        <w:r w:rsidR="00FD7B45" w:rsidRPr="00080AB6">
          <w:rPr>
            <w:rStyle w:val="Hypertextovodkaz"/>
            <w:noProof/>
          </w:rPr>
          <w:t>KLÍČOVÁ SLOVA</w:t>
        </w:r>
        <w:r w:rsidR="00FD7B45">
          <w:rPr>
            <w:noProof/>
            <w:webHidden/>
          </w:rPr>
          <w:tab/>
        </w:r>
        <w:r>
          <w:rPr>
            <w:noProof/>
            <w:webHidden/>
          </w:rPr>
          <w:fldChar w:fldCharType="begin"/>
        </w:r>
        <w:r w:rsidR="00FD7B45">
          <w:rPr>
            <w:noProof/>
            <w:webHidden/>
          </w:rPr>
          <w:instrText xml:space="preserve"> PAGEREF _Toc282027334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35" w:history="1">
        <w:r w:rsidR="00FD7B45" w:rsidRPr="00080AB6">
          <w:rPr>
            <w:rStyle w:val="Hypertextovodkaz"/>
            <w:noProof/>
          </w:rPr>
          <w:t>ANNOTATION</w:t>
        </w:r>
        <w:r w:rsidR="00FD7B45">
          <w:rPr>
            <w:noProof/>
            <w:webHidden/>
          </w:rPr>
          <w:tab/>
        </w:r>
        <w:r>
          <w:rPr>
            <w:noProof/>
            <w:webHidden/>
          </w:rPr>
          <w:fldChar w:fldCharType="begin"/>
        </w:r>
        <w:r w:rsidR="00FD7B45">
          <w:rPr>
            <w:noProof/>
            <w:webHidden/>
          </w:rPr>
          <w:instrText xml:space="preserve"> PAGEREF _Toc282027335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36" w:history="1">
        <w:r w:rsidR="00FD7B45" w:rsidRPr="00080AB6">
          <w:rPr>
            <w:rStyle w:val="Hypertextovodkaz"/>
            <w:noProof/>
          </w:rPr>
          <w:t>KEY WORDS</w:t>
        </w:r>
        <w:r w:rsidR="00FD7B45">
          <w:rPr>
            <w:noProof/>
            <w:webHidden/>
          </w:rPr>
          <w:tab/>
        </w:r>
        <w:r>
          <w:rPr>
            <w:noProof/>
            <w:webHidden/>
          </w:rPr>
          <w:fldChar w:fldCharType="begin"/>
        </w:r>
        <w:r w:rsidR="00FD7B45">
          <w:rPr>
            <w:noProof/>
            <w:webHidden/>
          </w:rPr>
          <w:instrText xml:space="preserve"> PAGEREF _Toc282027336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37" w:history="1">
        <w:r w:rsidR="00FD7B45" w:rsidRPr="00080AB6">
          <w:rPr>
            <w:rStyle w:val="Hypertextovodkaz"/>
            <w:noProof/>
          </w:rPr>
          <w:t>PODĚKOVÁNÍ</w:t>
        </w:r>
        <w:r w:rsidR="00FD7B45">
          <w:rPr>
            <w:noProof/>
            <w:webHidden/>
          </w:rPr>
          <w:tab/>
        </w:r>
        <w:r>
          <w:rPr>
            <w:noProof/>
            <w:webHidden/>
          </w:rPr>
          <w:fldChar w:fldCharType="begin"/>
        </w:r>
        <w:r w:rsidR="00FD7B45">
          <w:rPr>
            <w:noProof/>
            <w:webHidden/>
          </w:rPr>
          <w:instrText xml:space="preserve"> PAGEREF _Toc282027337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38" w:history="1">
        <w:r w:rsidR="00FD7B45" w:rsidRPr="00080AB6">
          <w:rPr>
            <w:rStyle w:val="Hypertextovodkaz"/>
            <w:caps/>
            <w:noProof/>
          </w:rPr>
          <w:t>Seznam obrázku</w:t>
        </w:r>
        <w:r w:rsidR="00FD7B45">
          <w:rPr>
            <w:noProof/>
            <w:webHidden/>
          </w:rPr>
          <w:tab/>
        </w:r>
        <w:r>
          <w:rPr>
            <w:noProof/>
            <w:webHidden/>
          </w:rPr>
          <w:fldChar w:fldCharType="begin"/>
        </w:r>
        <w:r w:rsidR="00FD7B45">
          <w:rPr>
            <w:noProof/>
            <w:webHidden/>
          </w:rPr>
          <w:instrText xml:space="preserve"> PAGEREF _Toc282027338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39" w:history="1">
        <w:r w:rsidR="00FD7B45" w:rsidRPr="00080AB6">
          <w:rPr>
            <w:rStyle w:val="Hypertextovodkaz"/>
            <w:caps/>
            <w:noProof/>
          </w:rPr>
          <w:t>Seznam tabulek</w:t>
        </w:r>
        <w:r w:rsidR="00FD7B45">
          <w:rPr>
            <w:noProof/>
            <w:webHidden/>
          </w:rPr>
          <w:tab/>
        </w:r>
        <w:r>
          <w:rPr>
            <w:noProof/>
            <w:webHidden/>
          </w:rPr>
          <w:fldChar w:fldCharType="begin"/>
        </w:r>
        <w:r w:rsidR="00FD7B45">
          <w:rPr>
            <w:noProof/>
            <w:webHidden/>
          </w:rPr>
          <w:instrText xml:space="preserve"> PAGEREF _Toc282027339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40" w:history="1">
        <w:r w:rsidR="00FD7B45" w:rsidRPr="00080AB6">
          <w:rPr>
            <w:rStyle w:val="Hypertextovodkaz"/>
            <w:noProof/>
          </w:rPr>
          <w:t>SEZNAM ZKRATEK A SYMBOLŮ</w:t>
        </w:r>
        <w:r w:rsidR="00FD7B45">
          <w:rPr>
            <w:noProof/>
            <w:webHidden/>
          </w:rPr>
          <w:tab/>
        </w:r>
        <w:r>
          <w:rPr>
            <w:noProof/>
            <w:webHidden/>
          </w:rPr>
          <w:fldChar w:fldCharType="begin"/>
        </w:r>
        <w:r w:rsidR="00FD7B45">
          <w:rPr>
            <w:noProof/>
            <w:webHidden/>
          </w:rPr>
          <w:instrText xml:space="preserve"> PAGEREF _Toc282027340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41" w:history="1">
        <w:r w:rsidR="00FD7B45" w:rsidRPr="00080AB6">
          <w:rPr>
            <w:rStyle w:val="Hypertextovodkaz"/>
            <w:caps/>
            <w:noProof/>
          </w:rPr>
          <w:t>Úvod</w:t>
        </w:r>
        <w:r w:rsidR="00FD7B45">
          <w:rPr>
            <w:noProof/>
            <w:webHidden/>
          </w:rPr>
          <w:tab/>
        </w:r>
        <w:r>
          <w:rPr>
            <w:noProof/>
            <w:webHidden/>
          </w:rPr>
          <w:fldChar w:fldCharType="begin"/>
        </w:r>
        <w:r w:rsidR="00FD7B45">
          <w:rPr>
            <w:noProof/>
            <w:webHidden/>
          </w:rPr>
          <w:instrText xml:space="preserve"> PAGEREF _Toc282027341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42" w:history="1">
        <w:r w:rsidR="00FD7B45" w:rsidRPr="00080AB6">
          <w:rPr>
            <w:rStyle w:val="Hypertextovodkaz"/>
            <w:caps/>
            <w:noProof/>
          </w:rPr>
          <w:t>Teoretická část</w:t>
        </w:r>
        <w:r w:rsidR="00FD7B45">
          <w:rPr>
            <w:noProof/>
            <w:webHidden/>
          </w:rPr>
          <w:tab/>
        </w:r>
        <w:r>
          <w:rPr>
            <w:noProof/>
            <w:webHidden/>
          </w:rPr>
          <w:fldChar w:fldCharType="begin"/>
        </w:r>
        <w:r w:rsidR="00FD7B45">
          <w:rPr>
            <w:noProof/>
            <w:webHidden/>
          </w:rPr>
          <w:instrText xml:space="preserve"> PAGEREF _Toc282027342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left" w:pos="480"/>
          <w:tab w:val="right" w:leader="dot" w:pos="8777"/>
        </w:tabs>
        <w:rPr>
          <w:rFonts w:ascii="Calibri" w:hAnsi="Calibri"/>
          <w:noProof/>
          <w:sz w:val="22"/>
          <w:lang w:eastAsia="cs-CZ"/>
        </w:rPr>
      </w:pPr>
      <w:hyperlink w:anchor="_Toc282027343" w:history="1">
        <w:r w:rsidR="00FD7B45" w:rsidRPr="00080AB6">
          <w:rPr>
            <w:rStyle w:val="Hypertextovodkaz"/>
            <w:caps/>
            <w:noProof/>
          </w:rPr>
          <w:t>1.</w:t>
        </w:r>
        <w:r w:rsidR="00FD7B45">
          <w:rPr>
            <w:rFonts w:ascii="Calibri" w:hAnsi="Calibri"/>
            <w:noProof/>
            <w:sz w:val="22"/>
            <w:lang w:eastAsia="cs-CZ"/>
          </w:rPr>
          <w:tab/>
        </w:r>
        <w:r w:rsidR="00FD7B45" w:rsidRPr="00080AB6">
          <w:rPr>
            <w:rStyle w:val="Hypertextovodkaz"/>
            <w:caps/>
            <w:noProof/>
          </w:rPr>
          <w:t>Eurozóna, všeobecné pokyny pro zavádění eura a Maastrichtská kritéria</w:t>
        </w:r>
        <w:r w:rsidR="00FD7B45">
          <w:rPr>
            <w:noProof/>
            <w:webHidden/>
          </w:rPr>
          <w:tab/>
        </w:r>
        <w:r>
          <w:rPr>
            <w:noProof/>
            <w:webHidden/>
          </w:rPr>
          <w:fldChar w:fldCharType="begin"/>
        </w:r>
        <w:r w:rsidR="00FD7B45">
          <w:rPr>
            <w:noProof/>
            <w:webHidden/>
          </w:rPr>
          <w:instrText xml:space="preserve"> PAGEREF _Toc282027343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44" w:history="1">
        <w:r w:rsidR="00FD7B45" w:rsidRPr="00080AB6">
          <w:rPr>
            <w:rStyle w:val="Hypertextovodkaz"/>
            <w:noProof/>
          </w:rPr>
          <w:t>1.1 Eurozóna, její vývoj a rozšíření</w:t>
        </w:r>
        <w:r w:rsidR="00FD7B45">
          <w:rPr>
            <w:noProof/>
            <w:webHidden/>
          </w:rPr>
          <w:tab/>
        </w:r>
        <w:r>
          <w:rPr>
            <w:noProof/>
            <w:webHidden/>
          </w:rPr>
          <w:fldChar w:fldCharType="begin"/>
        </w:r>
        <w:r w:rsidR="00FD7B45">
          <w:rPr>
            <w:noProof/>
            <w:webHidden/>
          </w:rPr>
          <w:instrText xml:space="preserve"> PAGEREF _Toc282027344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45" w:history="1">
        <w:r w:rsidR="00FD7B45" w:rsidRPr="00080AB6">
          <w:rPr>
            <w:rStyle w:val="Hypertextovodkaz"/>
            <w:noProof/>
          </w:rPr>
          <w:t>1.1.1 Scénáře přechodu na jednotnou měnu euro</w:t>
        </w:r>
        <w:r w:rsidR="00FD7B45">
          <w:rPr>
            <w:noProof/>
            <w:webHidden/>
          </w:rPr>
          <w:tab/>
        </w:r>
        <w:r>
          <w:rPr>
            <w:noProof/>
            <w:webHidden/>
          </w:rPr>
          <w:fldChar w:fldCharType="begin"/>
        </w:r>
        <w:r w:rsidR="00FD7B45">
          <w:rPr>
            <w:noProof/>
            <w:webHidden/>
          </w:rPr>
          <w:instrText xml:space="preserve"> PAGEREF _Toc282027345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46" w:history="1">
        <w:r w:rsidR="00FD7B45" w:rsidRPr="00080AB6">
          <w:rPr>
            <w:rStyle w:val="Hypertextovodkaz"/>
            <w:noProof/>
            <w:lang w:eastAsia="cs-CZ"/>
          </w:rPr>
          <w:t>1.1.2 Postup zavádění eura</w:t>
        </w:r>
        <w:r w:rsidR="00FD7B45">
          <w:rPr>
            <w:noProof/>
            <w:webHidden/>
          </w:rPr>
          <w:tab/>
        </w:r>
        <w:r>
          <w:rPr>
            <w:noProof/>
            <w:webHidden/>
          </w:rPr>
          <w:fldChar w:fldCharType="begin"/>
        </w:r>
        <w:r w:rsidR="00FD7B45">
          <w:rPr>
            <w:noProof/>
            <w:webHidden/>
          </w:rPr>
          <w:instrText xml:space="preserve"> PAGEREF _Toc282027346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47" w:history="1">
        <w:r w:rsidR="00FD7B45" w:rsidRPr="00080AB6">
          <w:rPr>
            <w:rStyle w:val="Hypertextovodkaz"/>
            <w:noProof/>
          </w:rPr>
          <w:t>1.2 Konvergenční měnová kritéria</w:t>
        </w:r>
        <w:r w:rsidR="00FD7B45">
          <w:rPr>
            <w:noProof/>
            <w:webHidden/>
          </w:rPr>
          <w:tab/>
        </w:r>
        <w:r>
          <w:rPr>
            <w:noProof/>
            <w:webHidden/>
          </w:rPr>
          <w:fldChar w:fldCharType="begin"/>
        </w:r>
        <w:r w:rsidR="00FD7B45">
          <w:rPr>
            <w:noProof/>
            <w:webHidden/>
          </w:rPr>
          <w:instrText xml:space="preserve"> PAGEREF _Toc282027347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48" w:history="1">
        <w:r w:rsidR="00FD7B45" w:rsidRPr="00080AB6">
          <w:rPr>
            <w:rStyle w:val="Hypertextovodkaz"/>
            <w:noProof/>
          </w:rPr>
          <w:t>1.2.1 Cenová stabilita</w:t>
        </w:r>
        <w:r w:rsidR="00FD7B45">
          <w:rPr>
            <w:noProof/>
            <w:webHidden/>
          </w:rPr>
          <w:tab/>
        </w:r>
        <w:r>
          <w:rPr>
            <w:noProof/>
            <w:webHidden/>
          </w:rPr>
          <w:fldChar w:fldCharType="begin"/>
        </w:r>
        <w:r w:rsidR="00FD7B45">
          <w:rPr>
            <w:noProof/>
            <w:webHidden/>
          </w:rPr>
          <w:instrText xml:space="preserve"> PAGEREF _Toc282027348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49" w:history="1">
        <w:r w:rsidR="00FD7B45" w:rsidRPr="00080AB6">
          <w:rPr>
            <w:rStyle w:val="Hypertextovodkaz"/>
            <w:noProof/>
          </w:rPr>
          <w:t>1.2.2 Kritérium dlouhodobých úrokových sazeb</w:t>
        </w:r>
        <w:r w:rsidR="00FD7B45">
          <w:rPr>
            <w:noProof/>
            <w:webHidden/>
          </w:rPr>
          <w:tab/>
        </w:r>
        <w:r>
          <w:rPr>
            <w:noProof/>
            <w:webHidden/>
          </w:rPr>
          <w:fldChar w:fldCharType="begin"/>
        </w:r>
        <w:r w:rsidR="00FD7B45">
          <w:rPr>
            <w:noProof/>
            <w:webHidden/>
          </w:rPr>
          <w:instrText xml:space="preserve"> PAGEREF _Toc282027349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50" w:history="1">
        <w:r w:rsidR="00FD7B45" w:rsidRPr="00080AB6">
          <w:rPr>
            <w:rStyle w:val="Hypertextovodkaz"/>
            <w:noProof/>
          </w:rPr>
          <w:t>1.2.3 Kritérium směnného kurzu</w:t>
        </w:r>
        <w:r w:rsidR="00FD7B45">
          <w:rPr>
            <w:noProof/>
            <w:webHidden/>
          </w:rPr>
          <w:tab/>
        </w:r>
        <w:r>
          <w:rPr>
            <w:noProof/>
            <w:webHidden/>
          </w:rPr>
          <w:fldChar w:fldCharType="begin"/>
        </w:r>
        <w:r w:rsidR="00FD7B45">
          <w:rPr>
            <w:noProof/>
            <w:webHidden/>
          </w:rPr>
          <w:instrText xml:space="preserve"> PAGEREF _Toc282027350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51" w:history="1">
        <w:r w:rsidR="00FD7B45" w:rsidRPr="00080AB6">
          <w:rPr>
            <w:rStyle w:val="Hypertextovodkaz"/>
            <w:noProof/>
          </w:rPr>
          <w:t>1.3 Konvergenční fiskální kritéria</w:t>
        </w:r>
        <w:r w:rsidR="00FD7B45">
          <w:rPr>
            <w:noProof/>
            <w:webHidden/>
          </w:rPr>
          <w:tab/>
        </w:r>
        <w:r>
          <w:rPr>
            <w:noProof/>
            <w:webHidden/>
          </w:rPr>
          <w:fldChar w:fldCharType="begin"/>
        </w:r>
        <w:r w:rsidR="00FD7B45">
          <w:rPr>
            <w:noProof/>
            <w:webHidden/>
          </w:rPr>
          <w:instrText xml:space="preserve"> PAGEREF _Toc282027351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52" w:history="1">
        <w:r w:rsidR="00FD7B45" w:rsidRPr="00080AB6">
          <w:rPr>
            <w:rStyle w:val="Hypertextovodkaz"/>
            <w:noProof/>
          </w:rPr>
          <w:t>1.3.1 Deficit veřejných financí</w:t>
        </w:r>
        <w:r w:rsidR="00FD7B45">
          <w:rPr>
            <w:noProof/>
            <w:webHidden/>
          </w:rPr>
          <w:tab/>
        </w:r>
        <w:r>
          <w:rPr>
            <w:noProof/>
            <w:webHidden/>
          </w:rPr>
          <w:fldChar w:fldCharType="begin"/>
        </w:r>
        <w:r w:rsidR="00FD7B45">
          <w:rPr>
            <w:noProof/>
            <w:webHidden/>
          </w:rPr>
          <w:instrText xml:space="preserve"> PAGEREF _Toc282027352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53" w:history="1">
        <w:r w:rsidR="00FD7B45" w:rsidRPr="00080AB6">
          <w:rPr>
            <w:rStyle w:val="Hypertextovodkaz"/>
            <w:noProof/>
          </w:rPr>
          <w:t>1.3.2 Veřejné zadlužení</w:t>
        </w:r>
        <w:r w:rsidR="00FD7B45">
          <w:rPr>
            <w:noProof/>
            <w:webHidden/>
          </w:rPr>
          <w:tab/>
        </w:r>
        <w:r>
          <w:rPr>
            <w:noProof/>
            <w:webHidden/>
          </w:rPr>
          <w:fldChar w:fldCharType="begin"/>
        </w:r>
        <w:r w:rsidR="00FD7B45">
          <w:rPr>
            <w:noProof/>
            <w:webHidden/>
          </w:rPr>
          <w:instrText xml:space="preserve"> PAGEREF _Toc282027353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54" w:history="1">
        <w:r w:rsidR="00FD7B45" w:rsidRPr="00080AB6">
          <w:rPr>
            <w:rStyle w:val="Hypertextovodkaz"/>
            <w:noProof/>
          </w:rPr>
          <w:t>1.4 Legislativní kritéria</w:t>
        </w:r>
        <w:r w:rsidR="00FD7B45">
          <w:rPr>
            <w:noProof/>
            <w:webHidden/>
          </w:rPr>
          <w:tab/>
        </w:r>
        <w:r>
          <w:rPr>
            <w:noProof/>
            <w:webHidden/>
          </w:rPr>
          <w:fldChar w:fldCharType="begin"/>
        </w:r>
        <w:r w:rsidR="00FD7B45">
          <w:rPr>
            <w:noProof/>
            <w:webHidden/>
          </w:rPr>
          <w:instrText xml:space="preserve"> PAGEREF _Toc282027354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55" w:history="1">
        <w:r w:rsidR="00FD7B45" w:rsidRPr="00080AB6">
          <w:rPr>
            <w:rStyle w:val="Hypertextovodkaz"/>
            <w:noProof/>
          </w:rPr>
          <w:t>1.5 Reálná konvergence</w:t>
        </w:r>
        <w:r w:rsidR="00FD7B45">
          <w:rPr>
            <w:noProof/>
            <w:webHidden/>
          </w:rPr>
          <w:tab/>
        </w:r>
        <w:r>
          <w:rPr>
            <w:noProof/>
            <w:webHidden/>
          </w:rPr>
          <w:fldChar w:fldCharType="begin"/>
        </w:r>
        <w:r w:rsidR="00FD7B45">
          <w:rPr>
            <w:noProof/>
            <w:webHidden/>
          </w:rPr>
          <w:instrText xml:space="preserve"> PAGEREF _Toc282027355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56" w:history="1">
        <w:r w:rsidR="00FD7B45" w:rsidRPr="00080AB6">
          <w:rPr>
            <w:rStyle w:val="Hypertextovodkaz"/>
            <w:noProof/>
          </w:rPr>
          <w:t>1.6 Rozšiřování eurozóny – výhody a nevýhody</w:t>
        </w:r>
        <w:r w:rsidR="00FD7B45">
          <w:rPr>
            <w:noProof/>
            <w:webHidden/>
          </w:rPr>
          <w:tab/>
        </w:r>
        <w:r>
          <w:rPr>
            <w:noProof/>
            <w:webHidden/>
          </w:rPr>
          <w:fldChar w:fldCharType="begin"/>
        </w:r>
        <w:r w:rsidR="00FD7B45">
          <w:rPr>
            <w:noProof/>
            <w:webHidden/>
          </w:rPr>
          <w:instrText xml:space="preserve"> PAGEREF _Toc282027356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57" w:history="1">
        <w:r w:rsidR="00FD7B45" w:rsidRPr="00080AB6">
          <w:rPr>
            <w:rStyle w:val="Hypertextovodkaz"/>
            <w:noProof/>
          </w:rPr>
          <w:t>1.6.1 Přínosy zavedení společné měny</w:t>
        </w:r>
        <w:r w:rsidR="00FD7B45">
          <w:rPr>
            <w:noProof/>
            <w:webHidden/>
          </w:rPr>
          <w:tab/>
        </w:r>
        <w:r>
          <w:rPr>
            <w:noProof/>
            <w:webHidden/>
          </w:rPr>
          <w:fldChar w:fldCharType="begin"/>
        </w:r>
        <w:r w:rsidR="00FD7B45">
          <w:rPr>
            <w:noProof/>
            <w:webHidden/>
          </w:rPr>
          <w:instrText xml:space="preserve"> PAGEREF _Toc282027357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58" w:history="1">
        <w:r w:rsidR="00FD7B45" w:rsidRPr="00080AB6">
          <w:rPr>
            <w:rStyle w:val="Hypertextovodkaz"/>
            <w:noProof/>
          </w:rPr>
          <w:t>1.6.2 Nevýhody zavedení společné měny</w:t>
        </w:r>
        <w:r w:rsidR="00FD7B45">
          <w:rPr>
            <w:noProof/>
            <w:webHidden/>
          </w:rPr>
          <w:tab/>
        </w:r>
        <w:r>
          <w:rPr>
            <w:noProof/>
            <w:webHidden/>
          </w:rPr>
          <w:fldChar w:fldCharType="begin"/>
        </w:r>
        <w:r w:rsidR="00FD7B45">
          <w:rPr>
            <w:noProof/>
            <w:webHidden/>
          </w:rPr>
          <w:instrText xml:space="preserve"> PAGEREF _Toc282027358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59" w:history="1">
        <w:r w:rsidR="00FD7B45" w:rsidRPr="00080AB6">
          <w:rPr>
            <w:rStyle w:val="Hypertextovodkaz"/>
            <w:caps/>
            <w:noProof/>
            <w:lang w:eastAsia="cs-CZ"/>
          </w:rPr>
          <w:t xml:space="preserve">2 Přípravy Slovinska </w:t>
        </w:r>
        <w:r w:rsidR="00FD7B45" w:rsidRPr="00080AB6">
          <w:rPr>
            <w:rStyle w:val="Hypertextovodkaz"/>
            <w:caps/>
            <w:noProof/>
          </w:rPr>
          <w:t>na vstup do EMU, plnění</w:t>
        </w:r>
        <w:r w:rsidR="00FD7B45" w:rsidRPr="00080AB6">
          <w:rPr>
            <w:rStyle w:val="Hypertextovodkaz"/>
            <w:noProof/>
          </w:rPr>
          <w:t xml:space="preserve"> </w:t>
        </w:r>
        <w:r w:rsidR="00FD7B45" w:rsidRPr="00080AB6">
          <w:rPr>
            <w:rStyle w:val="Hypertextovodkaz"/>
            <w:caps/>
            <w:noProof/>
          </w:rPr>
          <w:t>Maastrichtských kritérií</w:t>
        </w:r>
        <w:r w:rsidR="00FD7B45">
          <w:rPr>
            <w:noProof/>
            <w:webHidden/>
          </w:rPr>
          <w:tab/>
        </w:r>
        <w:r>
          <w:rPr>
            <w:noProof/>
            <w:webHidden/>
          </w:rPr>
          <w:fldChar w:fldCharType="begin"/>
        </w:r>
        <w:r w:rsidR="00FD7B45">
          <w:rPr>
            <w:noProof/>
            <w:webHidden/>
          </w:rPr>
          <w:instrText xml:space="preserve"> PAGEREF _Toc282027359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60" w:history="1">
        <w:r w:rsidR="00FD7B45" w:rsidRPr="00080AB6">
          <w:rPr>
            <w:rStyle w:val="Hypertextovodkaz"/>
            <w:noProof/>
            <w:lang w:eastAsia="cs-CZ"/>
          </w:rPr>
          <w:t>2.1 Praktické přípravy pro zavedení eura</w:t>
        </w:r>
        <w:r w:rsidR="00FD7B45">
          <w:rPr>
            <w:noProof/>
            <w:webHidden/>
          </w:rPr>
          <w:tab/>
        </w:r>
        <w:r>
          <w:rPr>
            <w:noProof/>
            <w:webHidden/>
          </w:rPr>
          <w:fldChar w:fldCharType="begin"/>
        </w:r>
        <w:r w:rsidR="00FD7B45">
          <w:rPr>
            <w:noProof/>
            <w:webHidden/>
          </w:rPr>
          <w:instrText xml:space="preserve"> PAGEREF _Toc282027360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61" w:history="1">
        <w:r w:rsidR="00FD7B45" w:rsidRPr="00080AB6">
          <w:rPr>
            <w:rStyle w:val="Hypertextovodkaz"/>
            <w:noProof/>
          </w:rPr>
          <w:t>2.1.1 Obeznámení veřejnosti s eurem</w:t>
        </w:r>
        <w:r w:rsidR="00FD7B45">
          <w:rPr>
            <w:noProof/>
            <w:webHidden/>
          </w:rPr>
          <w:tab/>
        </w:r>
        <w:r>
          <w:rPr>
            <w:noProof/>
            <w:webHidden/>
          </w:rPr>
          <w:fldChar w:fldCharType="begin"/>
        </w:r>
        <w:r w:rsidR="00FD7B45">
          <w:rPr>
            <w:noProof/>
            <w:webHidden/>
          </w:rPr>
          <w:instrText xml:space="preserve"> PAGEREF _Toc282027361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62" w:history="1">
        <w:r w:rsidR="00FD7B45" w:rsidRPr="00080AB6">
          <w:rPr>
            <w:rStyle w:val="Hypertextovodkaz"/>
            <w:noProof/>
          </w:rPr>
          <w:t>2.1.2 Výměna hotového oběživa</w:t>
        </w:r>
        <w:r w:rsidR="00FD7B45">
          <w:rPr>
            <w:noProof/>
            <w:webHidden/>
          </w:rPr>
          <w:tab/>
        </w:r>
        <w:r>
          <w:rPr>
            <w:noProof/>
            <w:webHidden/>
          </w:rPr>
          <w:fldChar w:fldCharType="begin"/>
        </w:r>
        <w:r w:rsidR="00FD7B45">
          <w:rPr>
            <w:noProof/>
            <w:webHidden/>
          </w:rPr>
          <w:instrText xml:space="preserve"> PAGEREF _Toc282027362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63" w:history="1">
        <w:r w:rsidR="00FD7B45" w:rsidRPr="00080AB6">
          <w:rPr>
            <w:rStyle w:val="Hypertextovodkaz"/>
            <w:noProof/>
          </w:rPr>
          <w:t>2.1.3 Předzásobení a druhotné předzásobení přede dnem zavedení eura</w:t>
        </w:r>
        <w:r w:rsidR="00FD7B45">
          <w:rPr>
            <w:noProof/>
            <w:webHidden/>
          </w:rPr>
          <w:tab/>
        </w:r>
        <w:r>
          <w:rPr>
            <w:noProof/>
            <w:webHidden/>
          </w:rPr>
          <w:fldChar w:fldCharType="begin"/>
        </w:r>
        <w:r w:rsidR="00FD7B45">
          <w:rPr>
            <w:noProof/>
            <w:webHidden/>
          </w:rPr>
          <w:instrText xml:space="preserve"> PAGEREF _Toc282027363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64" w:history="1">
        <w:r w:rsidR="00FD7B45" w:rsidRPr="00080AB6">
          <w:rPr>
            <w:rStyle w:val="Hypertextovodkaz"/>
            <w:noProof/>
          </w:rPr>
          <w:t>2.1.4 Období používání dvojího oběživa</w:t>
        </w:r>
        <w:r w:rsidR="00FD7B45">
          <w:rPr>
            <w:noProof/>
            <w:webHidden/>
          </w:rPr>
          <w:tab/>
        </w:r>
        <w:r>
          <w:rPr>
            <w:noProof/>
            <w:webHidden/>
          </w:rPr>
          <w:fldChar w:fldCharType="begin"/>
        </w:r>
        <w:r w:rsidR="00FD7B45">
          <w:rPr>
            <w:noProof/>
            <w:webHidden/>
          </w:rPr>
          <w:instrText xml:space="preserve"> PAGEREF _Toc282027364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65" w:history="1">
        <w:r w:rsidR="00FD7B45" w:rsidRPr="00080AB6">
          <w:rPr>
            <w:rStyle w:val="Hypertextovodkaz"/>
            <w:noProof/>
          </w:rPr>
          <w:t>2.1.5 Rychlé vracení národní měny</w:t>
        </w:r>
        <w:r w:rsidR="00FD7B45">
          <w:rPr>
            <w:noProof/>
            <w:webHidden/>
          </w:rPr>
          <w:tab/>
        </w:r>
        <w:r>
          <w:rPr>
            <w:noProof/>
            <w:webHidden/>
          </w:rPr>
          <w:fldChar w:fldCharType="begin"/>
        </w:r>
        <w:r w:rsidR="00FD7B45">
          <w:rPr>
            <w:noProof/>
            <w:webHidden/>
          </w:rPr>
          <w:instrText xml:space="preserve"> PAGEREF _Toc282027365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66" w:history="1">
        <w:r w:rsidR="00FD7B45" w:rsidRPr="00080AB6">
          <w:rPr>
            <w:rStyle w:val="Hypertextovodkaz"/>
            <w:noProof/>
          </w:rPr>
          <w:t>2.2 Převod finančních administrativních systémů</w:t>
        </w:r>
        <w:r w:rsidR="00FD7B45">
          <w:rPr>
            <w:noProof/>
            <w:webHidden/>
          </w:rPr>
          <w:tab/>
        </w:r>
        <w:r>
          <w:rPr>
            <w:noProof/>
            <w:webHidden/>
          </w:rPr>
          <w:fldChar w:fldCharType="begin"/>
        </w:r>
        <w:r w:rsidR="00FD7B45">
          <w:rPr>
            <w:noProof/>
            <w:webHidden/>
          </w:rPr>
          <w:instrText xml:space="preserve"> PAGEREF _Toc282027366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67" w:history="1">
        <w:r w:rsidR="00FD7B45" w:rsidRPr="00080AB6">
          <w:rPr>
            <w:rStyle w:val="Hypertextovodkaz"/>
            <w:noProof/>
          </w:rPr>
          <w:t>2.3 Vývoj cen</w:t>
        </w:r>
        <w:r w:rsidR="00FD7B45">
          <w:rPr>
            <w:noProof/>
            <w:webHidden/>
          </w:rPr>
          <w:tab/>
        </w:r>
        <w:r>
          <w:rPr>
            <w:noProof/>
            <w:webHidden/>
          </w:rPr>
          <w:fldChar w:fldCharType="begin"/>
        </w:r>
        <w:r w:rsidR="00FD7B45">
          <w:rPr>
            <w:noProof/>
            <w:webHidden/>
          </w:rPr>
          <w:instrText xml:space="preserve"> PAGEREF _Toc282027367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68" w:history="1">
        <w:r w:rsidR="00FD7B45" w:rsidRPr="00080AB6">
          <w:rPr>
            <w:rStyle w:val="Hypertextovodkaz"/>
            <w:noProof/>
          </w:rPr>
          <w:t>2.3.1 Sledování cen během přechodu</w:t>
        </w:r>
        <w:r w:rsidR="00FD7B45">
          <w:rPr>
            <w:noProof/>
            <w:webHidden/>
          </w:rPr>
          <w:tab/>
        </w:r>
        <w:r>
          <w:rPr>
            <w:noProof/>
            <w:webHidden/>
          </w:rPr>
          <w:fldChar w:fldCharType="begin"/>
        </w:r>
        <w:r w:rsidR="00FD7B45">
          <w:rPr>
            <w:noProof/>
            <w:webHidden/>
          </w:rPr>
          <w:instrText xml:space="preserve"> PAGEREF _Toc282027368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69" w:history="1">
        <w:r w:rsidR="00FD7B45" w:rsidRPr="00080AB6">
          <w:rPr>
            <w:rStyle w:val="Hypertextovodkaz"/>
            <w:noProof/>
          </w:rPr>
          <w:t>2.3.2 Vývoj cen od prosince 2006 do února 2007</w:t>
        </w:r>
        <w:r w:rsidR="00FD7B45">
          <w:rPr>
            <w:noProof/>
            <w:webHidden/>
          </w:rPr>
          <w:tab/>
        </w:r>
        <w:r>
          <w:rPr>
            <w:noProof/>
            <w:webHidden/>
          </w:rPr>
          <w:fldChar w:fldCharType="begin"/>
        </w:r>
        <w:r w:rsidR="00FD7B45">
          <w:rPr>
            <w:noProof/>
            <w:webHidden/>
          </w:rPr>
          <w:instrText xml:space="preserve"> PAGEREF _Toc282027369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70" w:history="1">
        <w:r w:rsidR="00FD7B45" w:rsidRPr="00080AB6">
          <w:rPr>
            <w:rStyle w:val="Hypertextovodkaz"/>
            <w:noProof/>
          </w:rPr>
          <w:t>2.3.3 Vnímání cen</w:t>
        </w:r>
        <w:r w:rsidR="00FD7B45">
          <w:rPr>
            <w:noProof/>
            <w:webHidden/>
          </w:rPr>
          <w:tab/>
        </w:r>
        <w:r>
          <w:rPr>
            <w:noProof/>
            <w:webHidden/>
          </w:rPr>
          <w:fldChar w:fldCharType="begin"/>
        </w:r>
        <w:r w:rsidR="00FD7B45">
          <w:rPr>
            <w:noProof/>
            <w:webHidden/>
          </w:rPr>
          <w:instrText xml:space="preserve"> PAGEREF _Toc282027370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71" w:history="1">
        <w:r w:rsidR="00FD7B45" w:rsidRPr="00080AB6">
          <w:rPr>
            <w:rStyle w:val="Hypertextovodkaz"/>
            <w:noProof/>
          </w:rPr>
          <w:t>2.4 Reakce veřejnosti na přechod k euru</w:t>
        </w:r>
        <w:r w:rsidR="00FD7B45">
          <w:rPr>
            <w:noProof/>
            <w:webHidden/>
          </w:rPr>
          <w:tab/>
        </w:r>
        <w:r>
          <w:rPr>
            <w:noProof/>
            <w:webHidden/>
          </w:rPr>
          <w:fldChar w:fldCharType="begin"/>
        </w:r>
        <w:r w:rsidR="00FD7B45">
          <w:rPr>
            <w:noProof/>
            <w:webHidden/>
          </w:rPr>
          <w:instrText xml:space="preserve"> PAGEREF _Toc282027371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72" w:history="1">
        <w:r w:rsidR="00FD7B45" w:rsidRPr="00080AB6">
          <w:rPr>
            <w:rStyle w:val="Hypertextovodkaz"/>
            <w:noProof/>
            <w:lang w:eastAsia="cs-CZ"/>
          </w:rPr>
          <w:t>2.5 Plnění konvergenčních kritérií – konvergenční zprávy</w:t>
        </w:r>
        <w:r w:rsidR="00FD7B45">
          <w:rPr>
            <w:noProof/>
            <w:webHidden/>
          </w:rPr>
          <w:tab/>
        </w:r>
        <w:r>
          <w:rPr>
            <w:noProof/>
            <w:webHidden/>
          </w:rPr>
          <w:fldChar w:fldCharType="begin"/>
        </w:r>
        <w:r w:rsidR="00FD7B45">
          <w:rPr>
            <w:noProof/>
            <w:webHidden/>
          </w:rPr>
          <w:instrText xml:space="preserve"> PAGEREF _Toc282027372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73" w:history="1">
        <w:r w:rsidR="00FD7B45" w:rsidRPr="00080AB6">
          <w:rPr>
            <w:rStyle w:val="Hypertextovodkaz"/>
            <w:noProof/>
            <w:lang w:eastAsia="cs-CZ"/>
          </w:rPr>
          <w:t>2.5.1 Vyhodnocení konvergenční zpráv za rok 2004 a 2006</w:t>
        </w:r>
        <w:r w:rsidR="00FD7B45">
          <w:rPr>
            <w:noProof/>
            <w:webHidden/>
          </w:rPr>
          <w:tab/>
        </w:r>
        <w:r>
          <w:rPr>
            <w:noProof/>
            <w:webHidden/>
          </w:rPr>
          <w:fldChar w:fldCharType="begin"/>
        </w:r>
        <w:r w:rsidR="00FD7B45">
          <w:rPr>
            <w:noProof/>
            <w:webHidden/>
          </w:rPr>
          <w:instrText xml:space="preserve"> PAGEREF _Toc282027373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74" w:history="1">
        <w:r w:rsidR="00FD7B45" w:rsidRPr="00080AB6">
          <w:rPr>
            <w:rStyle w:val="Hypertextovodkaz"/>
            <w:caps/>
            <w:noProof/>
            <w:lang w:eastAsia="cs-CZ"/>
          </w:rPr>
          <w:t>Praktická část</w:t>
        </w:r>
        <w:r w:rsidR="00FD7B45">
          <w:rPr>
            <w:noProof/>
            <w:webHidden/>
          </w:rPr>
          <w:tab/>
        </w:r>
        <w:r>
          <w:rPr>
            <w:noProof/>
            <w:webHidden/>
          </w:rPr>
          <w:fldChar w:fldCharType="begin"/>
        </w:r>
        <w:r w:rsidR="00FD7B45">
          <w:rPr>
            <w:noProof/>
            <w:webHidden/>
          </w:rPr>
          <w:instrText xml:space="preserve"> PAGEREF _Toc282027374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75" w:history="1">
        <w:r w:rsidR="00FD7B45" w:rsidRPr="00080AB6">
          <w:rPr>
            <w:rStyle w:val="Hypertextovodkaz"/>
            <w:caps/>
            <w:noProof/>
          </w:rPr>
          <w:t>3 Ekonomický vývoj HDP Slovinska před a po přijetí eura</w:t>
        </w:r>
        <w:r w:rsidR="00FD7B45">
          <w:rPr>
            <w:noProof/>
            <w:webHidden/>
          </w:rPr>
          <w:tab/>
        </w:r>
        <w:r>
          <w:rPr>
            <w:noProof/>
            <w:webHidden/>
          </w:rPr>
          <w:fldChar w:fldCharType="begin"/>
        </w:r>
        <w:r w:rsidR="00FD7B45">
          <w:rPr>
            <w:noProof/>
            <w:webHidden/>
          </w:rPr>
          <w:instrText xml:space="preserve"> PAGEREF _Toc282027375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76" w:history="1">
        <w:r w:rsidR="00FD7B45" w:rsidRPr="00080AB6">
          <w:rPr>
            <w:rStyle w:val="Hypertextovodkaz"/>
            <w:noProof/>
          </w:rPr>
          <w:t>3.1 Meziroční vývoj HDP</w:t>
        </w:r>
        <w:r w:rsidR="00FD7B45">
          <w:rPr>
            <w:noProof/>
            <w:webHidden/>
          </w:rPr>
          <w:tab/>
        </w:r>
        <w:r>
          <w:rPr>
            <w:noProof/>
            <w:webHidden/>
          </w:rPr>
          <w:fldChar w:fldCharType="begin"/>
        </w:r>
        <w:r w:rsidR="00FD7B45">
          <w:rPr>
            <w:noProof/>
            <w:webHidden/>
          </w:rPr>
          <w:instrText xml:space="preserve"> PAGEREF _Toc282027376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77" w:history="1">
        <w:r w:rsidR="00FD7B45" w:rsidRPr="00080AB6">
          <w:rPr>
            <w:rStyle w:val="Hypertextovodkaz"/>
            <w:noProof/>
            <w:lang w:eastAsia="cs-CZ"/>
          </w:rPr>
          <w:t>3.2 Korelace jednotlivých komponent s vývojem HDP</w:t>
        </w:r>
        <w:r w:rsidR="00FD7B45">
          <w:rPr>
            <w:noProof/>
            <w:webHidden/>
          </w:rPr>
          <w:tab/>
        </w:r>
        <w:r>
          <w:rPr>
            <w:noProof/>
            <w:webHidden/>
          </w:rPr>
          <w:fldChar w:fldCharType="begin"/>
        </w:r>
        <w:r w:rsidR="00FD7B45">
          <w:rPr>
            <w:noProof/>
            <w:webHidden/>
          </w:rPr>
          <w:instrText xml:space="preserve"> PAGEREF _Toc282027377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78" w:history="1">
        <w:r w:rsidR="00FD7B45" w:rsidRPr="00080AB6">
          <w:rPr>
            <w:rStyle w:val="Hypertextovodkaz"/>
            <w:noProof/>
          </w:rPr>
          <w:t>3.2.1 Korelace HDP a spotřeby</w:t>
        </w:r>
        <w:r w:rsidR="00FD7B45">
          <w:rPr>
            <w:noProof/>
            <w:webHidden/>
          </w:rPr>
          <w:tab/>
        </w:r>
        <w:r>
          <w:rPr>
            <w:noProof/>
            <w:webHidden/>
          </w:rPr>
          <w:fldChar w:fldCharType="begin"/>
        </w:r>
        <w:r w:rsidR="00FD7B45">
          <w:rPr>
            <w:noProof/>
            <w:webHidden/>
          </w:rPr>
          <w:instrText xml:space="preserve"> PAGEREF _Toc282027378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79" w:history="1">
        <w:r w:rsidR="00FD7B45" w:rsidRPr="00080AB6">
          <w:rPr>
            <w:rStyle w:val="Hypertextovodkaz"/>
            <w:noProof/>
            <w:lang w:eastAsia="cs-CZ"/>
          </w:rPr>
          <w:t>3.2.2 Korelace HDP a vládních výdajů</w:t>
        </w:r>
        <w:r w:rsidR="00FD7B45">
          <w:rPr>
            <w:noProof/>
            <w:webHidden/>
          </w:rPr>
          <w:tab/>
        </w:r>
        <w:r>
          <w:rPr>
            <w:noProof/>
            <w:webHidden/>
          </w:rPr>
          <w:fldChar w:fldCharType="begin"/>
        </w:r>
        <w:r w:rsidR="00FD7B45">
          <w:rPr>
            <w:noProof/>
            <w:webHidden/>
          </w:rPr>
          <w:instrText xml:space="preserve"> PAGEREF _Toc282027379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80" w:history="1">
        <w:r w:rsidR="00FD7B45" w:rsidRPr="00080AB6">
          <w:rPr>
            <w:rStyle w:val="Hypertextovodkaz"/>
            <w:noProof/>
            <w:lang w:eastAsia="cs-CZ"/>
          </w:rPr>
          <w:t>3.2.3 Korelace HDP a investic</w:t>
        </w:r>
        <w:r w:rsidR="00FD7B45">
          <w:rPr>
            <w:noProof/>
            <w:webHidden/>
          </w:rPr>
          <w:tab/>
        </w:r>
        <w:r>
          <w:rPr>
            <w:noProof/>
            <w:webHidden/>
          </w:rPr>
          <w:fldChar w:fldCharType="begin"/>
        </w:r>
        <w:r w:rsidR="00FD7B45">
          <w:rPr>
            <w:noProof/>
            <w:webHidden/>
          </w:rPr>
          <w:instrText xml:space="preserve"> PAGEREF _Toc282027380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81" w:history="1">
        <w:r w:rsidR="00FD7B45" w:rsidRPr="00080AB6">
          <w:rPr>
            <w:rStyle w:val="Hypertextovodkaz"/>
            <w:noProof/>
            <w:lang w:eastAsia="cs-CZ"/>
          </w:rPr>
          <w:t>3.3 Shrnutí vývoje</w:t>
        </w:r>
        <w:r w:rsidR="00FD7B45">
          <w:rPr>
            <w:noProof/>
            <w:webHidden/>
          </w:rPr>
          <w:tab/>
        </w:r>
        <w:r>
          <w:rPr>
            <w:noProof/>
            <w:webHidden/>
          </w:rPr>
          <w:fldChar w:fldCharType="begin"/>
        </w:r>
        <w:r w:rsidR="00FD7B45">
          <w:rPr>
            <w:noProof/>
            <w:webHidden/>
          </w:rPr>
          <w:instrText xml:space="preserve"> PAGEREF _Toc282027381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82" w:history="1">
        <w:r w:rsidR="00FD7B45" w:rsidRPr="00080AB6">
          <w:rPr>
            <w:rStyle w:val="Hypertextovodkaz"/>
            <w:noProof/>
            <w:lang w:eastAsia="cs-CZ"/>
          </w:rPr>
          <w:t>3.4 Vliv jednotlivých faktorů na celkovou spotřebu</w:t>
        </w:r>
        <w:r w:rsidR="00FD7B45">
          <w:rPr>
            <w:noProof/>
            <w:webHidden/>
          </w:rPr>
          <w:tab/>
        </w:r>
        <w:r>
          <w:rPr>
            <w:noProof/>
            <w:webHidden/>
          </w:rPr>
          <w:fldChar w:fldCharType="begin"/>
        </w:r>
        <w:r w:rsidR="00FD7B45">
          <w:rPr>
            <w:noProof/>
            <w:webHidden/>
          </w:rPr>
          <w:instrText xml:space="preserve"> PAGEREF _Toc282027382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83" w:history="1">
        <w:r w:rsidR="00FD7B45" w:rsidRPr="00080AB6">
          <w:rPr>
            <w:rStyle w:val="Hypertextovodkaz"/>
            <w:noProof/>
            <w:lang w:eastAsia="cs-CZ"/>
          </w:rPr>
          <w:t>3.4.1 Mzdové náhrady a transfery</w:t>
        </w:r>
        <w:r w:rsidR="00FD7B45">
          <w:rPr>
            <w:noProof/>
            <w:webHidden/>
          </w:rPr>
          <w:tab/>
        </w:r>
        <w:r>
          <w:rPr>
            <w:noProof/>
            <w:webHidden/>
          </w:rPr>
          <w:fldChar w:fldCharType="begin"/>
        </w:r>
        <w:r w:rsidR="00FD7B45">
          <w:rPr>
            <w:noProof/>
            <w:webHidden/>
          </w:rPr>
          <w:instrText xml:space="preserve"> PAGEREF _Toc282027383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84" w:history="1">
        <w:r w:rsidR="00FD7B45" w:rsidRPr="00080AB6">
          <w:rPr>
            <w:rStyle w:val="Hypertextovodkaz"/>
            <w:noProof/>
            <w:lang w:eastAsia="cs-CZ"/>
          </w:rPr>
          <w:t>3.5 Vývoj jednotlivých částí spotřeby ve sledovaném období</w:t>
        </w:r>
        <w:r w:rsidR="00FD7B45">
          <w:rPr>
            <w:noProof/>
            <w:webHidden/>
          </w:rPr>
          <w:tab/>
        </w:r>
        <w:r>
          <w:rPr>
            <w:noProof/>
            <w:webHidden/>
          </w:rPr>
          <w:fldChar w:fldCharType="begin"/>
        </w:r>
        <w:r w:rsidR="00FD7B45">
          <w:rPr>
            <w:noProof/>
            <w:webHidden/>
          </w:rPr>
          <w:instrText xml:space="preserve"> PAGEREF _Toc282027384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3"/>
        <w:tabs>
          <w:tab w:val="right" w:leader="dot" w:pos="8777"/>
        </w:tabs>
        <w:rPr>
          <w:rFonts w:ascii="Calibri" w:hAnsi="Calibri"/>
          <w:noProof/>
          <w:sz w:val="22"/>
          <w:lang w:eastAsia="cs-CZ"/>
        </w:rPr>
      </w:pPr>
      <w:hyperlink w:anchor="_Toc282027385" w:history="1">
        <w:r w:rsidR="00FD7B45" w:rsidRPr="00080AB6">
          <w:rPr>
            <w:rStyle w:val="Hypertextovodkaz"/>
            <w:noProof/>
            <w:lang w:eastAsia="cs-CZ"/>
          </w:rPr>
          <w:t>3.5.1 Analýza vývoje za sledované období</w:t>
        </w:r>
        <w:r w:rsidR="00FD7B45">
          <w:rPr>
            <w:noProof/>
            <w:webHidden/>
          </w:rPr>
          <w:tab/>
        </w:r>
        <w:r>
          <w:rPr>
            <w:noProof/>
            <w:webHidden/>
          </w:rPr>
          <w:fldChar w:fldCharType="begin"/>
        </w:r>
        <w:r w:rsidR="00FD7B45">
          <w:rPr>
            <w:noProof/>
            <w:webHidden/>
          </w:rPr>
          <w:instrText xml:space="preserve"> PAGEREF _Toc282027385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86" w:history="1">
        <w:r w:rsidR="00FD7B45" w:rsidRPr="00080AB6">
          <w:rPr>
            <w:rStyle w:val="Hypertextovodkaz"/>
            <w:noProof/>
          </w:rPr>
          <w:t>3.6 Vývoj vládních výdajů ve sledovaném období</w:t>
        </w:r>
        <w:r w:rsidR="00FD7B45">
          <w:rPr>
            <w:noProof/>
            <w:webHidden/>
          </w:rPr>
          <w:tab/>
        </w:r>
        <w:r>
          <w:rPr>
            <w:noProof/>
            <w:webHidden/>
          </w:rPr>
          <w:fldChar w:fldCharType="begin"/>
        </w:r>
        <w:r w:rsidR="00FD7B45">
          <w:rPr>
            <w:noProof/>
            <w:webHidden/>
          </w:rPr>
          <w:instrText xml:space="preserve"> PAGEREF _Toc282027386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87" w:history="1">
        <w:r w:rsidR="00FD7B45" w:rsidRPr="00080AB6">
          <w:rPr>
            <w:rStyle w:val="Hypertextovodkaz"/>
            <w:noProof/>
          </w:rPr>
          <w:t>3.8 Vývoj investic ve sledovaném období</w:t>
        </w:r>
        <w:r w:rsidR="00FD7B45">
          <w:rPr>
            <w:noProof/>
            <w:webHidden/>
          </w:rPr>
          <w:tab/>
        </w:r>
        <w:r>
          <w:rPr>
            <w:noProof/>
            <w:webHidden/>
          </w:rPr>
          <w:fldChar w:fldCharType="begin"/>
        </w:r>
        <w:r w:rsidR="00FD7B45">
          <w:rPr>
            <w:noProof/>
            <w:webHidden/>
          </w:rPr>
          <w:instrText xml:space="preserve"> PAGEREF _Toc282027387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2"/>
        <w:tabs>
          <w:tab w:val="right" w:leader="dot" w:pos="8777"/>
        </w:tabs>
        <w:rPr>
          <w:rFonts w:ascii="Calibri" w:hAnsi="Calibri"/>
          <w:noProof/>
          <w:sz w:val="22"/>
          <w:lang w:eastAsia="cs-CZ"/>
        </w:rPr>
      </w:pPr>
      <w:hyperlink w:anchor="_Toc282027388" w:history="1">
        <w:r w:rsidR="00FD7B45" w:rsidRPr="00080AB6">
          <w:rPr>
            <w:rStyle w:val="Hypertextovodkaz"/>
            <w:noProof/>
          </w:rPr>
          <w:t>3.9 Shrnutí vývoje všech komponent HDP</w:t>
        </w:r>
        <w:r w:rsidR="00FD7B45">
          <w:rPr>
            <w:noProof/>
            <w:webHidden/>
          </w:rPr>
          <w:tab/>
        </w:r>
        <w:r>
          <w:rPr>
            <w:noProof/>
            <w:webHidden/>
          </w:rPr>
          <w:fldChar w:fldCharType="begin"/>
        </w:r>
        <w:r w:rsidR="00FD7B45">
          <w:rPr>
            <w:noProof/>
            <w:webHidden/>
          </w:rPr>
          <w:instrText xml:space="preserve"> PAGEREF _Toc282027388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89" w:history="1">
        <w:r w:rsidR="00FD7B45" w:rsidRPr="00080AB6">
          <w:rPr>
            <w:rStyle w:val="Hypertextovodkaz"/>
            <w:caps/>
            <w:noProof/>
          </w:rPr>
          <w:t>Závěr a zhodnocení dosažných cílů</w:t>
        </w:r>
        <w:r w:rsidR="00FD7B45">
          <w:rPr>
            <w:noProof/>
            <w:webHidden/>
          </w:rPr>
          <w:tab/>
        </w:r>
        <w:r>
          <w:rPr>
            <w:noProof/>
            <w:webHidden/>
          </w:rPr>
          <w:fldChar w:fldCharType="begin"/>
        </w:r>
        <w:r w:rsidR="00FD7B45">
          <w:rPr>
            <w:noProof/>
            <w:webHidden/>
          </w:rPr>
          <w:instrText xml:space="preserve"> PAGEREF _Toc282027389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Obsah1"/>
        <w:tabs>
          <w:tab w:val="right" w:leader="dot" w:pos="8777"/>
        </w:tabs>
        <w:rPr>
          <w:rFonts w:ascii="Calibri" w:hAnsi="Calibri"/>
          <w:noProof/>
          <w:sz w:val="22"/>
          <w:lang w:eastAsia="cs-CZ"/>
        </w:rPr>
      </w:pPr>
      <w:hyperlink w:anchor="_Toc282027390" w:history="1">
        <w:r w:rsidR="00FD7B45" w:rsidRPr="00080AB6">
          <w:rPr>
            <w:rStyle w:val="Hypertextovodkaz"/>
            <w:caps/>
            <w:noProof/>
          </w:rPr>
          <w:t>Seznam použité literatury</w:t>
        </w:r>
        <w:r w:rsidR="00FD7B45">
          <w:rPr>
            <w:noProof/>
            <w:webHidden/>
          </w:rPr>
          <w:tab/>
        </w:r>
        <w:r>
          <w:rPr>
            <w:noProof/>
            <w:webHidden/>
          </w:rPr>
          <w:fldChar w:fldCharType="begin"/>
        </w:r>
        <w:r w:rsidR="00FD7B45">
          <w:rPr>
            <w:noProof/>
            <w:webHidden/>
          </w:rPr>
          <w:instrText xml:space="preserve"> PAGEREF _Toc282027390 \h </w:instrText>
        </w:r>
        <w:r>
          <w:rPr>
            <w:noProof/>
            <w:webHidden/>
          </w:rPr>
        </w:r>
        <w:r>
          <w:rPr>
            <w:noProof/>
            <w:webHidden/>
          </w:rPr>
          <w:fldChar w:fldCharType="separate"/>
        </w:r>
        <w:r w:rsidR="00FD7B45">
          <w:rPr>
            <w:noProof/>
            <w:webHidden/>
          </w:rPr>
          <w:t>3</w:t>
        </w:r>
        <w:r>
          <w:rPr>
            <w:noProof/>
            <w:webHidden/>
          </w:rPr>
          <w:fldChar w:fldCharType="end"/>
        </w:r>
      </w:hyperlink>
    </w:p>
    <w:p w:rsidR="00FD7B45" w:rsidRPr="00B7218F" w:rsidRDefault="00A02874">
      <w:r w:rsidRPr="00B7218F">
        <w:fldChar w:fldCharType="end"/>
      </w:r>
    </w:p>
    <w:p w:rsidR="00FD7B45" w:rsidRPr="00B7218F" w:rsidRDefault="00FD7B45" w:rsidP="000912A4">
      <w:pPr>
        <w:pStyle w:val="Nadpis1"/>
      </w:pPr>
    </w:p>
    <w:p w:rsidR="00FD7B45" w:rsidRPr="00B7218F" w:rsidRDefault="00FD7B45" w:rsidP="000912A4">
      <w:pPr>
        <w:pStyle w:val="Nadpis1"/>
      </w:pPr>
    </w:p>
    <w:p w:rsidR="00FD7B45" w:rsidRPr="00B7218F" w:rsidRDefault="00FD7B45" w:rsidP="000912A4">
      <w:pPr>
        <w:pStyle w:val="Nadpis1"/>
      </w:pPr>
    </w:p>
    <w:p w:rsidR="00FD7B45" w:rsidRPr="00B7218F" w:rsidRDefault="00FD7B45" w:rsidP="000912A4">
      <w:pPr>
        <w:pStyle w:val="Nadpis1"/>
      </w:pPr>
    </w:p>
    <w:p w:rsidR="00FD7B45" w:rsidRPr="00B7218F" w:rsidRDefault="00FD7B45" w:rsidP="000912A4">
      <w:pPr>
        <w:pStyle w:val="Nadpis1"/>
      </w:pPr>
    </w:p>
    <w:p w:rsidR="00FD7B45" w:rsidRPr="00B7218F" w:rsidRDefault="00FD7B45" w:rsidP="000912A4">
      <w:pPr>
        <w:pStyle w:val="Nadpis1"/>
      </w:pPr>
    </w:p>
    <w:p w:rsidR="00FD7B45" w:rsidRPr="00B7218F" w:rsidRDefault="00FD7B45" w:rsidP="00D14BDA"/>
    <w:p w:rsidR="00FD7B45" w:rsidRPr="00B7218F" w:rsidRDefault="00FD7B45" w:rsidP="00D14BDA"/>
    <w:p w:rsidR="00FD7B45" w:rsidRPr="00B7218F" w:rsidRDefault="00FD7B45" w:rsidP="00877BB6">
      <w:pPr>
        <w:pStyle w:val="Nadpis1"/>
        <w:rPr>
          <w:caps/>
        </w:rPr>
      </w:pPr>
      <w:bookmarkStart w:id="5" w:name="_Toc282027338"/>
      <w:r w:rsidRPr="00B7218F">
        <w:rPr>
          <w:caps/>
        </w:rPr>
        <w:lastRenderedPageBreak/>
        <w:t>Seznam obrázku</w:t>
      </w:r>
      <w:bookmarkEnd w:id="5"/>
      <w:r w:rsidRPr="00B7218F">
        <w:rPr>
          <w:caps/>
        </w:rPr>
        <w:t xml:space="preserve"> </w:t>
      </w:r>
    </w:p>
    <w:p w:rsidR="00FD7B45" w:rsidRPr="00B7218F" w:rsidRDefault="00FD7B45" w:rsidP="00877BB6">
      <w:pPr>
        <w:spacing w:line="240" w:lineRule="auto"/>
      </w:pPr>
    </w:p>
    <w:p w:rsidR="00FD7B45" w:rsidRDefault="00A02874">
      <w:pPr>
        <w:pStyle w:val="Seznamobrzk"/>
        <w:tabs>
          <w:tab w:val="right" w:leader="dot" w:pos="8777"/>
        </w:tabs>
        <w:rPr>
          <w:rFonts w:ascii="Calibri" w:hAnsi="Calibri"/>
          <w:noProof/>
          <w:sz w:val="22"/>
          <w:lang w:eastAsia="cs-CZ"/>
        </w:rPr>
      </w:pPr>
      <w:r w:rsidRPr="00B7218F">
        <w:fldChar w:fldCharType="begin"/>
      </w:r>
      <w:r w:rsidR="00FD7B45" w:rsidRPr="00B7218F">
        <w:instrText xml:space="preserve"> TOC \h \z \t "Nadpis 4" \c </w:instrText>
      </w:r>
      <w:r w:rsidRPr="00B7218F">
        <w:fldChar w:fldCharType="separate"/>
      </w:r>
      <w:hyperlink w:anchor="_Toc282027248" w:history="1">
        <w:r w:rsidR="00FD7B45" w:rsidRPr="00D12C8E">
          <w:rPr>
            <w:rStyle w:val="Hypertextovodkaz"/>
            <w:noProof/>
          </w:rPr>
          <w:t>Obr.1:. Madridský scénář zavedení eura</w:t>
        </w:r>
        <w:r w:rsidR="00FD7B45">
          <w:rPr>
            <w:noProof/>
            <w:webHidden/>
          </w:rPr>
          <w:tab/>
        </w:r>
        <w:r>
          <w:rPr>
            <w:noProof/>
            <w:webHidden/>
          </w:rPr>
          <w:fldChar w:fldCharType="begin"/>
        </w:r>
        <w:r w:rsidR="00FD7B45">
          <w:rPr>
            <w:noProof/>
            <w:webHidden/>
          </w:rPr>
          <w:instrText xml:space="preserve"> PAGEREF _Toc282027248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Seznamobrzk"/>
        <w:tabs>
          <w:tab w:val="right" w:leader="dot" w:pos="8777"/>
        </w:tabs>
        <w:rPr>
          <w:rFonts w:ascii="Calibri" w:hAnsi="Calibri"/>
          <w:noProof/>
          <w:sz w:val="22"/>
          <w:lang w:eastAsia="cs-CZ"/>
        </w:rPr>
      </w:pPr>
      <w:hyperlink w:anchor="_Toc282027249" w:history="1">
        <w:r w:rsidR="00FD7B45" w:rsidRPr="00D12C8E">
          <w:rPr>
            <w:rStyle w:val="Hypertextovodkaz"/>
            <w:noProof/>
          </w:rPr>
          <w:t>Obr. 2: Scénář Big Bang zavedení eura</w:t>
        </w:r>
        <w:r w:rsidR="00FD7B45">
          <w:rPr>
            <w:noProof/>
            <w:webHidden/>
          </w:rPr>
          <w:tab/>
        </w:r>
        <w:r>
          <w:rPr>
            <w:noProof/>
            <w:webHidden/>
          </w:rPr>
          <w:fldChar w:fldCharType="begin"/>
        </w:r>
        <w:r w:rsidR="00FD7B45">
          <w:rPr>
            <w:noProof/>
            <w:webHidden/>
          </w:rPr>
          <w:instrText xml:space="preserve"> PAGEREF _Toc282027249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Seznamobrzk"/>
        <w:tabs>
          <w:tab w:val="right" w:leader="dot" w:pos="8777"/>
        </w:tabs>
        <w:rPr>
          <w:rFonts w:ascii="Calibri" w:hAnsi="Calibri"/>
          <w:noProof/>
          <w:sz w:val="22"/>
          <w:lang w:eastAsia="cs-CZ"/>
        </w:rPr>
      </w:pPr>
      <w:hyperlink w:anchor="_Toc282027250" w:history="1">
        <w:r w:rsidR="00FD7B45" w:rsidRPr="00D12C8E">
          <w:rPr>
            <w:rStyle w:val="Hypertextovodkaz"/>
            <w:noProof/>
          </w:rPr>
          <w:t>Obr. 3: Scénář Phasing Out zavedení eura</w:t>
        </w:r>
        <w:r w:rsidR="00FD7B45">
          <w:rPr>
            <w:noProof/>
            <w:webHidden/>
          </w:rPr>
          <w:tab/>
        </w:r>
        <w:r>
          <w:rPr>
            <w:noProof/>
            <w:webHidden/>
          </w:rPr>
          <w:fldChar w:fldCharType="begin"/>
        </w:r>
        <w:r w:rsidR="00FD7B45">
          <w:rPr>
            <w:noProof/>
            <w:webHidden/>
          </w:rPr>
          <w:instrText xml:space="preserve"> PAGEREF _Toc282027250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Seznamobrzk"/>
        <w:tabs>
          <w:tab w:val="right" w:leader="dot" w:pos="8777"/>
        </w:tabs>
        <w:rPr>
          <w:rFonts w:ascii="Calibri" w:hAnsi="Calibri"/>
          <w:noProof/>
          <w:sz w:val="22"/>
          <w:lang w:eastAsia="cs-CZ"/>
        </w:rPr>
      </w:pPr>
      <w:hyperlink w:anchor="_Toc282027251" w:history="1">
        <w:r w:rsidR="00FD7B45" w:rsidRPr="00D12C8E">
          <w:rPr>
            <w:rStyle w:val="Hypertextovodkaz"/>
            <w:noProof/>
            <w:lang w:eastAsia="cs-CZ"/>
          </w:rPr>
          <w:t>Obr.4: Vývoj ročního růstu HDP v mil. EUR</w:t>
        </w:r>
        <w:r w:rsidR="00FD7B45">
          <w:rPr>
            <w:noProof/>
            <w:webHidden/>
          </w:rPr>
          <w:tab/>
        </w:r>
        <w:r>
          <w:rPr>
            <w:noProof/>
            <w:webHidden/>
          </w:rPr>
          <w:fldChar w:fldCharType="begin"/>
        </w:r>
        <w:r w:rsidR="00FD7B45">
          <w:rPr>
            <w:noProof/>
            <w:webHidden/>
          </w:rPr>
          <w:instrText xml:space="preserve"> PAGEREF _Toc282027251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Seznamobrzk"/>
        <w:tabs>
          <w:tab w:val="right" w:leader="dot" w:pos="8777"/>
        </w:tabs>
        <w:rPr>
          <w:rFonts w:ascii="Calibri" w:hAnsi="Calibri"/>
          <w:noProof/>
          <w:sz w:val="22"/>
          <w:lang w:eastAsia="cs-CZ"/>
        </w:rPr>
      </w:pPr>
      <w:hyperlink w:anchor="_Toc282027252" w:history="1">
        <w:r w:rsidR="00FD7B45" w:rsidRPr="00D12C8E">
          <w:rPr>
            <w:rStyle w:val="Hypertextovodkaz"/>
            <w:noProof/>
            <w:lang w:eastAsia="cs-CZ"/>
          </w:rPr>
          <w:t>Obr.5: Vývoj ročního růstu HDP v %.</w:t>
        </w:r>
        <w:r w:rsidR="00FD7B45">
          <w:rPr>
            <w:noProof/>
            <w:webHidden/>
          </w:rPr>
          <w:tab/>
        </w:r>
        <w:r>
          <w:rPr>
            <w:noProof/>
            <w:webHidden/>
          </w:rPr>
          <w:fldChar w:fldCharType="begin"/>
        </w:r>
        <w:r w:rsidR="00FD7B45">
          <w:rPr>
            <w:noProof/>
            <w:webHidden/>
          </w:rPr>
          <w:instrText xml:space="preserve"> PAGEREF _Toc282027252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Seznamobrzk"/>
        <w:tabs>
          <w:tab w:val="right" w:leader="dot" w:pos="8777"/>
        </w:tabs>
        <w:rPr>
          <w:rFonts w:ascii="Calibri" w:hAnsi="Calibri"/>
          <w:noProof/>
          <w:sz w:val="22"/>
          <w:lang w:eastAsia="cs-CZ"/>
        </w:rPr>
      </w:pPr>
      <w:hyperlink w:anchor="_Toc282027253" w:history="1">
        <w:r w:rsidR="00FD7B45" w:rsidRPr="00D12C8E">
          <w:rPr>
            <w:rStyle w:val="Hypertextovodkaz"/>
            <w:noProof/>
            <w:lang w:eastAsia="cs-CZ"/>
          </w:rPr>
          <w:t>Obr.6: Vývoj reálné spotřeby a mzdových náhrad v mil. EUR</w:t>
        </w:r>
        <w:r w:rsidR="00FD7B45">
          <w:rPr>
            <w:noProof/>
            <w:webHidden/>
          </w:rPr>
          <w:tab/>
        </w:r>
        <w:r>
          <w:rPr>
            <w:noProof/>
            <w:webHidden/>
          </w:rPr>
          <w:fldChar w:fldCharType="begin"/>
        </w:r>
        <w:r w:rsidR="00FD7B45">
          <w:rPr>
            <w:noProof/>
            <w:webHidden/>
          </w:rPr>
          <w:instrText xml:space="preserve"> PAGEREF _Toc282027253 \h </w:instrText>
        </w:r>
        <w:r>
          <w:rPr>
            <w:noProof/>
            <w:webHidden/>
          </w:rPr>
        </w:r>
        <w:r>
          <w:rPr>
            <w:noProof/>
            <w:webHidden/>
          </w:rPr>
          <w:fldChar w:fldCharType="separate"/>
        </w:r>
        <w:r w:rsidR="00FD7B45">
          <w:rPr>
            <w:noProof/>
            <w:webHidden/>
          </w:rPr>
          <w:t>3</w:t>
        </w:r>
        <w:r>
          <w:rPr>
            <w:noProof/>
            <w:webHidden/>
          </w:rPr>
          <w:fldChar w:fldCharType="end"/>
        </w:r>
      </w:hyperlink>
    </w:p>
    <w:p w:rsidR="00FD7B45" w:rsidRDefault="00A02874">
      <w:pPr>
        <w:pStyle w:val="Seznamobrzk"/>
        <w:tabs>
          <w:tab w:val="right" w:leader="dot" w:pos="8777"/>
        </w:tabs>
        <w:rPr>
          <w:rFonts w:ascii="Calibri" w:hAnsi="Calibri"/>
          <w:noProof/>
          <w:sz w:val="22"/>
          <w:lang w:eastAsia="cs-CZ"/>
        </w:rPr>
      </w:pPr>
      <w:hyperlink w:anchor="_Toc282027254" w:history="1">
        <w:r w:rsidR="00FD7B45" w:rsidRPr="00D12C8E">
          <w:rPr>
            <w:rStyle w:val="Hypertextovodkaz"/>
            <w:noProof/>
            <w:lang w:eastAsia="cs-CZ"/>
          </w:rPr>
          <w:t>Obr.7: Vývoj reálné spotřeby a transferu v mil. EUR</w:t>
        </w:r>
        <w:r w:rsidR="00FD7B45">
          <w:rPr>
            <w:noProof/>
            <w:webHidden/>
          </w:rPr>
          <w:tab/>
        </w:r>
        <w:r>
          <w:rPr>
            <w:noProof/>
            <w:webHidden/>
          </w:rPr>
          <w:fldChar w:fldCharType="begin"/>
        </w:r>
        <w:r w:rsidR="00FD7B45">
          <w:rPr>
            <w:noProof/>
            <w:webHidden/>
          </w:rPr>
          <w:instrText xml:space="preserve"> PAGEREF _Toc282027254 \h </w:instrText>
        </w:r>
        <w:r>
          <w:rPr>
            <w:noProof/>
            <w:webHidden/>
          </w:rPr>
        </w:r>
        <w:r>
          <w:rPr>
            <w:noProof/>
            <w:webHidden/>
          </w:rPr>
          <w:fldChar w:fldCharType="separate"/>
        </w:r>
        <w:r w:rsidR="00FD7B45">
          <w:rPr>
            <w:noProof/>
            <w:webHidden/>
          </w:rPr>
          <w:t>3</w:t>
        </w:r>
        <w:r>
          <w:rPr>
            <w:noProof/>
            <w:webHidden/>
          </w:rPr>
          <w:fldChar w:fldCharType="end"/>
        </w:r>
      </w:hyperlink>
    </w:p>
    <w:p w:rsidR="00FD7B45" w:rsidRPr="00B7218F" w:rsidRDefault="00A02874" w:rsidP="00877BB6">
      <w:r w:rsidRPr="00B7218F">
        <w:fldChar w:fldCharType="end"/>
      </w:r>
    </w:p>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D14BDA"/>
    <w:p w:rsidR="00FD7B45" w:rsidRPr="00B7218F" w:rsidRDefault="00FD7B45" w:rsidP="00981541"/>
    <w:p w:rsidR="00FD7B45" w:rsidRPr="00B7218F" w:rsidRDefault="00FD7B45" w:rsidP="001B5F61">
      <w:pPr>
        <w:pStyle w:val="Nadpis4"/>
      </w:pPr>
    </w:p>
    <w:p w:rsidR="00FD7B45" w:rsidRPr="00B7218F" w:rsidRDefault="00FD7B45" w:rsidP="006E036D">
      <w:pPr>
        <w:spacing w:line="240" w:lineRule="auto"/>
      </w:pPr>
    </w:p>
    <w:p w:rsidR="00FD7B45" w:rsidRPr="00B7218F" w:rsidRDefault="00FD7B45" w:rsidP="006E036D">
      <w:pPr>
        <w:spacing w:line="240" w:lineRule="auto"/>
      </w:pPr>
    </w:p>
    <w:p w:rsidR="00FD7B45" w:rsidRDefault="00FD7B45" w:rsidP="00877BB6">
      <w:pPr>
        <w:pStyle w:val="Nadpis1"/>
        <w:rPr>
          <w:caps/>
        </w:rPr>
      </w:pPr>
      <w:bookmarkStart w:id="6" w:name="_Toc282027339"/>
      <w:r w:rsidRPr="00B7218F">
        <w:rPr>
          <w:caps/>
        </w:rPr>
        <w:lastRenderedPageBreak/>
        <w:t>Seznam tabulek</w:t>
      </w:r>
      <w:bookmarkEnd w:id="6"/>
      <w:r w:rsidRPr="00B7218F">
        <w:rPr>
          <w:caps/>
        </w:rPr>
        <w:t xml:space="preserve"> </w:t>
      </w:r>
    </w:p>
    <w:p w:rsidR="00FD7B45" w:rsidRPr="00535BB7" w:rsidRDefault="00FD7B45" w:rsidP="00535BB7"/>
    <w:p w:rsidR="00C046AA" w:rsidRDefault="00A02874">
      <w:pPr>
        <w:pStyle w:val="Seznamobrzk"/>
        <w:tabs>
          <w:tab w:val="right" w:leader="dot" w:pos="8777"/>
        </w:tabs>
        <w:rPr>
          <w:rFonts w:asciiTheme="minorHAnsi" w:eastAsiaTheme="minorEastAsia" w:hAnsiTheme="minorHAnsi" w:cstheme="minorBidi"/>
          <w:noProof/>
          <w:sz w:val="22"/>
          <w:lang w:eastAsia="cs-CZ"/>
        </w:rPr>
      </w:pPr>
      <w:r w:rsidRPr="00B7218F">
        <w:fldChar w:fldCharType="begin"/>
      </w:r>
      <w:r w:rsidR="00FD7B45" w:rsidRPr="00B7218F">
        <w:instrText xml:space="preserve"> TOC \f F \h \z \t "Nadpis 5" \c </w:instrText>
      </w:r>
      <w:r w:rsidRPr="00B7218F">
        <w:fldChar w:fldCharType="separate"/>
      </w:r>
      <w:hyperlink w:anchor="_Toc282364920" w:history="1">
        <w:r w:rsidR="00C046AA" w:rsidRPr="00B6413E">
          <w:rPr>
            <w:rStyle w:val="Hypertextovodkaz"/>
            <w:noProof/>
          </w:rPr>
          <w:t>Tab.1: Korelace spotřeby</w:t>
        </w:r>
        <w:r w:rsidR="00C046AA">
          <w:rPr>
            <w:noProof/>
            <w:webHidden/>
          </w:rPr>
          <w:tab/>
        </w:r>
        <w:r w:rsidR="00C046AA">
          <w:rPr>
            <w:noProof/>
            <w:webHidden/>
          </w:rPr>
          <w:fldChar w:fldCharType="begin"/>
        </w:r>
        <w:r w:rsidR="00C046AA">
          <w:rPr>
            <w:noProof/>
            <w:webHidden/>
          </w:rPr>
          <w:instrText xml:space="preserve"> PAGEREF _Toc282364920 \h </w:instrText>
        </w:r>
        <w:r w:rsidR="00C046AA">
          <w:rPr>
            <w:noProof/>
            <w:webHidden/>
          </w:rPr>
        </w:r>
        <w:r w:rsidR="00C046AA">
          <w:rPr>
            <w:noProof/>
            <w:webHidden/>
          </w:rPr>
          <w:fldChar w:fldCharType="separate"/>
        </w:r>
        <w:r w:rsidR="00C046AA">
          <w:rPr>
            <w:noProof/>
            <w:webHidden/>
          </w:rPr>
          <w:t>54</w:t>
        </w:r>
        <w:r w:rsidR="00C046AA">
          <w:rPr>
            <w:noProof/>
            <w:webHidden/>
          </w:rPr>
          <w:fldChar w:fldCharType="end"/>
        </w:r>
      </w:hyperlink>
    </w:p>
    <w:p w:rsidR="00C046AA" w:rsidRDefault="00C046AA">
      <w:pPr>
        <w:pStyle w:val="Seznamobrzk"/>
        <w:tabs>
          <w:tab w:val="right" w:leader="dot" w:pos="8777"/>
        </w:tabs>
        <w:rPr>
          <w:rFonts w:asciiTheme="minorHAnsi" w:eastAsiaTheme="minorEastAsia" w:hAnsiTheme="minorHAnsi" w:cstheme="minorBidi"/>
          <w:noProof/>
          <w:sz w:val="22"/>
          <w:lang w:eastAsia="cs-CZ"/>
        </w:rPr>
      </w:pPr>
      <w:hyperlink w:anchor="_Toc282364921" w:history="1">
        <w:r w:rsidRPr="00B6413E">
          <w:rPr>
            <w:rStyle w:val="Hypertextovodkaz"/>
            <w:noProof/>
          </w:rPr>
          <w:t>Tab.2: Korelace vládních výdajů</w:t>
        </w:r>
        <w:r>
          <w:rPr>
            <w:noProof/>
            <w:webHidden/>
          </w:rPr>
          <w:tab/>
        </w:r>
        <w:r>
          <w:rPr>
            <w:noProof/>
            <w:webHidden/>
          </w:rPr>
          <w:fldChar w:fldCharType="begin"/>
        </w:r>
        <w:r>
          <w:rPr>
            <w:noProof/>
            <w:webHidden/>
          </w:rPr>
          <w:instrText xml:space="preserve"> PAGEREF _Toc282364921 \h </w:instrText>
        </w:r>
        <w:r>
          <w:rPr>
            <w:noProof/>
            <w:webHidden/>
          </w:rPr>
        </w:r>
        <w:r>
          <w:rPr>
            <w:noProof/>
            <w:webHidden/>
          </w:rPr>
          <w:fldChar w:fldCharType="separate"/>
        </w:r>
        <w:r>
          <w:rPr>
            <w:noProof/>
            <w:webHidden/>
          </w:rPr>
          <w:t>55</w:t>
        </w:r>
        <w:r>
          <w:rPr>
            <w:noProof/>
            <w:webHidden/>
          </w:rPr>
          <w:fldChar w:fldCharType="end"/>
        </w:r>
      </w:hyperlink>
    </w:p>
    <w:p w:rsidR="00C046AA" w:rsidRDefault="00C046AA">
      <w:pPr>
        <w:pStyle w:val="Seznamobrzk"/>
        <w:tabs>
          <w:tab w:val="right" w:leader="dot" w:pos="8777"/>
        </w:tabs>
        <w:rPr>
          <w:rFonts w:asciiTheme="minorHAnsi" w:eastAsiaTheme="minorEastAsia" w:hAnsiTheme="minorHAnsi" w:cstheme="minorBidi"/>
          <w:noProof/>
          <w:sz w:val="22"/>
          <w:lang w:eastAsia="cs-CZ"/>
        </w:rPr>
      </w:pPr>
      <w:hyperlink w:anchor="_Toc282364922" w:history="1">
        <w:r w:rsidRPr="00B6413E">
          <w:rPr>
            <w:rStyle w:val="Hypertextovodkaz"/>
            <w:noProof/>
          </w:rPr>
          <w:t>Tab.3: Korelace investic</w:t>
        </w:r>
        <w:r>
          <w:rPr>
            <w:noProof/>
            <w:webHidden/>
          </w:rPr>
          <w:tab/>
        </w:r>
        <w:r>
          <w:rPr>
            <w:noProof/>
            <w:webHidden/>
          </w:rPr>
          <w:fldChar w:fldCharType="begin"/>
        </w:r>
        <w:r>
          <w:rPr>
            <w:noProof/>
            <w:webHidden/>
          </w:rPr>
          <w:instrText xml:space="preserve"> PAGEREF _Toc282364922 \h </w:instrText>
        </w:r>
        <w:r>
          <w:rPr>
            <w:noProof/>
            <w:webHidden/>
          </w:rPr>
        </w:r>
        <w:r>
          <w:rPr>
            <w:noProof/>
            <w:webHidden/>
          </w:rPr>
          <w:fldChar w:fldCharType="separate"/>
        </w:r>
        <w:r>
          <w:rPr>
            <w:noProof/>
            <w:webHidden/>
          </w:rPr>
          <w:t>57</w:t>
        </w:r>
        <w:r>
          <w:rPr>
            <w:noProof/>
            <w:webHidden/>
          </w:rPr>
          <w:fldChar w:fldCharType="end"/>
        </w:r>
      </w:hyperlink>
    </w:p>
    <w:p w:rsidR="00C046AA" w:rsidRDefault="00C046AA">
      <w:pPr>
        <w:pStyle w:val="Seznamobrzk"/>
        <w:tabs>
          <w:tab w:val="right" w:leader="dot" w:pos="8777"/>
        </w:tabs>
        <w:rPr>
          <w:rFonts w:asciiTheme="minorHAnsi" w:eastAsiaTheme="minorEastAsia" w:hAnsiTheme="minorHAnsi" w:cstheme="minorBidi"/>
          <w:noProof/>
          <w:sz w:val="22"/>
          <w:lang w:eastAsia="cs-CZ"/>
        </w:rPr>
      </w:pPr>
      <w:hyperlink w:anchor="_Toc282364923" w:history="1">
        <w:r w:rsidRPr="00B6413E">
          <w:rPr>
            <w:rStyle w:val="Hypertextovodkaz"/>
            <w:noProof/>
          </w:rPr>
          <w:t>Tab.4: Korelace reálných náhrad</w:t>
        </w:r>
        <w:r>
          <w:rPr>
            <w:noProof/>
            <w:webHidden/>
          </w:rPr>
          <w:tab/>
        </w:r>
        <w:r>
          <w:rPr>
            <w:noProof/>
            <w:webHidden/>
          </w:rPr>
          <w:fldChar w:fldCharType="begin"/>
        </w:r>
        <w:r>
          <w:rPr>
            <w:noProof/>
            <w:webHidden/>
          </w:rPr>
          <w:instrText xml:space="preserve"> PAGEREF _Toc282364923 \h </w:instrText>
        </w:r>
        <w:r>
          <w:rPr>
            <w:noProof/>
            <w:webHidden/>
          </w:rPr>
        </w:r>
        <w:r>
          <w:rPr>
            <w:noProof/>
            <w:webHidden/>
          </w:rPr>
          <w:fldChar w:fldCharType="separate"/>
        </w:r>
        <w:r>
          <w:rPr>
            <w:noProof/>
            <w:webHidden/>
          </w:rPr>
          <w:t>60</w:t>
        </w:r>
        <w:r>
          <w:rPr>
            <w:noProof/>
            <w:webHidden/>
          </w:rPr>
          <w:fldChar w:fldCharType="end"/>
        </w:r>
      </w:hyperlink>
    </w:p>
    <w:p w:rsidR="00C046AA" w:rsidRDefault="00C046AA">
      <w:pPr>
        <w:pStyle w:val="Seznamobrzk"/>
        <w:tabs>
          <w:tab w:val="right" w:leader="dot" w:pos="8777"/>
        </w:tabs>
        <w:rPr>
          <w:rFonts w:asciiTheme="minorHAnsi" w:eastAsiaTheme="minorEastAsia" w:hAnsiTheme="minorHAnsi" w:cstheme="minorBidi"/>
          <w:noProof/>
          <w:sz w:val="22"/>
          <w:lang w:eastAsia="cs-CZ"/>
        </w:rPr>
      </w:pPr>
      <w:hyperlink w:anchor="_Toc282364924" w:history="1">
        <w:r w:rsidRPr="00B6413E">
          <w:rPr>
            <w:rStyle w:val="Hypertextovodkaz"/>
            <w:noProof/>
          </w:rPr>
          <w:t>Tab.5: Korelace transferu</w:t>
        </w:r>
        <w:r>
          <w:rPr>
            <w:noProof/>
            <w:webHidden/>
          </w:rPr>
          <w:tab/>
        </w:r>
        <w:r>
          <w:rPr>
            <w:noProof/>
            <w:webHidden/>
          </w:rPr>
          <w:fldChar w:fldCharType="begin"/>
        </w:r>
        <w:r>
          <w:rPr>
            <w:noProof/>
            <w:webHidden/>
          </w:rPr>
          <w:instrText xml:space="preserve"> PAGEREF _Toc282364924 \h </w:instrText>
        </w:r>
        <w:r>
          <w:rPr>
            <w:noProof/>
            <w:webHidden/>
          </w:rPr>
        </w:r>
        <w:r>
          <w:rPr>
            <w:noProof/>
            <w:webHidden/>
          </w:rPr>
          <w:fldChar w:fldCharType="separate"/>
        </w:r>
        <w:r>
          <w:rPr>
            <w:noProof/>
            <w:webHidden/>
          </w:rPr>
          <w:t>62</w:t>
        </w:r>
        <w:r>
          <w:rPr>
            <w:noProof/>
            <w:webHidden/>
          </w:rPr>
          <w:fldChar w:fldCharType="end"/>
        </w:r>
      </w:hyperlink>
    </w:p>
    <w:p w:rsidR="00C046AA" w:rsidRDefault="00C046AA">
      <w:pPr>
        <w:pStyle w:val="Seznamobrzk"/>
        <w:tabs>
          <w:tab w:val="right" w:leader="dot" w:pos="8777"/>
        </w:tabs>
        <w:rPr>
          <w:rFonts w:asciiTheme="minorHAnsi" w:eastAsiaTheme="minorEastAsia" w:hAnsiTheme="minorHAnsi" w:cstheme="minorBidi"/>
          <w:noProof/>
          <w:sz w:val="22"/>
          <w:lang w:eastAsia="cs-CZ"/>
        </w:rPr>
      </w:pPr>
      <w:hyperlink w:anchor="_Toc282364925" w:history="1">
        <w:r w:rsidRPr="00B6413E">
          <w:rPr>
            <w:rStyle w:val="Hypertextovodkaz"/>
            <w:noProof/>
          </w:rPr>
          <w:t>Tab.8: Přehled vládních výdajů</w:t>
        </w:r>
        <w:r>
          <w:rPr>
            <w:noProof/>
            <w:webHidden/>
          </w:rPr>
          <w:tab/>
        </w:r>
        <w:r>
          <w:rPr>
            <w:noProof/>
            <w:webHidden/>
          </w:rPr>
          <w:fldChar w:fldCharType="begin"/>
        </w:r>
        <w:r>
          <w:rPr>
            <w:noProof/>
            <w:webHidden/>
          </w:rPr>
          <w:instrText xml:space="preserve"> PAGEREF _Toc282364925 \h </w:instrText>
        </w:r>
        <w:r>
          <w:rPr>
            <w:noProof/>
            <w:webHidden/>
          </w:rPr>
        </w:r>
        <w:r>
          <w:rPr>
            <w:noProof/>
            <w:webHidden/>
          </w:rPr>
          <w:fldChar w:fldCharType="separate"/>
        </w:r>
        <w:r>
          <w:rPr>
            <w:noProof/>
            <w:webHidden/>
          </w:rPr>
          <w:t>77</w:t>
        </w:r>
        <w:r>
          <w:rPr>
            <w:noProof/>
            <w:webHidden/>
          </w:rPr>
          <w:fldChar w:fldCharType="end"/>
        </w:r>
      </w:hyperlink>
    </w:p>
    <w:p w:rsidR="00C046AA" w:rsidRDefault="00C046AA">
      <w:pPr>
        <w:pStyle w:val="Seznamobrzk"/>
        <w:tabs>
          <w:tab w:val="right" w:leader="dot" w:pos="8777"/>
        </w:tabs>
        <w:rPr>
          <w:rFonts w:asciiTheme="minorHAnsi" w:eastAsiaTheme="minorEastAsia" w:hAnsiTheme="minorHAnsi" w:cstheme="minorBidi"/>
          <w:noProof/>
          <w:sz w:val="22"/>
          <w:lang w:eastAsia="cs-CZ"/>
        </w:rPr>
      </w:pPr>
      <w:hyperlink w:anchor="_Toc282364926" w:history="1">
        <w:r w:rsidRPr="00B6413E">
          <w:rPr>
            <w:rStyle w:val="Hypertextovodkaz"/>
            <w:noProof/>
          </w:rPr>
          <w:t>Tab.9: Podrobný přehled vládních výdajů</w:t>
        </w:r>
        <w:r>
          <w:rPr>
            <w:noProof/>
            <w:webHidden/>
          </w:rPr>
          <w:tab/>
        </w:r>
        <w:r>
          <w:rPr>
            <w:noProof/>
            <w:webHidden/>
          </w:rPr>
          <w:fldChar w:fldCharType="begin"/>
        </w:r>
        <w:r>
          <w:rPr>
            <w:noProof/>
            <w:webHidden/>
          </w:rPr>
          <w:instrText xml:space="preserve"> PAGEREF _Toc282364926 \h </w:instrText>
        </w:r>
        <w:r>
          <w:rPr>
            <w:noProof/>
            <w:webHidden/>
          </w:rPr>
        </w:r>
        <w:r>
          <w:rPr>
            <w:noProof/>
            <w:webHidden/>
          </w:rPr>
          <w:fldChar w:fldCharType="separate"/>
        </w:r>
        <w:r>
          <w:rPr>
            <w:noProof/>
            <w:webHidden/>
          </w:rPr>
          <w:t>78</w:t>
        </w:r>
        <w:r>
          <w:rPr>
            <w:noProof/>
            <w:webHidden/>
          </w:rPr>
          <w:fldChar w:fldCharType="end"/>
        </w:r>
      </w:hyperlink>
    </w:p>
    <w:p w:rsidR="00C046AA" w:rsidRDefault="00C046AA">
      <w:pPr>
        <w:pStyle w:val="Seznamobrzk"/>
        <w:tabs>
          <w:tab w:val="right" w:leader="dot" w:pos="8777"/>
        </w:tabs>
        <w:rPr>
          <w:rFonts w:asciiTheme="minorHAnsi" w:eastAsiaTheme="minorEastAsia" w:hAnsiTheme="minorHAnsi" w:cstheme="minorBidi"/>
          <w:noProof/>
          <w:sz w:val="22"/>
          <w:lang w:eastAsia="cs-CZ"/>
        </w:rPr>
      </w:pPr>
      <w:hyperlink w:anchor="_Toc282364927" w:history="1">
        <w:r w:rsidRPr="00B6413E">
          <w:rPr>
            <w:rStyle w:val="Hypertextovodkaz"/>
            <w:noProof/>
          </w:rPr>
          <w:t>Tab.10: Podrobný přehled investic</w:t>
        </w:r>
        <w:r>
          <w:rPr>
            <w:noProof/>
            <w:webHidden/>
          </w:rPr>
          <w:tab/>
        </w:r>
        <w:r>
          <w:rPr>
            <w:noProof/>
            <w:webHidden/>
          </w:rPr>
          <w:fldChar w:fldCharType="begin"/>
        </w:r>
        <w:r>
          <w:rPr>
            <w:noProof/>
            <w:webHidden/>
          </w:rPr>
          <w:instrText xml:space="preserve"> PAGEREF _Toc282364927 \h </w:instrText>
        </w:r>
        <w:r>
          <w:rPr>
            <w:noProof/>
            <w:webHidden/>
          </w:rPr>
        </w:r>
        <w:r>
          <w:rPr>
            <w:noProof/>
            <w:webHidden/>
          </w:rPr>
          <w:fldChar w:fldCharType="separate"/>
        </w:r>
        <w:r>
          <w:rPr>
            <w:noProof/>
            <w:webHidden/>
          </w:rPr>
          <w:t>85</w:t>
        </w:r>
        <w:r>
          <w:rPr>
            <w:noProof/>
            <w:webHidden/>
          </w:rPr>
          <w:fldChar w:fldCharType="end"/>
        </w:r>
      </w:hyperlink>
    </w:p>
    <w:p w:rsidR="00C046AA" w:rsidRDefault="00C046AA">
      <w:pPr>
        <w:pStyle w:val="Seznamobrzk"/>
        <w:tabs>
          <w:tab w:val="right" w:leader="dot" w:pos="8777"/>
        </w:tabs>
        <w:rPr>
          <w:rFonts w:asciiTheme="minorHAnsi" w:eastAsiaTheme="minorEastAsia" w:hAnsiTheme="minorHAnsi" w:cstheme="minorBidi"/>
          <w:noProof/>
          <w:sz w:val="22"/>
          <w:lang w:eastAsia="cs-CZ"/>
        </w:rPr>
      </w:pPr>
      <w:hyperlink w:anchor="_Toc282364928" w:history="1">
        <w:r w:rsidRPr="00B6413E">
          <w:rPr>
            <w:rStyle w:val="Hypertextovodkaz"/>
            <w:noProof/>
          </w:rPr>
          <w:t>Tab.11: Vývoj všech komponent HDP</w:t>
        </w:r>
        <w:r>
          <w:rPr>
            <w:noProof/>
            <w:webHidden/>
          </w:rPr>
          <w:tab/>
        </w:r>
        <w:r>
          <w:rPr>
            <w:noProof/>
            <w:webHidden/>
          </w:rPr>
          <w:fldChar w:fldCharType="begin"/>
        </w:r>
        <w:r>
          <w:rPr>
            <w:noProof/>
            <w:webHidden/>
          </w:rPr>
          <w:instrText xml:space="preserve"> PAGEREF _Toc282364928 \h </w:instrText>
        </w:r>
        <w:r>
          <w:rPr>
            <w:noProof/>
            <w:webHidden/>
          </w:rPr>
        </w:r>
        <w:r>
          <w:rPr>
            <w:noProof/>
            <w:webHidden/>
          </w:rPr>
          <w:fldChar w:fldCharType="separate"/>
        </w:r>
        <w:r>
          <w:rPr>
            <w:noProof/>
            <w:webHidden/>
          </w:rPr>
          <w:t>90</w:t>
        </w:r>
        <w:r>
          <w:rPr>
            <w:noProof/>
            <w:webHidden/>
          </w:rPr>
          <w:fldChar w:fldCharType="end"/>
        </w:r>
      </w:hyperlink>
    </w:p>
    <w:p w:rsidR="00FD7B45" w:rsidRPr="00B7218F" w:rsidRDefault="00A02874" w:rsidP="00877BB6">
      <w:pPr>
        <w:spacing w:line="240" w:lineRule="auto"/>
      </w:pPr>
      <w:r w:rsidRPr="00B7218F">
        <w:fldChar w:fldCharType="end"/>
      </w: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Pr="00B7218F" w:rsidRDefault="00FD7B45" w:rsidP="006E036D">
      <w:pPr>
        <w:spacing w:line="240" w:lineRule="auto"/>
      </w:pPr>
    </w:p>
    <w:p w:rsidR="00FD7B45" w:rsidRDefault="00FD7B45" w:rsidP="00D14BDA"/>
    <w:p w:rsidR="00FD7B45" w:rsidRDefault="00FD7B45" w:rsidP="00D14BDA"/>
    <w:p w:rsidR="00FD7B45" w:rsidRPr="00B7218F" w:rsidRDefault="00FD7B45" w:rsidP="00D14BDA"/>
    <w:p w:rsidR="00FD7B45" w:rsidRPr="00B7218F" w:rsidRDefault="00FD7B45" w:rsidP="00D14BDA"/>
    <w:p w:rsidR="00FD7B45" w:rsidRDefault="00FD7B45" w:rsidP="00D14BDA"/>
    <w:p w:rsidR="00C046AA" w:rsidRPr="00B7218F" w:rsidRDefault="00C046AA" w:rsidP="00D14BDA"/>
    <w:p w:rsidR="00FD7B45" w:rsidRPr="00B7218F" w:rsidRDefault="00FD7B45" w:rsidP="00D14BDA"/>
    <w:p w:rsidR="00FD7B45" w:rsidRPr="00B7218F" w:rsidRDefault="00FD7B45" w:rsidP="00494729">
      <w:pPr>
        <w:pStyle w:val="Nadpis1"/>
      </w:pPr>
      <w:bookmarkStart w:id="7" w:name="_Toc282027340"/>
      <w:r>
        <w:lastRenderedPageBreak/>
        <w:t>SEZNAM ZKRATEK A SYMBOLŮ</w:t>
      </w:r>
      <w:bookmarkEnd w:id="7"/>
    </w:p>
    <w:p w:rsidR="00FD7B45" w:rsidRPr="00B7218F" w:rsidRDefault="00FD7B45" w:rsidP="00494729"/>
    <w:p w:rsidR="00FD7B45" w:rsidRPr="00B7218F" w:rsidRDefault="00FD7B45" w:rsidP="00494729">
      <w:r w:rsidRPr="00B7218F">
        <w:t>EU – Evropská Unie</w:t>
      </w:r>
    </w:p>
    <w:p w:rsidR="00FD7B45" w:rsidRPr="00B7218F" w:rsidRDefault="00FD7B45" w:rsidP="00494729">
      <w:r w:rsidRPr="00B7218F">
        <w:t>EUR – Euro</w:t>
      </w:r>
    </w:p>
    <w:p w:rsidR="00FD7B45" w:rsidRPr="00B7218F" w:rsidRDefault="00FD7B45" w:rsidP="00494729">
      <w:r w:rsidRPr="00B7218F">
        <w:t>EMI – Evropský měnový systém</w:t>
      </w:r>
    </w:p>
    <w:p w:rsidR="00FD7B45" w:rsidRPr="00B7218F" w:rsidRDefault="00FD7B45" w:rsidP="00494729">
      <w:r w:rsidRPr="00B7218F">
        <w:t>EMU – Evropská měnová unie</w:t>
      </w:r>
    </w:p>
    <w:p w:rsidR="00FD7B45" w:rsidRDefault="00FD7B45" w:rsidP="00494729">
      <w:r>
        <w:t xml:space="preserve">ERM II – </w:t>
      </w:r>
      <w:r w:rsidRPr="00B7218F">
        <w:t>Systém směnných kurzů</w:t>
      </w:r>
    </w:p>
    <w:p w:rsidR="00FD7B45" w:rsidRPr="00B7218F" w:rsidRDefault="00FD7B45" w:rsidP="00494729">
      <w:r>
        <w:t>HDP – Hrubý domácí produkt</w:t>
      </w:r>
    </w:p>
    <w:p w:rsidR="00FD7B45" w:rsidRPr="00B7218F" w:rsidRDefault="00FD7B45" w:rsidP="00494729">
      <w:r w:rsidRPr="00B7218F">
        <w:t>HMU – Hospodářská a měnová unie</w:t>
      </w:r>
    </w:p>
    <w:p w:rsidR="00FD7B45" w:rsidRDefault="00FD7B45" w:rsidP="005A1353">
      <w:pPr>
        <w:pStyle w:val="Nadpis1"/>
        <w:spacing w:after="240"/>
        <w:rPr>
          <w:caps/>
        </w:rPr>
      </w:pPr>
    </w:p>
    <w:p w:rsidR="00FD7B45" w:rsidRDefault="00FD7B45" w:rsidP="005A1353">
      <w:pPr>
        <w:pStyle w:val="Nadpis1"/>
        <w:spacing w:after="240"/>
        <w:rPr>
          <w:caps/>
          <w:sz w:val="24"/>
        </w:rPr>
      </w:pPr>
    </w:p>
    <w:p w:rsidR="00FD7B45" w:rsidRDefault="00FD7B45" w:rsidP="00494729"/>
    <w:p w:rsidR="00FD7B45" w:rsidRPr="00494729" w:rsidRDefault="00FD7B45" w:rsidP="00494729"/>
    <w:p w:rsidR="00FD7B45" w:rsidRDefault="00FD7B45" w:rsidP="005A1353">
      <w:pPr>
        <w:pStyle w:val="Nadpis1"/>
        <w:spacing w:after="240"/>
        <w:rPr>
          <w:caps/>
        </w:rPr>
      </w:pPr>
    </w:p>
    <w:p w:rsidR="00FD7B45" w:rsidRDefault="00FD7B45" w:rsidP="005A1353">
      <w:pPr>
        <w:pStyle w:val="Nadpis1"/>
        <w:spacing w:after="240"/>
        <w:rPr>
          <w:caps/>
        </w:rPr>
      </w:pPr>
    </w:p>
    <w:p w:rsidR="00FD7B45" w:rsidRDefault="00FD7B45" w:rsidP="005A1353">
      <w:pPr>
        <w:pStyle w:val="Nadpis1"/>
        <w:spacing w:after="240"/>
        <w:rPr>
          <w:caps/>
        </w:rPr>
      </w:pPr>
    </w:p>
    <w:p w:rsidR="00FD7B45" w:rsidRDefault="00FD7B45" w:rsidP="005A1353">
      <w:pPr>
        <w:pStyle w:val="Nadpis1"/>
        <w:spacing w:after="240"/>
        <w:rPr>
          <w:caps/>
          <w:sz w:val="24"/>
        </w:rPr>
      </w:pPr>
    </w:p>
    <w:p w:rsidR="00FD7B45" w:rsidRDefault="00FD7B45" w:rsidP="00494729"/>
    <w:p w:rsidR="00FD7B45" w:rsidRPr="00494729" w:rsidRDefault="00FD7B45" w:rsidP="00494729"/>
    <w:p w:rsidR="00FD7B45" w:rsidRPr="00B7218F" w:rsidRDefault="00FD7B45" w:rsidP="005A1353">
      <w:pPr>
        <w:pStyle w:val="Nadpis1"/>
        <w:spacing w:after="240"/>
        <w:rPr>
          <w:caps/>
        </w:rPr>
      </w:pPr>
      <w:bookmarkStart w:id="8" w:name="_Toc282027341"/>
      <w:r w:rsidRPr="00B7218F">
        <w:rPr>
          <w:caps/>
        </w:rPr>
        <w:lastRenderedPageBreak/>
        <w:t>Úvod</w:t>
      </w:r>
      <w:bookmarkEnd w:id="8"/>
    </w:p>
    <w:p w:rsidR="00FD7B45" w:rsidRDefault="00FD7B45" w:rsidP="00565C05"/>
    <w:p w:rsidR="00FD7B45" w:rsidRDefault="00FD7B45" w:rsidP="00565C05">
      <w:r>
        <w:t xml:space="preserve">Jak plyne z názvu této diplomové práce, budou v ní analyzovány dosavadní zkušenosti Slovinska se zavedením eura. Tyto zkušenosti budou charakterizovány jak z hlediska teoretického, tak i z hlediska praktického. V této práci bude nejdříve analyzována teoretická část a následně část praktická. Teoretická část bude rozdělena na dvě </w:t>
      </w:r>
      <w:proofErr w:type="gramStart"/>
      <w:r>
        <w:t>kapitoly     a praktická</w:t>
      </w:r>
      <w:proofErr w:type="gramEnd"/>
      <w:r>
        <w:t xml:space="preserve"> část obsahuje pouze na jednu kapitolu. V teoretické části budou čerpány informace z oficiálních dat zveřejněných na stránkách Evropské centrální banky a dalších institutů v Evropské unii. Mimo těchto zdrojů budou čerpány informace z tištěných publikací a z oficiálních stránek české vlády, které se věnují přechodu na euro. Zatímco v praktické části budou data čerpána zejména z oficiálních stránek Slovinského statistického úřadu, případně ze stránek </w:t>
      </w:r>
      <w:proofErr w:type="spellStart"/>
      <w:r>
        <w:t>Eurostatu</w:t>
      </w:r>
      <w:proofErr w:type="spellEnd"/>
      <w:r>
        <w:t>.</w:t>
      </w:r>
    </w:p>
    <w:p w:rsidR="00FD7B45" w:rsidRDefault="00FD7B45" w:rsidP="00565C05"/>
    <w:p w:rsidR="00FD7B45" w:rsidRDefault="00FD7B45" w:rsidP="00565C05">
      <w:r w:rsidRPr="00293C38">
        <w:rPr>
          <w:b/>
        </w:rPr>
        <w:t>V</w:t>
      </w:r>
      <w:r>
        <w:rPr>
          <w:b/>
        </w:rPr>
        <w:t> první kapitole</w:t>
      </w:r>
      <w:r>
        <w:t xml:space="preserve"> budou zmíněny základní informace o Eurozóně a jejím vývoji. Na </w:t>
      </w:r>
      <w:proofErr w:type="gramStart"/>
      <w:r>
        <w:t>to  naváží</w:t>
      </w:r>
      <w:proofErr w:type="gramEnd"/>
      <w:r>
        <w:t xml:space="preserve"> informace o postupu zavádění eura a o jednotlivých scénářích, které lze během přechodu na jednotnou měnu využít. Následuje podkapitola, ve které budou prezentovány Maastrichtská neboli konvergenční kritéria. Po charakterizování těchto kritérií budou zmíněna i kritéria legislativní, která nejsou tak známá jako předešlá kritéria. Na řadu přijdou pojmy reálná konvergence a výhody či nevýhody zavedení eura. Možné </w:t>
      </w:r>
      <w:proofErr w:type="gramStart"/>
      <w:r>
        <w:t>výhody     či</w:t>
      </w:r>
      <w:proofErr w:type="gramEnd"/>
      <w:r>
        <w:t xml:space="preserve"> nevýhody týkající se zavedení jednotné měny uzavřou první kapitolu teoretické části.</w:t>
      </w:r>
    </w:p>
    <w:p w:rsidR="00FD7B45" w:rsidRPr="00B7218F" w:rsidRDefault="00FD7B45" w:rsidP="00565C05"/>
    <w:p w:rsidR="00FD7B45" w:rsidRDefault="00FD7B45" w:rsidP="00565C05">
      <w:r w:rsidRPr="00E24A84">
        <w:rPr>
          <w:b/>
        </w:rPr>
        <w:t>V rámci druhé kapitoly</w:t>
      </w:r>
      <w:r>
        <w:t xml:space="preserve"> budou charakterizovány přípravy na zavedení eura ze strany Slovinska. Každá členská země Evropské unie, která vstoupí do Eurozóny, musí mít připravený tzv. národní plán pro zavedení eura, ze kterého čerpá a podle něhož postupuje. Daný plán lze během procesu měnit a doplňovat. Podle tohoto plánu postupovala také slovinská vláda. Na začátku kapitoly budou zmíněny praktické přípravy pro zavedení eura. Následují informace o převodu finančních prostředků, vývoji cen a reakcí veřejnosti na vlastní přechod k euru. Poté v závěru této kapitoly budou charakterizovány </w:t>
      </w:r>
      <w:proofErr w:type="gramStart"/>
      <w:r>
        <w:t>výsledky          o přípravách</w:t>
      </w:r>
      <w:proofErr w:type="gramEnd"/>
      <w:r>
        <w:t xml:space="preserve"> na zavedení eura ve Slovinsku z konvergenčních zpráv, které jsou vydávány evropskou komisí a jsou zveřejňovány na stránkách Evropské centrální banky. </w:t>
      </w:r>
    </w:p>
    <w:p w:rsidR="00FD7B45" w:rsidRDefault="00FD7B45" w:rsidP="00565C05"/>
    <w:p w:rsidR="00FD7B45" w:rsidRDefault="00FD7B45" w:rsidP="00394184">
      <w:pPr>
        <w:tabs>
          <w:tab w:val="left" w:pos="6521"/>
        </w:tabs>
      </w:pPr>
      <w:r>
        <w:rPr>
          <w:b/>
        </w:rPr>
        <w:lastRenderedPageBreak/>
        <w:t>T</w:t>
      </w:r>
      <w:r w:rsidRPr="007236BE">
        <w:rPr>
          <w:b/>
        </w:rPr>
        <w:t>řetí kapitol</w:t>
      </w:r>
      <w:r>
        <w:rPr>
          <w:b/>
        </w:rPr>
        <w:t>a</w:t>
      </w:r>
      <w:r w:rsidRPr="006142AE">
        <w:t xml:space="preserve"> se věnuje</w:t>
      </w:r>
      <w:r>
        <w:rPr>
          <w:b/>
        </w:rPr>
        <w:t xml:space="preserve"> </w:t>
      </w:r>
      <w:r>
        <w:t xml:space="preserve">praktické části diplomové práce. Účelem praktické části je prokázat, zda zavedení eura mělo statisticky významný vliv na vývoj slovinské ekonomiky. Vývoj ekonomiky bude zkoumán na základě vývoje ukazatele hrubého domácího produktu ve sledovaném období 2005 – 2009. Toto období bylo vybráno záměrně.  Od zavedení eura uběhl velmi krátký časový úsek, proto se analyzují údaje, které byly získány dvě období před a po zavedení společné měny. </w:t>
      </w:r>
    </w:p>
    <w:p w:rsidR="00FD7B45" w:rsidRDefault="00FD7B45" w:rsidP="00394184">
      <w:pPr>
        <w:tabs>
          <w:tab w:val="left" w:pos="6521"/>
        </w:tabs>
      </w:pPr>
    </w:p>
    <w:p w:rsidR="00FD7B45" w:rsidRDefault="00FD7B45" w:rsidP="00394184">
      <w:pPr>
        <w:tabs>
          <w:tab w:val="left" w:pos="6521"/>
        </w:tabs>
      </w:pPr>
      <w:r>
        <w:t xml:space="preserve">Ostatní makroekonomické indikátory tvořící tzv. magický trojúhelník nebudou zkoumány vzhledem k omezenému rozsahu této práce. </w:t>
      </w:r>
    </w:p>
    <w:p w:rsidR="00FD7B45" w:rsidRDefault="00FD7B45" w:rsidP="00394184">
      <w:pPr>
        <w:tabs>
          <w:tab w:val="left" w:pos="6521"/>
        </w:tabs>
      </w:pPr>
    </w:p>
    <w:p w:rsidR="00FD7B45" w:rsidRDefault="00FD7B45" w:rsidP="00394184">
      <w:pPr>
        <w:tabs>
          <w:tab w:val="left" w:pos="6521"/>
        </w:tabs>
      </w:pPr>
      <w:r>
        <w:t>Po charakterizování vývoje HDP se pozornost přesune na zjištění závislosti mezi vývojem jednotlivých komponent HDP a vývojem samotného HDP. Pro zjištění této závislosti se použije nástroj zvaný korelační analýza, jejímž výsledkem bude prokázání síly a směru závislosti. Po shrnutí všech provedených korelací budou komponenty HDP analyzovány hlouběji, a to podle jejich míry závislosti. U nejvíce korelované složky HDP bude provedena korelační analýza na faktory, které ji mohou ovlivňovat.</w:t>
      </w:r>
    </w:p>
    <w:p w:rsidR="00FD7B45" w:rsidRDefault="00FD7B45" w:rsidP="00394184">
      <w:pPr>
        <w:tabs>
          <w:tab w:val="left" w:pos="6521"/>
        </w:tabs>
      </w:pPr>
    </w:p>
    <w:p w:rsidR="00FD7B45" w:rsidRDefault="00FD7B45" w:rsidP="00394184">
      <w:pPr>
        <w:tabs>
          <w:tab w:val="left" w:pos="6521"/>
        </w:tabs>
      </w:pPr>
      <w:r>
        <w:t>V závěru praktické části bude provedena srovnávací analýza meziročního tempa růstu jednotlivých složek spotřeby, investic a vládních výdajů s cílem stanovit, která ze sledovaných komponent měla významný vliv na vývoj celkového ukazatele. U této komponenty bude provedena korelační analýza na jednotlivé faktory, které ji ovlivňují. Mimo této komponenty budou dále analyzovány i ostatní komponenty, jenž tvoří HDP.</w:t>
      </w:r>
    </w:p>
    <w:p w:rsidR="00FD7B45" w:rsidRDefault="00FD7B45" w:rsidP="00394184">
      <w:pPr>
        <w:tabs>
          <w:tab w:val="left" w:pos="6521"/>
        </w:tabs>
      </w:pPr>
    </w:p>
    <w:p w:rsidR="00FD7B45" w:rsidRDefault="00FD7B45" w:rsidP="00394184">
      <w:pPr>
        <w:tabs>
          <w:tab w:val="left" w:pos="6521"/>
        </w:tabs>
      </w:pPr>
      <w:r>
        <w:t xml:space="preserve">Závěr praktické části shrnuje vývoj všech komponent během sledovaného období. Na </w:t>
      </w:r>
      <w:proofErr w:type="gramStart"/>
      <w:r>
        <w:t>základě  srovnání</w:t>
      </w:r>
      <w:proofErr w:type="gramEnd"/>
      <w:r>
        <w:t xml:space="preserve">  bude možné určit, zda bylo dosaženo stanoveného cíle. </w:t>
      </w:r>
    </w:p>
    <w:p w:rsidR="00FD7B45" w:rsidRDefault="00FD7B45" w:rsidP="00394184">
      <w:pPr>
        <w:tabs>
          <w:tab w:val="left" w:pos="6521"/>
        </w:tabs>
      </w:pPr>
    </w:p>
    <w:p w:rsidR="00FD7B45" w:rsidRDefault="00FD7B45" w:rsidP="00C046AA">
      <w:pPr>
        <w:spacing w:after="200" w:line="276" w:lineRule="auto"/>
        <w:jc w:val="left"/>
        <w:rPr>
          <w:caps/>
        </w:rPr>
      </w:pPr>
      <w:r>
        <w:rPr>
          <w:caps/>
        </w:rPr>
        <w:br w:type="page"/>
      </w:r>
      <w:bookmarkStart w:id="9" w:name="_Toc282027342"/>
      <w:r w:rsidRPr="00B7218F">
        <w:rPr>
          <w:caps/>
        </w:rPr>
        <w:lastRenderedPageBreak/>
        <w:t>Teoretická část</w:t>
      </w:r>
      <w:bookmarkEnd w:id="9"/>
    </w:p>
    <w:p w:rsidR="00FD7B45" w:rsidRDefault="00FD7B45" w:rsidP="00356DD6"/>
    <w:p w:rsidR="00FD7B45" w:rsidRDefault="00FD7B45" w:rsidP="00356DD6"/>
    <w:p w:rsidR="00FD7B45" w:rsidRDefault="00FD7B45" w:rsidP="00356DD6">
      <w:r>
        <w:t xml:space="preserve">Teoretická část této diplomové práce bude rozdělena do dvou kapitol. Každá kapitola se bude věnovat samostatné oblasti. První kapitola bude zaměřena na všeobecné kroky, které jsou spojeny se zaváděním jednotné měny euro. Nejprve v ní bude nastíněn vývoj a rozšiřování eurozóny. Poté se zaměří na jednotlivé scénáře, které lze využít pro zavedení eura. Důležitou součástí je i postup zavádění eura. S tímto postupem jsou spojena tzv. Maastrichtská kritéria, která jsou známa i pod pojmem konvergenční kritéria. Konvergenční kritéria budou dále dělena na měnová a fiskální. Součástí měnových kritérií je cenová stabilita země, kritérium dlouhodobých úrokových sazeb a kritérium směnného kurzu. Součásti fiskálních kritérií je deficit veřejných financí a veřejné zadlužení. Mimo těchto kritérií, je důležité upozornit na legislativní kritéria, která nejsou nikdy pevně ustanovena. Po charakterizování všech kritériích se práce zaměří na termín Reálná konvergence. Každá kandidátská země před procesem zavedení jednotné měny zvažuje všechny výhody či nevýhody, které jednotná měna může přinést. </w:t>
      </w:r>
    </w:p>
    <w:p w:rsidR="00FD7B45" w:rsidRDefault="00FD7B45" w:rsidP="00356DD6"/>
    <w:p w:rsidR="00FD7B45" w:rsidRPr="00356DD6" w:rsidRDefault="00FD7B45" w:rsidP="00356DD6">
      <w:r>
        <w:t xml:space="preserve">Ve druhé kapitole, která je součástí teoretické části, bude charakterizováno jak si Slovinsko úspěšně či neúspěšně vedlo v přípravách na zavedené jednotné měny. V první řadě </w:t>
      </w:r>
      <w:proofErr w:type="gramStart"/>
      <w:r>
        <w:t>bude    v  práci</w:t>
      </w:r>
      <w:proofErr w:type="gramEnd"/>
      <w:r>
        <w:t xml:space="preserve"> věnován prostor praktickým přípravám pro zavedení eura. Součástí těchto příprav je např. obeznámení veřejnosti s eurem, výměna hotovostního oběživa, nutné </w:t>
      </w:r>
      <w:proofErr w:type="gramStart"/>
      <w:r>
        <w:t>informace     o předzásobení</w:t>
      </w:r>
      <w:proofErr w:type="gramEnd"/>
      <w:r>
        <w:t xml:space="preserve"> a druhotném předzásobení přede dnem zavedení eura, údaje o rychlosti vrácené národní měny. Důležitou součástí je také převod finančních prostředků a vývoj cen. V rámci vývoje cen bude sledováno vnímání cen veřejností-jejich vývoj v letech 2006 a 2007 a sledování cen během přechodu na jednotnou měnu.  Práce se bude zabývat reakcí veřejnosti na samotný přechod k euru. V diplomové práci budou také informace o plnění konvergenčních </w:t>
      </w:r>
      <w:proofErr w:type="gramStart"/>
      <w:r>
        <w:t>kritérií - budou</w:t>
      </w:r>
      <w:proofErr w:type="gramEnd"/>
      <w:r>
        <w:t xml:space="preserve"> zde vyhodnoceny konvergenční zprávy za roky 2004         a 2006.</w:t>
      </w:r>
    </w:p>
    <w:p w:rsidR="00FD7B45" w:rsidRPr="00B7218F" w:rsidRDefault="00FD7B45" w:rsidP="00B463C6">
      <w:pPr>
        <w:pStyle w:val="Nadpis1"/>
        <w:numPr>
          <w:ilvl w:val="0"/>
          <w:numId w:val="8"/>
        </w:numPr>
        <w:spacing w:before="0"/>
        <w:ind w:left="426" w:hanging="426"/>
        <w:rPr>
          <w:caps/>
        </w:rPr>
      </w:pPr>
      <w:bookmarkStart w:id="10" w:name="_Toc282027343"/>
      <w:r w:rsidRPr="00B7218F">
        <w:rPr>
          <w:caps/>
        </w:rPr>
        <w:lastRenderedPageBreak/>
        <w:t>Eurozóna, všeobecné pokyny pro zavádění eura a Maastrichtská kritéria</w:t>
      </w:r>
      <w:bookmarkEnd w:id="10"/>
    </w:p>
    <w:p w:rsidR="00FD7B45" w:rsidRPr="00B7218F" w:rsidRDefault="00FD7B45" w:rsidP="005E46B1"/>
    <w:p w:rsidR="00FD7B45" w:rsidRPr="00B7218F" w:rsidRDefault="00FD7B45" w:rsidP="005E46B1"/>
    <w:p w:rsidR="00FD7B45" w:rsidRPr="00B7218F" w:rsidRDefault="00FD7B45" w:rsidP="005E46B1">
      <w:r w:rsidRPr="00B7218F">
        <w:t xml:space="preserve">V následujících </w:t>
      </w:r>
      <w:proofErr w:type="spellStart"/>
      <w:r w:rsidRPr="00B7218F">
        <w:t>subkapitolách</w:t>
      </w:r>
      <w:proofErr w:type="spellEnd"/>
      <w:r w:rsidRPr="00B7218F">
        <w:t xml:space="preserve"> bude charakterizována Eurozóna a její rozšiřování, na které naváže popis jednotlivých scénářů pro zavedení jednotné měny</w:t>
      </w:r>
      <w:r>
        <w:t>, včetně postupu zavádění eura. Bude věnován prostor pro charakterizování konvergenčních kritérií včetně jejich podmínek, které jsou důležité pro zavedení společné měny. Konvergenční kritéria budou rozčleněna na měnová a fiskální kritéria. Mimo těchto kritériích jsou posuzována také tzv. legislativní kritéria, která nejsou v žádném dokumentu pevně uvedena. Důležitým pojmem, který je spojen s procesem zavedení jednotné měny, je reálná konvergence, která bude také popsána. Dále budou uvedeny výhody či nevýhody, které jsou všeobecně spojené s přijetím jednotné měny.</w:t>
      </w:r>
    </w:p>
    <w:p w:rsidR="00FD7B45" w:rsidRPr="00B7218F" w:rsidRDefault="00FD7B45" w:rsidP="006367A6"/>
    <w:p w:rsidR="00FD7B45" w:rsidRPr="00356DD6" w:rsidRDefault="00FD7B45" w:rsidP="00201107">
      <w:pPr>
        <w:pStyle w:val="Nadpis2"/>
        <w:rPr>
          <w:sz w:val="24"/>
        </w:rPr>
      </w:pPr>
    </w:p>
    <w:p w:rsidR="00FD7B45" w:rsidRPr="00B7218F" w:rsidRDefault="00FD7B45" w:rsidP="00611E8B">
      <w:pPr>
        <w:pStyle w:val="Nadpis2"/>
        <w:spacing w:before="0"/>
      </w:pPr>
      <w:bookmarkStart w:id="11" w:name="_Toc282027344"/>
      <w:r w:rsidRPr="00B7218F">
        <w:t>1.1 Eurozóna</w:t>
      </w:r>
      <w:r>
        <w:t>,</w:t>
      </w:r>
      <w:r w:rsidRPr="00B7218F">
        <w:t xml:space="preserve"> její vývoj a rozšíření</w:t>
      </w:r>
      <w:bookmarkEnd w:id="11"/>
    </w:p>
    <w:p w:rsidR="00FD7B45" w:rsidRPr="00B7218F" w:rsidRDefault="00FD7B45" w:rsidP="00611E8B"/>
    <w:p w:rsidR="00FD7B45" w:rsidRPr="00B7218F" w:rsidRDefault="00FD7B45" w:rsidP="00611E8B"/>
    <w:p w:rsidR="00FD7B45" w:rsidRPr="00B7218F" w:rsidRDefault="00FD7B45" w:rsidP="00611E8B">
      <w:r w:rsidRPr="00B7218F">
        <w:t xml:space="preserve">Státy Evropské unie, které se rozhodly přijmout společnou měnu euro, jsou označovány pod termínem Eurozóna. </w:t>
      </w:r>
      <w:r>
        <w:t>Z</w:t>
      </w:r>
      <w:r w:rsidRPr="00B7218F">
        <w:t> původních patnácti stát</w:t>
      </w:r>
      <w:r>
        <w:t>ů</w:t>
      </w:r>
      <w:r w:rsidRPr="00B7218F">
        <w:t xml:space="preserve"> EU </w:t>
      </w:r>
      <w:r>
        <w:t xml:space="preserve">jednotnou měnu </w:t>
      </w:r>
      <w:r w:rsidRPr="00B7218F">
        <w:t xml:space="preserve">euro nezavedly ve Velké Británii, Švédsku a Dánsku. Velká Británie a Dánsko si </w:t>
      </w:r>
      <w:r>
        <w:t>v rámci</w:t>
      </w:r>
      <w:r w:rsidRPr="00B7218F">
        <w:t xml:space="preserve"> vyjednávání Maastrichtské smlouvy prosadily tzv. </w:t>
      </w:r>
      <w:proofErr w:type="spellStart"/>
      <w:r w:rsidRPr="00B7218F">
        <w:t>opt</w:t>
      </w:r>
      <w:proofErr w:type="spellEnd"/>
      <w:r w:rsidRPr="00B7218F">
        <w:t>-</w:t>
      </w:r>
      <w:proofErr w:type="spellStart"/>
      <w:r w:rsidRPr="00B7218F">
        <w:t>out</w:t>
      </w:r>
      <w:proofErr w:type="spellEnd"/>
      <w:r w:rsidRPr="00B7218F">
        <w:t xml:space="preserve">. </w:t>
      </w:r>
      <w:proofErr w:type="spellStart"/>
      <w:r w:rsidRPr="00B7218F">
        <w:t>Opt</w:t>
      </w:r>
      <w:proofErr w:type="spellEnd"/>
      <w:r w:rsidRPr="00B7218F">
        <w:t>-</w:t>
      </w:r>
      <w:proofErr w:type="spellStart"/>
      <w:r w:rsidRPr="00B7218F">
        <w:t>out</w:t>
      </w:r>
      <w:proofErr w:type="spellEnd"/>
      <w:r w:rsidRPr="00B7218F">
        <w:t xml:space="preserve"> je označení pro trvalou výjimku, která umožňuje nezavést euro jako společnou měnu v rámci třetí etapy </w:t>
      </w:r>
      <w:proofErr w:type="gramStart"/>
      <w:r w:rsidRPr="00B7218F">
        <w:t xml:space="preserve">Hospodářské </w:t>
      </w:r>
      <w:r>
        <w:t xml:space="preserve">         </w:t>
      </w:r>
      <w:r w:rsidRPr="00B7218F">
        <w:t>a měnové</w:t>
      </w:r>
      <w:proofErr w:type="gramEnd"/>
      <w:r w:rsidRPr="00B7218F">
        <w:t xml:space="preserve"> unie</w:t>
      </w:r>
      <w:r w:rsidRPr="00B7218F">
        <w:rPr>
          <w:rStyle w:val="Znakapoznpodarou"/>
        </w:rPr>
        <w:footnoteReference w:id="1"/>
      </w:r>
    </w:p>
    <w:p w:rsidR="00FD7B45" w:rsidRPr="00B7218F" w:rsidRDefault="00FD7B45" w:rsidP="00611E8B"/>
    <w:p w:rsidR="00FD7B45" w:rsidRPr="00B7218F" w:rsidRDefault="00FD7B45" w:rsidP="001F442E">
      <w:pPr>
        <w:rPr>
          <w:rStyle w:val="apple-style-span"/>
          <w:color w:val="000000"/>
          <w:szCs w:val="18"/>
        </w:rPr>
      </w:pPr>
      <w:r w:rsidRPr="00B7218F">
        <w:t xml:space="preserve">Od roku 1992 je přijetí eura součástí tzv. </w:t>
      </w:r>
      <w:proofErr w:type="spellStart"/>
      <w:r w:rsidRPr="00B7218F">
        <w:t>acqius</w:t>
      </w:r>
      <w:proofErr w:type="spellEnd"/>
      <w:r w:rsidRPr="00B7218F">
        <w:t xml:space="preserve"> </w:t>
      </w:r>
      <w:proofErr w:type="spellStart"/>
      <w:r w:rsidRPr="00B7218F">
        <w:t>communautaire</w:t>
      </w:r>
      <w:proofErr w:type="spellEnd"/>
      <w:r w:rsidRPr="00B7218F">
        <w:t>, tj. zaveden</w:t>
      </w:r>
      <w:r>
        <w:t>í</w:t>
      </w:r>
      <w:r w:rsidRPr="00B7218F">
        <w:t xml:space="preserve"> eura je povinné, jakmile jsou splněna konvergenční kritéria</w:t>
      </w:r>
      <w:r w:rsidRPr="00B7218F">
        <w:rPr>
          <w:rStyle w:val="apple-style-span"/>
          <w:color w:val="000000"/>
          <w:szCs w:val="18"/>
        </w:rPr>
        <w:t xml:space="preserve">. </w:t>
      </w:r>
      <w:r>
        <w:rPr>
          <w:rStyle w:val="apple-style-span"/>
          <w:color w:val="000000"/>
          <w:szCs w:val="18"/>
        </w:rPr>
        <w:t>V s</w:t>
      </w:r>
      <w:r w:rsidRPr="00B7218F">
        <w:rPr>
          <w:rStyle w:val="apple-style-span"/>
          <w:color w:val="000000"/>
          <w:szCs w:val="18"/>
        </w:rPr>
        <w:t xml:space="preserve">oučasné době to platí pro </w:t>
      </w:r>
      <w:r w:rsidRPr="00B7218F">
        <w:rPr>
          <w:rStyle w:val="apple-style-span"/>
          <w:color w:val="000000"/>
          <w:szCs w:val="18"/>
        </w:rPr>
        <w:lastRenderedPageBreak/>
        <w:t>Bulharsko, Českou republiku, Estonsko, Litvu, Lotyšsko, Maďarsko, Polsko, Rumunsko a Švédsko.</w:t>
      </w:r>
      <w:r w:rsidRPr="00B7218F">
        <w:rPr>
          <w:rStyle w:val="Znakapoznpodarou"/>
          <w:color w:val="000000"/>
          <w:szCs w:val="18"/>
        </w:rPr>
        <w:footnoteReference w:id="2"/>
      </w:r>
      <w:r w:rsidRPr="00B7218F">
        <w:rPr>
          <w:rStyle w:val="apple-style-span"/>
          <w:color w:val="000000"/>
          <w:szCs w:val="18"/>
        </w:rPr>
        <w:t xml:space="preserve">     </w:t>
      </w:r>
    </w:p>
    <w:p w:rsidR="00FD7B45" w:rsidRPr="00B7218F" w:rsidRDefault="00FD7B45" w:rsidP="001F442E">
      <w:pPr>
        <w:rPr>
          <w:rStyle w:val="apple-style-span"/>
          <w:color w:val="000000"/>
          <w:szCs w:val="18"/>
        </w:rPr>
      </w:pPr>
    </w:p>
    <w:p w:rsidR="00FD7B45" w:rsidRPr="00B7218F" w:rsidRDefault="00FD7B45" w:rsidP="001F442E">
      <w:pPr>
        <w:rPr>
          <w:lang w:eastAsia="cs-CZ"/>
        </w:rPr>
      </w:pPr>
      <w:r w:rsidRPr="00B7218F">
        <w:rPr>
          <w:lang w:eastAsia="cs-CZ"/>
        </w:rPr>
        <w:t xml:space="preserve">Eurozóna se od svého založení několikrát rozšiřovala. Rozšiřování probíhalo postupně. Nejprve se 1. 1. 2001 připojilo Řecko, </w:t>
      </w:r>
      <w:r>
        <w:rPr>
          <w:lang w:eastAsia="cs-CZ"/>
        </w:rPr>
        <w:t>následováno</w:t>
      </w:r>
      <w:r w:rsidRPr="00B7218F">
        <w:rPr>
          <w:lang w:eastAsia="cs-CZ"/>
        </w:rPr>
        <w:t xml:space="preserve"> 1. 1. </w:t>
      </w:r>
      <w:proofErr w:type="gramStart"/>
      <w:r w:rsidRPr="00B7218F">
        <w:rPr>
          <w:lang w:eastAsia="cs-CZ"/>
        </w:rPr>
        <w:t xml:space="preserve">2007  </w:t>
      </w:r>
      <w:r>
        <w:rPr>
          <w:lang w:eastAsia="cs-CZ"/>
        </w:rPr>
        <w:t>Slovinskem</w:t>
      </w:r>
      <w:proofErr w:type="gramEnd"/>
      <w:r w:rsidRPr="00B7218F">
        <w:rPr>
          <w:lang w:eastAsia="cs-CZ"/>
        </w:rPr>
        <w:t>. O rok později přistoupily k </w:t>
      </w:r>
      <w:r>
        <w:rPr>
          <w:lang w:eastAsia="cs-CZ"/>
        </w:rPr>
        <w:t>E</w:t>
      </w:r>
      <w:r w:rsidRPr="00B7218F">
        <w:rPr>
          <w:lang w:eastAsia="cs-CZ"/>
        </w:rPr>
        <w:t>urozóně Kypr a Malta. Zatím posledním členem, který přijal 1. 1. 2009 jednotnou měnu euro je Slovensko. V okamžiku vstupu země do eurozóny se její národní banka stává nedílnou součásti Eurosystému</w:t>
      </w:r>
      <w:r w:rsidRPr="00B7218F">
        <w:rPr>
          <w:rStyle w:val="Znakapoznpodarou"/>
          <w:lang w:eastAsia="cs-CZ"/>
        </w:rPr>
        <w:footnoteReference w:id="3"/>
      </w:r>
      <w:r w:rsidRPr="00B7218F">
        <w:rPr>
          <w:lang w:eastAsia="cs-CZ"/>
        </w:rPr>
        <w:t xml:space="preserve">. </w:t>
      </w:r>
    </w:p>
    <w:p w:rsidR="00FD7B45" w:rsidRDefault="00FD7B45" w:rsidP="001F442E">
      <w:pPr>
        <w:rPr>
          <w:lang w:eastAsia="cs-CZ"/>
        </w:rPr>
      </w:pPr>
    </w:p>
    <w:p w:rsidR="00FD7B45" w:rsidRPr="00B7218F" w:rsidRDefault="00FD7B45" w:rsidP="001F442E">
      <w:pPr>
        <w:rPr>
          <w:lang w:eastAsia="cs-CZ"/>
        </w:rPr>
      </w:pPr>
    </w:p>
    <w:p w:rsidR="00FD7B45" w:rsidRPr="00B7218F" w:rsidRDefault="00FD7B45" w:rsidP="00B463C6">
      <w:pPr>
        <w:pStyle w:val="Nadpis3"/>
        <w:spacing w:before="0"/>
      </w:pPr>
      <w:bookmarkStart w:id="12" w:name="_Toc282027345"/>
      <w:r w:rsidRPr="00B7218F">
        <w:t>1.</w:t>
      </w:r>
      <w:r>
        <w:t>1.1</w:t>
      </w:r>
      <w:r w:rsidRPr="00B7218F">
        <w:t xml:space="preserve"> Scénáře přechodu na jednotnou měnu euro</w:t>
      </w:r>
      <w:bookmarkEnd w:id="12"/>
    </w:p>
    <w:p w:rsidR="00FD7B45" w:rsidRPr="00B7218F" w:rsidRDefault="00FD7B45" w:rsidP="00611E8B">
      <w:r w:rsidRPr="00B7218F">
        <w:t xml:space="preserve"> </w:t>
      </w:r>
    </w:p>
    <w:p w:rsidR="00FD7B45" w:rsidRPr="00B7218F" w:rsidRDefault="00FD7B45" w:rsidP="00611E8B"/>
    <w:p w:rsidR="00FD7B45" w:rsidRPr="00B7218F" w:rsidRDefault="00FD7B45" w:rsidP="00611E8B">
      <w:r w:rsidRPr="00B7218F">
        <w:t>Součást</w:t>
      </w:r>
      <w:r>
        <w:t>í</w:t>
      </w:r>
      <w:r w:rsidRPr="00B7218F">
        <w:t xml:space="preserve"> změny národní měny na euro je volba scénáře přechodu na jednotnou měnu. Tato volba je důležitým krokem při přípravách na zavedení eura v členské zemi. Členská země si může vybrat ze tří možností zavedení eura:</w:t>
      </w:r>
    </w:p>
    <w:p w:rsidR="00FD7B45" w:rsidRPr="00B7218F" w:rsidRDefault="00FD7B45" w:rsidP="00611E8B"/>
    <w:p w:rsidR="00FD7B45" w:rsidRPr="00B7218F" w:rsidRDefault="00FD7B45" w:rsidP="008635B3">
      <w:pPr>
        <w:pStyle w:val="Odstavecseseznamem"/>
        <w:numPr>
          <w:ilvl w:val="0"/>
          <w:numId w:val="2"/>
        </w:numPr>
      </w:pPr>
      <w:r w:rsidRPr="00B7218F">
        <w:t xml:space="preserve">Madridský scénář  </w:t>
      </w:r>
    </w:p>
    <w:p w:rsidR="00FD7B45" w:rsidRPr="00B7218F" w:rsidRDefault="00FD7B45" w:rsidP="008635B3">
      <w:pPr>
        <w:pStyle w:val="Odstavecseseznamem"/>
        <w:numPr>
          <w:ilvl w:val="0"/>
          <w:numId w:val="2"/>
        </w:numPr>
      </w:pPr>
      <w:r w:rsidRPr="00B7218F">
        <w:t xml:space="preserve">Scénář </w:t>
      </w:r>
      <w:proofErr w:type="spellStart"/>
      <w:r w:rsidRPr="00B7218F">
        <w:t>Big</w:t>
      </w:r>
      <w:proofErr w:type="spellEnd"/>
      <w:r w:rsidRPr="00B7218F">
        <w:t xml:space="preserve"> </w:t>
      </w:r>
      <w:proofErr w:type="spellStart"/>
      <w:r w:rsidRPr="00B7218F">
        <w:t>Bang</w:t>
      </w:r>
      <w:proofErr w:type="spellEnd"/>
      <w:r w:rsidRPr="00B7218F">
        <w:t xml:space="preserve"> (velký třesk)  </w:t>
      </w:r>
    </w:p>
    <w:p w:rsidR="00FD7B45" w:rsidRPr="00B7218F" w:rsidRDefault="00FD7B45" w:rsidP="008635B3">
      <w:pPr>
        <w:pStyle w:val="Odstavecseseznamem"/>
        <w:numPr>
          <w:ilvl w:val="0"/>
          <w:numId w:val="2"/>
        </w:numPr>
      </w:pPr>
      <w:r w:rsidRPr="00B7218F">
        <w:t xml:space="preserve">Scénář </w:t>
      </w:r>
      <w:proofErr w:type="spellStart"/>
      <w:r w:rsidRPr="00B7218F">
        <w:t>phasing</w:t>
      </w:r>
      <w:proofErr w:type="spellEnd"/>
      <w:r w:rsidRPr="00B7218F">
        <w:t xml:space="preserve"> </w:t>
      </w:r>
      <w:proofErr w:type="spellStart"/>
      <w:r w:rsidRPr="00B7218F">
        <w:t>out</w:t>
      </w:r>
      <w:proofErr w:type="spellEnd"/>
      <w:r w:rsidRPr="00B7218F">
        <w:t xml:space="preserve">  </w:t>
      </w:r>
    </w:p>
    <w:p w:rsidR="00FD7B45" w:rsidRPr="00B7218F" w:rsidRDefault="00FD7B45" w:rsidP="008635B3">
      <w:pPr>
        <w:rPr>
          <w:b/>
        </w:rPr>
      </w:pPr>
    </w:p>
    <w:p w:rsidR="00FD7B45" w:rsidRPr="00B7218F" w:rsidRDefault="00FD7B45" w:rsidP="008635B3">
      <w:pPr>
        <w:rPr>
          <w:b/>
        </w:rPr>
      </w:pPr>
    </w:p>
    <w:p w:rsidR="00FD7B45" w:rsidRPr="00B7218F" w:rsidRDefault="00FD7B45" w:rsidP="008635B3">
      <w:pPr>
        <w:rPr>
          <w:b/>
        </w:rPr>
      </w:pPr>
      <w:r w:rsidRPr="00B7218F">
        <w:rPr>
          <w:b/>
        </w:rPr>
        <w:t xml:space="preserve">Madridský scénář </w:t>
      </w:r>
    </w:p>
    <w:p w:rsidR="00FD7B45" w:rsidRPr="00B7218F" w:rsidRDefault="00FD7B45" w:rsidP="008635B3"/>
    <w:p w:rsidR="00FD7B45" w:rsidRPr="00B7218F" w:rsidRDefault="00FD7B45" w:rsidP="008635B3">
      <w:r w:rsidRPr="00B7218F">
        <w:t>Tento scénář využívá přechodného období</w:t>
      </w:r>
      <w:r>
        <w:t>.</w:t>
      </w:r>
      <w:r w:rsidRPr="00B7218F">
        <w:t xml:space="preserve"> </w:t>
      </w:r>
      <w:r>
        <w:t>E</w:t>
      </w:r>
      <w:r w:rsidRPr="00B7218F">
        <w:t xml:space="preserve">uro </w:t>
      </w:r>
      <w:r>
        <w:t xml:space="preserve">se </w:t>
      </w:r>
      <w:r w:rsidRPr="00B7218F">
        <w:t>zavádí nejprve v bezhotovostní podobě a po uplynutí přechodného období</w:t>
      </w:r>
      <w:r>
        <w:t xml:space="preserve"> – trvajícího</w:t>
      </w:r>
      <w:r w:rsidRPr="00B7218F">
        <w:t xml:space="preserve"> nejvýše tři </w:t>
      </w:r>
      <w:proofErr w:type="gramStart"/>
      <w:r w:rsidRPr="00B7218F">
        <w:t>roky</w:t>
      </w:r>
      <w:r>
        <w:t xml:space="preserve"> -</w:t>
      </w:r>
      <w:r w:rsidRPr="00B7218F">
        <w:t xml:space="preserve"> se</w:t>
      </w:r>
      <w:proofErr w:type="gramEnd"/>
      <w:r w:rsidRPr="00B7218F">
        <w:t xml:space="preserve">  zavede</w:t>
      </w:r>
      <w:r>
        <w:t xml:space="preserve"> i</w:t>
      </w:r>
      <w:r w:rsidRPr="00B7218F">
        <w:t xml:space="preserve"> v hotovostní podobě.</w:t>
      </w:r>
    </w:p>
    <w:p w:rsidR="00FD7B45" w:rsidRPr="00B7218F" w:rsidRDefault="00FD7B45" w:rsidP="008635B3">
      <w:pPr>
        <w:rPr>
          <w:b/>
        </w:rPr>
      </w:pPr>
    </w:p>
    <w:p w:rsidR="00FD7B45" w:rsidRPr="00B7218F" w:rsidRDefault="00FD7B45" w:rsidP="008635B3">
      <w:r w:rsidRPr="00B7218F">
        <w:lastRenderedPageBreak/>
        <w:t>Výhodou přechodného období je poskytnutí dostatku času na technické přípravy pro zavedení hotovost</w:t>
      </w:r>
      <w:r>
        <w:t>n</w:t>
      </w:r>
      <w:r w:rsidRPr="00B7218F">
        <w:t xml:space="preserve">í podoby eura. Příkladem je ražba mincí, včasné předzásobení </w:t>
      </w:r>
      <w:proofErr w:type="gramStart"/>
      <w:r w:rsidRPr="00B7218F">
        <w:t>bank</w:t>
      </w:r>
      <w:r>
        <w:t xml:space="preserve">      </w:t>
      </w:r>
      <w:r w:rsidRPr="00B7218F">
        <w:t xml:space="preserve"> </w:t>
      </w:r>
      <w:r>
        <w:t>a podniků</w:t>
      </w:r>
      <w:proofErr w:type="gramEnd"/>
      <w:r w:rsidRPr="00B7218F">
        <w:t xml:space="preserve"> a dále příprava právního prostředí. Nevýhodou Madridského scénáře jsou vysoké náklady, které zatěžují ekonomické subjekty, </w:t>
      </w:r>
      <w:r>
        <w:t>j</w:t>
      </w:r>
      <w:r w:rsidRPr="00B7218F">
        <w:t>ež musí např. udržovat dva měnové okruhy při vedení účetnictví</w:t>
      </w:r>
      <w:r>
        <w:t>,</w:t>
      </w:r>
      <w:r w:rsidRPr="00B7218F">
        <w:t xml:space="preserve"> při správě systému v platebním styku</w:t>
      </w:r>
      <w:r>
        <w:t xml:space="preserve"> apod</w:t>
      </w:r>
      <w:r w:rsidRPr="00B7218F">
        <w:t xml:space="preserve">. V rámci rozšiřování Eurozóny se dospělo k závěru, že tříletá doba od zavedení bezhotovostního </w:t>
      </w:r>
      <w:r>
        <w:t xml:space="preserve">styku </w:t>
      </w:r>
      <w:r w:rsidRPr="00B7218F">
        <w:t>k hotovostnímu je příliš dlouhá.</w:t>
      </w:r>
    </w:p>
    <w:p w:rsidR="00FD7B45" w:rsidRPr="00B7218F" w:rsidRDefault="00FD7B45" w:rsidP="008635B3"/>
    <w:p w:rsidR="00FD7B45" w:rsidRPr="00B7218F" w:rsidRDefault="00FD7B45" w:rsidP="008635B3">
      <w:r w:rsidRPr="00B7218F">
        <w:t>Formu tohoto scénáře využili zakládající členové eurozóny. V lednu 1999 jednotlivé státy ze základních členů uvedly euro v bezhotovostní podobě a o tři roky později i v</w:t>
      </w:r>
      <w:r>
        <w:t xml:space="preserve"> podobě </w:t>
      </w:r>
      <w:proofErr w:type="gramStart"/>
      <w:r w:rsidRPr="00B7218F">
        <w:t>hotovostní .</w:t>
      </w:r>
      <w:proofErr w:type="gramEnd"/>
      <w:r w:rsidRPr="00B7218F">
        <w:t xml:space="preserve"> </w:t>
      </w:r>
    </w:p>
    <w:p w:rsidR="00FD7B45" w:rsidRPr="00B7218F" w:rsidRDefault="00A02874" w:rsidP="008635B3">
      <w:pPr>
        <w:pStyle w:val="Normlnweb"/>
        <w:spacing w:line="240" w:lineRule="atLeast"/>
        <w:jc w:val="center"/>
        <w:rPr>
          <w:sz w:val="20"/>
          <w:szCs w:val="20"/>
        </w:rPr>
      </w:pPr>
      <w:r w:rsidRPr="00A02874">
        <w:rPr>
          <w:rFonts w:ascii="Arial" w:hAnsi="Arial" w:cs="Arial"/>
          <w:noProof/>
          <w:color w:val="000000"/>
          <w:sz w:val="18"/>
          <w:szCs w:val="18"/>
        </w:rPr>
        <w:pict>
          <v:shape id="_x0000_i1026" type="#_x0000_t75" alt="Obrázek 1: Madridský scénář zavedení eura" style="width:315pt;height:177pt;visibility:visible">
            <v:imagedata r:id="rId8" o:title=""/>
          </v:shape>
        </w:pict>
      </w:r>
    </w:p>
    <w:p w:rsidR="00FD7B45" w:rsidRPr="00B7218F" w:rsidRDefault="00FD7B45" w:rsidP="00363E51">
      <w:pPr>
        <w:pStyle w:val="Podtitul"/>
        <w:rPr>
          <w:rFonts w:ascii="Arial" w:hAnsi="Arial" w:cs="Arial"/>
          <w:color w:val="000000"/>
        </w:rPr>
      </w:pPr>
      <w:r w:rsidRPr="00B7218F">
        <w:t>Zdroj Zavádění eura v České republice</w:t>
      </w:r>
      <w:r>
        <w:t xml:space="preserve"> </w:t>
      </w:r>
      <w:r w:rsidRPr="00B7218F">
        <w:t>[online],</w:t>
      </w:r>
      <w:r>
        <w:t xml:space="preserve"> </w:t>
      </w:r>
      <w:r w:rsidRPr="00B7218F">
        <w:t>Rozšiřování eurozóny,</w:t>
      </w:r>
      <w:r>
        <w:t xml:space="preserve"> 2009</w:t>
      </w:r>
      <w:r w:rsidRPr="00B7218F">
        <w:t>,</w:t>
      </w:r>
      <w:r>
        <w:t xml:space="preserve"> </w:t>
      </w:r>
      <w:r w:rsidRPr="00B7218F">
        <w:t xml:space="preserve">[cit. </w:t>
      </w:r>
      <w:proofErr w:type="gramStart"/>
      <w:r w:rsidRPr="00B7218F">
        <w:t>2009-11</w:t>
      </w:r>
      <w:proofErr w:type="gramEnd"/>
      <w:r w:rsidRPr="00B7218F">
        <w:t xml:space="preserve">-30]. Dostupný z  </w:t>
      </w:r>
      <w:r w:rsidRPr="00B463C6">
        <w:rPr>
          <w:szCs w:val="20"/>
        </w:rPr>
        <w:t>http://www.zavedenieura.cz/cps/rde/xchg/euro/xsl/euro_scenar_prijeti.html</w:t>
      </w:r>
    </w:p>
    <w:p w:rsidR="00FD7B45" w:rsidRPr="00B7218F" w:rsidRDefault="00FD7B45" w:rsidP="00F076A4">
      <w:pPr>
        <w:pStyle w:val="Nadpis4"/>
      </w:pPr>
      <w:bookmarkStart w:id="13" w:name="_Toc282027248"/>
      <w:proofErr w:type="gramStart"/>
      <w:r>
        <w:t>Obr.</w:t>
      </w:r>
      <w:r w:rsidRPr="00B7218F">
        <w:t>1:.</w:t>
      </w:r>
      <w:proofErr w:type="gramEnd"/>
      <w:r w:rsidRPr="00B7218F">
        <w:t xml:space="preserve"> Madridský scénář zavedení eura</w:t>
      </w:r>
      <w:bookmarkEnd w:id="13"/>
    </w:p>
    <w:p w:rsidR="00FD7B45" w:rsidRDefault="00FD7B45" w:rsidP="008635B3">
      <w:pPr>
        <w:rPr>
          <w:b/>
        </w:rPr>
      </w:pPr>
    </w:p>
    <w:p w:rsidR="00FD7B45" w:rsidRPr="00B7218F" w:rsidRDefault="00FD7B45" w:rsidP="008635B3">
      <w:pPr>
        <w:rPr>
          <w:b/>
        </w:rPr>
      </w:pPr>
    </w:p>
    <w:p w:rsidR="00FD7B45" w:rsidRPr="00B7218F" w:rsidRDefault="00FD7B45" w:rsidP="008635B3">
      <w:pPr>
        <w:rPr>
          <w:b/>
        </w:rPr>
      </w:pPr>
      <w:r w:rsidRPr="00B7218F">
        <w:rPr>
          <w:b/>
        </w:rPr>
        <w:t xml:space="preserve">Scénář </w:t>
      </w:r>
      <w:proofErr w:type="spellStart"/>
      <w:r w:rsidRPr="00B7218F">
        <w:rPr>
          <w:b/>
        </w:rPr>
        <w:t>Big</w:t>
      </w:r>
      <w:proofErr w:type="spellEnd"/>
      <w:r w:rsidRPr="00B7218F">
        <w:rPr>
          <w:b/>
        </w:rPr>
        <w:t xml:space="preserve"> </w:t>
      </w:r>
      <w:proofErr w:type="spellStart"/>
      <w:r w:rsidRPr="00B7218F">
        <w:rPr>
          <w:b/>
        </w:rPr>
        <w:t>Bang</w:t>
      </w:r>
      <w:proofErr w:type="spellEnd"/>
      <w:r w:rsidRPr="00B7218F">
        <w:rPr>
          <w:b/>
        </w:rPr>
        <w:t xml:space="preserve"> (velký třesk) </w:t>
      </w:r>
    </w:p>
    <w:p w:rsidR="00FD7B45" w:rsidRPr="00B7218F" w:rsidRDefault="00FD7B45" w:rsidP="008635B3"/>
    <w:p w:rsidR="00FD7B45" w:rsidRPr="00B7218F" w:rsidRDefault="00FD7B45" w:rsidP="008635B3">
      <w:r w:rsidRPr="00B7218F">
        <w:t>Scénář Velkého třesku se vyznačuje tím, že se jedná</w:t>
      </w:r>
      <w:r>
        <w:t xml:space="preserve"> o</w:t>
      </w:r>
      <w:r w:rsidRPr="00B7218F">
        <w:t xml:space="preserve"> jednorázový přechod na euro. S tímto scénářem se můžeme setkat také pod označením </w:t>
      </w:r>
      <w:proofErr w:type="spellStart"/>
      <w:r w:rsidRPr="00B7218F">
        <w:t>Big</w:t>
      </w:r>
      <w:proofErr w:type="spellEnd"/>
      <w:r w:rsidRPr="00B7218F">
        <w:t xml:space="preserve"> </w:t>
      </w:r>
      <w:proofErr w:type="spellStart"/>
      <w:r w:rsidRPr="00B7218F">
        <w:t>Bang</w:t>
      </w:r>
      <w:proofErr w:type="spellEnd"/>
      <w:r w:rsidRPr="00B7218F">
        <w:t xml:space="preserve">. Základní myšlenkou scénáře Velkého třesku je používat jednotnou měnu eura jak v bezhotovostní tak i v hotovostní podobě k jednomu dni. </w:t>
      </w:r>
    </w:p>
    <w:p w:rsidR="00FD7B45" w:rsidRPr="00B7218F" w:rsidRDefault="00FD7B45" w:rsidP="008635B3"/>
    <w:p w:rsidR="00FD7B45" w:rsidRPr="00B7218F" w:rsidRDefault="00FD7B45" w:rsidP="008635B3">
      <w:r w:rsidRPr="00B7218F">
        <w:lastRenderedPageBreak/>
        <w:t>Tato varianta je složitější na koordinaci a přípravné fáze, protože všechny subjekty veřejného i soukromého sektoru musí být schopni přechodu z národní měny na euro v jednom okamžiku.</w:t>
      </w:r>
    </w:p>
    <w:p w:rsidR="00FD7B45" w:rsidRPr="00B7218F" w:rsidRDefault="00FD7B45" w:rsidP="008635B3"/>
    <w:p w:rsidR="00FD7B45" w:rsidRPr="00B7218F" w:rsidRDefault="00FD7B45" w:rsidP="008635B3">
      <w:r w:rsidRPr="00B7218F">
        <w:t xml:space="preserve">Většina nových členů </w:t>
      </w:r>
      <w:r>
        <w:t>E</w:t>
      </w:r>
      <w:r w:rsidRPr="00B7218F">
        <w:t xml:space="preserve">urozóny včetně Slovinska volila tento typ pro zavedení eura.  Díky těmto zkušenostem se potvrdilo, že se jedná o nejlepší možnou variantu, která je </w:t>
      </w:r>
      <w:proofErr w:type="gramStart"/>
      <w:r w:rsidRPr="00B7218F">
        <w:t xml:space="preserve">levnější </w:t>
      </w:r>
      <w:r>
        <w:t xml:space="preserve">   a nejjednodušší</w:t>
      </w:r>
      <w:proofErr w:type="gramEnd"/>
      <w:r w:rsidRPr="00B7218F">
        <w:t xml:space="preserve">. Pro tuto variantu se rozhodla i Česká republika. </w:t>
      </w:r>
    </w:p>
    <w:p w:rsidR="00FD7B45" w:rsidRPr="00B7218F" w:rsidRDefault="00FD7B45" w:rsidP="008635B3">
      <w:pPr>
        <w:pStyle w:val="Normlnweb"/>
        <w:spacing w:line="240" w:lineRule="atLeast"/>
        <w:rPr>
          <w:rFonts w:ascii="Arial" w:hAnsi="Arial" w:cs="Arial"/>
          <w:color w:val="000000"/>
          <w:sz w:val="18"/>
          <w:szCs w:val="18"/>
        </w:rPr>
      </w:pPr>
    </w:p>
    <w:p w:rsidR="00FD7B45" w:rsidRPr="00B7218F" w:rsidRDefault="00A02874" w:rsidP="008635B3">
      <w:pPr>
        <w:pStyle w:val="Normlnweb"/>
        <w:spacing w:line="240" w:lineRule="atLeast"/>
        <w:jc w:val="center"/>
        <w:rPr>
          <w:rFonts w:ascii="Arial" w:hAnsi="Arial" w:cs="Arial"/>
          <w:color w:val="000000"/>
          <w:sz w:val="18"/>
          <w:szCs w:val="18"/>
        </w:rPr>
      </w:pPr>
      <w:r w:rsidRPr="00A02874">
        <w:rPr>
          <w:rFonts w:ascii="Arial" w:hAnsi="Arial" w:cs="Arial"/>
          <w:noProof/>
          <w:color w:val="000000"/>
          <w:sz w:val="18"/>
          <w:szCs w:val="18"/>
        </w:rPr>
        <w:pict>
          <v:shape id="obrázek 2" o:spid="_x0000_i1027" type="#_x0000_t75" alt="Obrázek 2: Scénář Big Bang zavedení eura" style="width:285pt;height:171pt;visibility:visible">
            <v:imagedata r:id="rId9" o:title=""/>
          </v:shape>
        </w:pict>
      </w:r>
    </w:p>
    <w:p w:rsidR="00FD7B45" w:rsidRDefault="00FD7B45" w:rsidP="00363E51">
      <w:pPr>
        <w:pStyle w:val="Podtitul"/>
      </w:pPr>
      <w:r w:rsidRPr="00B7218F">
        <w:t>Zavádění eura v České republice[online],</w:t>
      </w:r>
      <w:r>
        <w:t xml:space="preserve"> </w:t>
      </w:r>
      <w:r w:rsidRPr="00B7218F">
        <w:t xml:space="preserve">Rozšiřování eurozóny, </w:t>
      </w:r>
      <w:r>
        <w:t>2009</w:t>
      </w:r>
      <w:r w:rsidRPr="00B7218F">
        <w:t xml:space="preserve">,[cit. </w:t>
      </w:r>
      <w:proofErr w:type="gramStart"/>
      <w:r w:rsidRPr="00B7218F">
        <w:t>2009-11</w:t>
      </w:r>
      <w:proofErr w:type="gramEnd"/>
      <w:r w:rsidRPr="00B7218F">
        <w:t xml:space="preserve">-30]. Dostupný z  </w:t>
      </w:r>
      <w:r w:rsidRPr="00B463C6">
        <w:rPr>
          <w:szCs w:val="20"/>
        </w:rPr>
        <w:t>http://www.zavedenieura.cz/cps/rde/xchg/euro/xsl/euro_scenar_prijeti.html</w:t>
      </w:r>
    </w:p>
    <w:p w:rsidR="00FD7B45" w:rsidRPr="00B7218F" w:rsidRDefault="00FD7B45" w:rsidP="00F076A4">
      <w:pPr>
        <w:pStyle w:val="Nadpis4"/>
      </w:pPr>
      <w:bookmarkStart w:id="14" w:name="_Toc282027249"/>
      <w:r w:rsidRPr="00B7218F">
        <w:t xml:space="preserve">Obr. 2: Scénář </w:t>
      </w:r>
      <w:proofErr w:type="spellStart"/>
      <w:r w:rsidRPr="00B7218F">
        <w:t>Big</w:t>
      </w:r>
      <w:proofErr w:type="spellEnd"/>
      <w:r w:rsidRPr="00B7218F">
        <w:t xml:space="preserve"> </w:t>
      </w:r>
      <w:proofErr w:type="spellStart"/>
      <w:r w:rsidRPr="00B7218F">
        <w:t>Bang</w:t>
      </w:r>
      <w:proofErr w:type="spellEnd"/>
      <w:r w:rsidRPr="00B7218F">
        <w:t xml:space="preserve"> zavedení eura</w:t>
      </w:r>
      <w:bookmarkEnd w:id="14"/>
    </w:p>
    <w:p w:rsidR="00FD7B45" w:rsidRDefault="00FD7B45" w:rsidP="008635B3">
      <w:pPr>
        <w:rPr>
          <w:b/>
        </w:rPr>
      </w:pPr>
    </w:p>
    <w:p w:rsidR="00FD7B45" w:rsidRPr="00B7218F" w:rsidRDefault="00FD7B45" w:rsidP="008635B3">
      <w:pPr>
        <w:rPr>
          <w:b/>
        </w:rPr>
      </w:pPr>
    </w:p>
    <w:p w:rsidR="00FD7B45" w:rsidRPr="00B7218F" w:rsidRDefault="00FD7B45" w:rsidP="008635B3">
      <w:pPr>
        <w:rPr>
          <w:b/>
        </w:rPr>
      </w:pPr>
      <w:r w:rsidRPr="00B7218F">
        <w:rPr>
          <w:b/>
        </w:rPr>
        <w:t xml:space="preserve">Scénář </w:t>
      </w:r>
      <w:proofErr w:type="spellStart"/>
      <w:r w:rsidRPr="00B7218F">
        <w:rPr>
          <w:b/>
        </w:rPr>
        <w:t>phasing</w:t>
      </w:r>
      <w:proofErr w:type="spellEnd"/>
      <w:r w:rsidRPr="00B7218F">
        <w:rPr>
          <w:b/>
        </w:rPr>
        <w:t xml:space="preserve"> </w:t>
      </w:r>
      <w:proofErr w:type="spellStart"/>
      <w:r w:rsidRPr="00B7218F">
        <w:rPr>
          <w:b/>
        </w:rPr>
        <w:t>out</w:t>
      </w:r>
      <w:proofErr w:type="spellEnd"/>
      <w:r w:rsidRPr="00B7218F">
        <w:rPr>
          <w:b/>
        </w:rPr>
        <w:t xml:space="preserve"> </w:t>
      </w:r>
    </w:p>
    <w:p w:rsidR="00FD7B45" w:rsidRPr="00B7218F" w:rsidRDefault="00FD7B45" w:rsidP="008635B3"/>
    <w:p w:rsidR="00FD7B45" w:rsidRPr="00B7218F" w:rsidRDefault="00FD7B45" w:rsidP="008635B3">
      <w:r w:rsidRPr="00B7218F">
        <w:t xml:space="preserve">Scénář </w:t>
      </w:r>
      <w:proofErr w:type="spellStart"/>
      <w:r w:rsidRPr="00B7218F">
        <w:t>Phasing</w:t>
      </w:r>
      <w:proofErr w:type="spellEnd"/>
      <w:r w:rsidRPr="00B7218F">
        <w:t xml:space="preserve"> </w:t>
      </w:r>
      <w:proofErr w:type="spellStart"/>
      <w:r w:rsidRPr="00B7218F">
        <w:t>out</w:t>
      </w:r>
      <w:proofErr w:type="spellEnd"/>
      <w:r w:rsidRPr="00B7218F">
        <w:t xml:space="preserve"> vychází ze scénáře Velkého třesku. Liší se v tom, že ve vybraných oblastech lze po určitou dobu po zavedení </w:t>
      </w:r>
      <w:r>
        <w:t xml:space="preserve">eura, která nesmí být delší než jeden rok, </w:t>
      </w:r>
      <w:r w:rsidRPr="00B7218F">
        <w:t xml:space="preserve">nadále využívat původní národní měnu. Tuto výjimku lze využít např. při placení daní </w:t>
      </w:r>
      <w:proofErr w:type="gramStart"/>
      <w:r w:rsidRPr="00B7218F">
        <w:t>nebo</w:t>
      </w:r>
      <w:r>
        <w:t xml:space="preserve">          u fakturace</w:t>
      </w:r>
      <w:proofErr w:type="gramEnd"/>
      <w:r w:rsidRPr="00B7218F">
        <w:t xml:space="preserve"> malých podniků. </w:t>
      </w:r>
    </w:p>
    <w:p w:rsidR="00FD7B45" w:rsidRPr="00B7218F" w:rsidRDefault="00FD7B45" w:rsidP="00395197">
      <w:pPr>
        <w:jc w:val="center"/>
        <w:rPr>
          <w:sz w:val="20"/>
          <w:szCs w:val="20"/>
        </w:rPr>
      </w:pPr>
    </w:p>
    <w:p w:rsidR="00FD7B45" w:rsidRPr="00B7218F" w:rsidRDefault="00FD7B45" w:rsidP="00395197">
      <w:pPr>
        <w:jc w:val="center"/>
        <w:rPr>
          <w:sz w:val="20"/>
          <w:szCs w:val="20"/>
        </w:rPr>
      </w:pPr>
    </w:p>
    <w:p w:rsidR="00FD7B45" w:rsidRPr="00B7218F" w:rsidRDefault="00FD7B45" w:rsidP="00395197">
      <w:pPr>
        <w:jc w:val="center"/>
        <w:rPr>
          <w:sz w:val="20"/>
          <w:szCs w:val="20"/>
        </w:rPr>
      </w:pPr>
    </w:p>
    <w:p w:rsidR="00FD7B45" w:rsidRPr="00B7218F" w:rsidRDefault="00FD7B45" w:rsidP="00395197">
      <w:pPr>
        <w:jc w:val="center"/>
        <w:rPr>
          <w:sz w:val="20"/>
          <w:szCs w:val="20"/>
        </w:rPr>
      </w:pPr>
    </w:p>
    <w:p w:rsidR="00FD7B45" w:rsidRPr="00B7218F" w:rsidRDefault="00FD7B45" w:rsidP="00395197">
      <w:pPr>
        <w:jc w:val="center"/>
        <w:rPr>
          <w:sz w:val="20"/>
          <w:szCs w:val="20"/>
        </w:rPr>
      </w:pPr>
    </w:p>
    <w:p w:rsidR="00FD7B45" w:rsidRPr="00B7218F" w:rsidRDefault="00A02874" w:rsidP="008635B3">
      <w:pPr>
        <w:jc w:val="center"/>
      </w:pPr>
      <w:r w:rsidRPr="00A02874">
        <w:rPr>
          <w:rFonts w:ascii="Arial" w:hAnsi="Arial" w:cs="Arial"/>
          <w:noProof/>
          <w:color w:val="000000"/>
          <w:sz w:val="18"/>
          <w:szCs w:val="18"/>
          <w:lang w:eastAsia="cs-CZ"/>
        </w:rPr>
        <w:lastRenderedPageBreak/>
        <w:pict>
          <v:shape id="obrázek 3" o:spid="_x0000_i1028" type="#_x0000_t75" alt="Obrázek 3: Scénář Phasing Out zavedení eura" style="width:4in;height:210.75pt;visibility:visible">
            <v:imagedata r:id="rId10" o:title=""/>
          </v:shape>
        </w:pict>
      </w:r>
      <w:r w:rsidR="00FD7B45" w:rsidRPr="00B7218F">
        <w:rPr>
          <w:rFonts w:ascii="Arial" w:hAnsi="Arial" w:cs="Arial"/>
          <w:color w:val="000000"/>
          <w:sz w:val="18"/>
          <w:szCs w:val="18"/>
        </w:rPr>
        <w:br/>
      </w:r>
    </w:p>
    <w:p w:rsidR="00FD7B45" w:rsidRPr="00B7218F" w:rsidRDefault="00FD7B45" w:rsidP="00363E51">
      <w:pPr>
        <w:pStyle w:val="Podtitul"/>
        <w:rPr>
          <w:rFonts w:ascii="Arial" w:hAnsi="Arial" w:cs="Arial"/>
          <w:color w:val="000000"/>
        </w:rPr>
      </w:pPr>
      <w:r w:rsidRPr="00B7218F">
        <w:t>Zavádění eura v České republice</w:t>
      </w:r>
      <w:r>
        <w:t xml:space="preserve"> </w:t>
      </w:r>
      <w:r w:rsidRPr="00B7218F">
        <w:t>[online],</w:t>
      </w:r>
      <w:r>
        <w:t xml:space="preserve"> </w:t>
      </w:r>
      <w:r w:rsidRPr="00B7218F">
        <w:t>Rozšiřování eurozóny</w:t>
      </w:r>
      <w:r>
        <w:t xml:space="preserve"> 2009</w:t>
      </w:r>
      <w:r w:rsidRPr="00B7218F">
        <w:t>,</w:t>
      </w:r>
      <w:r>
        <w:t xml:space="preserve"> </w:t>
      </w:r>
      <w:r w:rsidRPr="00B7218F">
        <w:t xml:space="preserve">[cit. </w:t>
      </w:r>
      <w:proofErr w:type="gramStart"/>
      <w:r w:rsidRPr="00B7218F">
        <w:t>2009-11</w:t>
      </w:r>
      <w:proofErr w:type="gramEnd"/>
      <w:r w:rsidRPr="00B7218F">
        <w:t xml:space="preserve">-30]. Dostupný z  </w:t>
      </w:r>
      <w:r w:rsidRPr="00B463C6">
        <w:rPr>
          <w:szCs w:val="20"/>
        </w:rPr>
        <w:t>http://www.zavedenieura.cz/cps/rde/xchg/euro/xsl/euro_scenar_prijeti.html</w:t>
      </w:r>
    </w:p>
    <w:p w:rsidR="00FD7B45" w:rsidRPr="00B7218F" w:rsidRDefault="00FD7B45" w:rsidP="00F076A4">
      <w:pPr>
        <w:pStyle w:val="Nadpis4"/>
      </w:pPr>
      <w:bookmarkStart w:id="15" w:name="_Toc282027250"/>
      <w:r w:rsidRPr="00B7218F">
        <w:t xml:space="preserve">Obr. 3: Scénář </w:t>
      </w:r>
      <w:proofErr w:type="spellStart"/>
      <w:r w:rsidRPr="00B7218F">
        <w:t>Phasing</w:t>
      </w:r>
      <w:proofErr w:type="spellEnd"/>
      <w:r w:rsidRPr="00B7218F">
        <w:t xml:space="preserve"> </w:t>
      </w:r>
      <w:proofErr w:type="spellStart"/>
      <w:r w:rsidRPr="00B7218F">
        <w:t>Out</w:t>
      </w:r>
      <w:proofErr w:type="spellEnd"/>
      <w:r w:rsidRPr="00B7218F">
        <w:t xml:space="preserve"> zavedení eura</w:t>
      </w:r>
      <w:bookmarkEnd w:id="15"/>
    </w:p>
    <w:p w:rsidR="00FD7B45" w:rsidRDefault="00FD7B45" w:rsidP="00611E8B">
      <w:pPr>
        <w:pStyle w:val="Nadpis3"/>
        <w:spacing w:before="0"/>
        <w:rPr>
          <w:lang w:eastAsia="cs-CZ"/>
        </w:rPr>
      </w:pPr>
    </w:p>
    <w:p w:rsidR="00FD7B45" w:rsidRPr="000B1D07" w:rsidRDefault="00FD7B45" w:rsidP="000B1D07">
      <w:pPr>
        <w:rPr>
          <w:lang w:eastAsia="cs-CZ"/>
        </w:rPr>
      </w:pPr>
    </w:p>
    <w:p w:rsidR="00FD7B45" w:rsidRPr="00B7218F" w:rsidRDefault="00FD7B45" w:rsidP="00611E8B">
      <w:pPr>
        <w:pStyle w:val="Nadpis3"/>
        <w:spacing w:before="0"/>
        <w:rPr>
          <w:lang w:eastAsia="cs-CZ"/>
        </w:rPr>
      </w:pPr>
      <w:bookmarkStart w:id="16" w:name="_Toc282027346"/>
      <w:r w:rsidRPr="00B7218F">
        <w:rPr>
          <w:lang w:eastAsia="cs-CZ"/>
        </w:rPr>
        <w:t>1.</w:t>
      </w:r>
      <w:r>
        <w:rPr>
          <w:lang w:eastAsia="cs-CZ"/>
        </w:rPr>
        <w:t>1</w:t>
      </w:r>
      <w:r w:rsidRPr="00B7218F">
        <w:rPr>
          <w:lang w:eastAsia="cs-CZ"/>
        </w:rPr>
        <w:t>.</w:t>
      </w:r>
      <w:r>
        <w:rPr>
          <w:lang w:eastAsia="cs-CZ"/>
        </w:rPr>
        <w:t>2</w:t>
      </w:r>
      <w:r w:rsidRPr="00B7218F">
        <w:rPr>
          <w:lang w:eastAsia="cs-CZ"/>
        </w:rPr>
        <w:t xml:space="preserve"> Postup zavádění eura</w:t>
      </w:r>
      <w:bookmarkEnd w:id="16"/>
    </w:p>
    <w:p w:rsidR="00FD7B45" w:rsidRPr="00B7218F" w:rsidRDefault="00FD7B45" w:rsidP="00611E8B"/>
    <w:p w:rsidR="00FD7B45" w:rsidRPr="00B7218F" w:rsidRDefault="00FD7B45" w:rsidP="00611E8B">
      <w:r w:rsidRPr="00B7218F">
        <w:t>V okamžiku, kdy se vláda členského státu EU rozhodne zavést euro, požádá Evropskou komisi a Evropskou centrální banku o posouzení připravenosti zavedení měny. Rozhodnutí interpretuje v konvergenčních zprávách. Konvergenční zprávy jsou definované dle čl.</w:t>
      </w:r>
      <w:r>
        <w:t xml:space="preserve"> </w:t>
      </w:r>
      <w:r w:rsidRPr="00B7218F">
        <w:t>121 (1) Smlouvy o založení Evropského společenství. Úkolem zpráv je prozkoumání kompatibility národní legislativy a národní centrální banky v dané zemi včetně ověření vysokého stupně udržitelnosti konvergence, tj. jestli daná země plní konvergenční kritéria.</w:t>
      </w:r>
      <w:r w:rsidRPr="00B7218F">
        <w:rPr>
          <w:rStyle w:val="Znakapoznpodarou"/>
        </w:rPr>
        <w:footnoteReference w:id="4"/>
      </w:r>
      <w:r w:rsidRPr="00B7218F">
        <w:t xml:space="preserve"> </w:t>
      </w:r>
    </w:p>
    <w:p w:rsidR="00FD7B45" w:rsidRPr="00B7218F" w:rsidRDefault="00FD7B45" w:rsidP="001F442E">
      <w:pPr>
        <w:rPr>
          <w:rFonts w:ascii="Arial" w:hAnsi="Arial" w:cs="Arial"/>
          <w:color w:val="000000"/>
          <w:sz w:val="18"/>
          <w:szCs w:val="18"/>
          <w:lang w:eastAsia="cs-CZ"/>
        </w:rPr>
      </w:pPr>
      <w:r w:rsidRPr="00B7218F">
        <w:t>Tento proces je také nazýván jako „Procedura zrušení výjimky pro zavedení eura“. Rada EU, která je složena z ministrů financi a hospodářství (</w:t>
      </w:r>
      <w:proofErr w:type="spellStart"/>
      <w:proofErr w:type="gramStart"/>
      <w:r w:rsidRPr="00B7218F">
        <w:t>ECOFIN</w:t>
      </w:r>
      <w:proofErr w:type="spellEnd"/>
      <w:r w:rsidRPr="00B7218F">
        <w:t>),  konzultuje</w:t>
      </w:r>
      <w:proofErr w:type="gramEnd"/>
      <w:r w:rsidRPr="00B7218F">
        <w:t xml:space="preserve"> s </w:t>
      </w:r>
      <w:proofErr w:type="spellStart"/>
      <w:r w:rsidRPr="00B7218F">
        <w:t>ECB</w:t>
      </w:r>
      <w:proofErr w:type="spellEnd"/>
      <w:r w:rsidRPr="00B7218F">
        <w:t xml:space="preserve"> oficiální přepočítací koeficient, který udává poměr mezi eurem a národní měnou. Daný koeficient bývá šestimístné číslo.</w:t>
      </w:r>
      <w:r w:rsidRPr="00B7218F">
        <w:rPr>
          <w:rFonts w:ascii="Arial" w:hAnsi="Arial" w:cs="Arial"/>
          <w:color w:val="000000"/>
          <w:sz w:val="18"/>
          <w:szCs w:val="18"/>
          <w:lang w:eastAsia="cs-CZ"/>
        </w:rPr>
        <w:t>  </w:t>
      </w:r>
    </w:p>
    <w:p w:rsidR="00FD7B45" w:rsidRPr="00B7218F" w:rsidRDefault="00FD7B45" w:rsidP="001F442E"/>
    <w:p w:rsidR="00FD7B45" w:rsidRPr="00B7218F" w:rsidRDefault="00FD7B45" w:rsidP="001F442E">
      <w:r w:rsidRPr="00B7218F">
        <w:t xml:space="preserve">Členská země, která se rozhodla zavést euro, začíná pracovat na </w:t>
      </w:r>
      <w:proofErr w:type="gramStart"/>
      <w:r w:rsidRPr="00B7218F">
        <w:t>přípravách  zavedení</w:t>
      </w:r>
      <w:proofErr w:type="gramEnd"/>
      <w:r w:rsidRPr="00B7218F">
        <w:t xml:space="preserve"> eura </w:t>
      </w:r>
      <w:r>
        <w:t xml:space="preserve">na </w:t>
      </w:r>
      <w:r w:rsidRPr="00B7218F">
        <w:t xml:space="preserve">tzv. Národním plánu. Národní plán pro zavedení eura v sobě zahrnuje jednotlivé </w:t>
      </w:r>
      <w:r w:rsidRPr="00B7218F">
        <w:lastRenderedPageBreak/>
        <w:t>technické, organizační a legislativní k</w:t>
      </w:r>
      <w:r>
        <w:t>r</w:t>
      </w:r>
      <w:r w:rsidRPr="00B7218F">
        <w:t>oky nutné pro bezproblémový přechod z původní národní měny na novou</w:t>
      </w:r>
      <w:r>
        <w:t xml:space="preserve"> jednotnou měnu</w:t>
      </w:r>
      <w:r w:rsidRPr="00B7218F">
        <w:t xml:space="preserve">.  Vedle tohoto plánu si každá země zpracovává různé dokumenty, které blíže řeší specifické oblasti. Jsou to např. </w:t>
      </w:r>
      <w:proofErr w:type="gramStart"/>
      <w:r w:rsidRPr="00B7218F">
        <w:t>zaokrouhlování</w:t>
      </w:r>
      <w:r>
        <w:t xml:space="preserve">               </w:t>
      </w:r>
      <w:r w:rsidRPr="00B7218F">
        <w:t xml:space="preserve"> a zarovnávání</w:t>
      </w:r>
      <w:proofErr w:type="gramEnd"/>
      <w:r w:rsidRPr="00B7218F">
        <w:t xml:space="preserve"> peněžních částek, duální označení cen</w:t>
      </w:r>
      <w:r>
        <w:t>,</w:t>
      </w:r>
      <w:r w:rsidRPr="00B7218F">
        <w:t>příprav</w:t>
      </w:r>
      <w:r>
        <w:t>y</w:t>
      </w:r>
      <w:r w:rsidRPr="00B7218F">
        <w:t xml:space="preserve"> malých a středních podniků na zavedení nové měny.</w:t>
      </w:r>
      <w:r w:rsidRPr="00B7218F">
        <w:rPr>
          <w:rStyle w:val="Znakapoznpodarou"/>
        </w:rPr>
        <w:footnoteReference w:id="5"/>
      </w:r>
    </w:p>
    <w:p w:rsidR="00FD7B45" w:rsidRPr="00B7218F" w:rsidRDefault="00FD7B45" w:rsidP="001F442E"/>
    <w:p w:rsidR="00FD7B45" w:rsidRPr="00B7218F" w:rsidRDefault="00FD7B45" w:rsidP="001F442E">
      <w:r w:rsidRPr="00B7218F">
        <w:t>Důležitou součásti při zavádění společné měny je plnění konvergenčních kritérií, která jsou rozdělena</w:t>
      </w:r>
      <w:r>
        <w:t xml:space="preserve"> na</w:t>
      </w:r>
      <w:r w:rsidRPr="00B7218F">
        <w:t xml:space="preserve"> konvergenční měnová kritéria a konvergenční fiskální kritéria. T</w:t>
      </w:r>
      <w:r>
        <w:t>a</w:t>
      </w:r>
      <w:r w:rsidRPr="00B7218F">
        <w:t>to kritéria budou podrobněji popsána v následující kapitole.</w:t>
      </w:r>
    </w:p>
    <w:p w:rsidR="00FD7B45" w:rsidRPr="00B7218F" w:rsidRDefault="00FD7B45" w:rsidP="00611E8B">
      <w:pPr>
        <w:pStyle w:val="Nadpis2"/>
        <w:spacing w:before="0"/>
        <w:rPr>
          <w:sz w:val="24"/>
        </w:rPr>
      </w:pPr>
    </w:p>
    <w:p w:rsidR="00FD7B45" w:rsidRPr="00B7218F" w:rsidRDefault="00FD7B45" w:rsidP="00067320"/>
    <w:p w:rsidR="00FD7B45" w:rsidRPr="00B7218F" w:rsidRDefault="00FD7B45" w:rsidP="00611E8B">
      <w:pPr>
        <w:pStyle w:val="Nadpis2"/>
        <w:spacing w:before="0"/>
      </w:pPr>
      <w:bookmarkStart w:id="17" w:name="_Toc282027347"/>
      <w:r w:rsidRPr="00B7218F">
        <w:t>1.</w:t>
      </w:r>
      <w:r>
        <w:t>2</w:t>
      </w:r>
      <w:r w:rsidRPr="00B7218F">
        <w:t xml:space="preserve"> Konvergenční měnová kritéria</w:t>
      </w:r>
      <w:bookmarkEnd w:id="17"/>
    </w:p>
    <w:p w:rsidR="00FD7B45" w:rsidRPr="00B7218F" w:rsidRDefault="00FD7B45" w:rsidP="00611E8B"/>
    <w:p w:rsidR="00FD7B45" w:rsidRPr="00B7218F" w:rsidRDefault="00FD7B45" w:rsidP="00611E8B"/>
    <w:p w:rsidR="00FD7B45" w:rsidRPr="00B7218F" w:rsidRDefault="00FD7B45" w:rsidP="00611E8B">
      <w:r w:rsidRPr="00B7218F">
        <w:t>V rámci měnového kritéria je posuzována cenová stabilita, konvergence dlouhodobé úrokové sazby a mechanismus směnného kurzu.</w:t>
      </w:r>
    </w:p>
    <w:p w:rsidR="00FD7B45" w:rsidRPr="00B7218F" w:rsidRDefault="00FD7B45" w:rsidP="00CC3B32"/>
    <w:p w:rsidR="00FD7B45" w:rsidRPr="00B7218F" w:rsidRDefault="00FD7B45" w:rsidP="006367A6">
      <w:r w:rsidRPr="00B7218F">
        <w:t xml:space="preserve"> </w:t>
      </w:r>
    </w:p>
    <w:p w:rsidR="00FD7B45" w:rsidRPr="00B7218F" w:rsidRDefault="00FD7B45" w:rsidP="00611E8B">
      <w:pPr>
        <w:pStyle w:val="Nadpis3"/>
        <w:spacing w:before="0"/>
      </w:pPr>
      <w:bookmarkStart w:id="18" w:name="_Toc282027348"/>
      <w:r w:rsidRPr="00B7218F">
        <w:t>1.</w:t>
      </w:r>
      <w:r>
        <w:t>2</w:t>
      </w:r>
      <w:r w:rsidRPr="00B7218F">
        <w:t>.1 Cenová stabilita</w:t>
      </w:r>
      <w:bookmarkEnd w:id="18"/>
      <w:r w:rsidRPr="00B7218F">
        <w:t xml:space="preserve"> </w:t>
      </w:r>
    </w:p>
    <w:p w:rsidR="00FD7B45" w:rsidRPr="00B7218F" w:rsidRDefault="00FD7B45" w:rsidP="00611E8B"/>
    <w:p w:rsidR="00FD7B45" w:rsidRPr="00B7218F" w:rsidRDefault="00FD7B45" w:rsidP="00611E8B">
      <w:r w:rsidRPr="00B7218F">
        <w:t xml:space="preserve">Prvním kritériem, které bude v této diplomové práci charakterizováno, je kritérium cenové stability. Kritérium cenové stability je vymezeno v Článku 1 Protokolu o kritériích konvergence. Protokol přesně uvádí, jaké podmínky v rámci tohoto kritéria musí kandidátská země splňovat. Členský stát by měl vykazovat dlouhodobě udržitelnou cenovou stabilitu a průměrnou míru inflace měřenou v průběhu jednoho roku před provedeným šetřením, jež nepřekračuje o více než 1,5 procentního bodu průměrnou míru inflace tří členských států, které v oblasti cenové stability dosáhly nejlepších výsledků. </w:t>
      </w:r>
      <w:r w:rsidRPr="00B7218F">
        <w:lastRenderedPageBreak/>
        <w:t xml:space="preserve">Inflace se měří pomocí indexu spotřebitelských cen na srovnatelném </w:t>
      </w:r>
      <w:proofErr w:type="gramStart"/>
      <w:r w:rsidRPr="00B7218F">
        <w:t xml:space="preserve">základě </w:t>
      </w:r>
      <w:r>
        <w:t xml:space="preserve">                      s přihlédnutím</w:t>
      </w:r>
      <w:proofErr w:type="gramEnd"/>
      <w:r w:rsidRPr="00B7218F">
        <w:t xml:space="preserve"> k rozdílnému vymezení pojmů v jednotlivých členských státech.“</w:t>
      </w:r>
      <w:r w:rsidRPr="00B7218F">
        <w:rPr>
          <w:rStyle w:val="Znakapoznpodarou"/>
        </w:rPr>
        <w:footnoteReference w:id="6"/>
      </w:r>
    </w:p>
    <w:p w:rsidR="00FD7B45" w:rsidRDefault="00FD7B45" w:rsidP="006367A6"/>
    <w:p w:rsidR="00FD7B45" w:rsidRPr="00B7218F" w:rsidRDefault="00FD7B45" w:rsidP="006367A6"/>
    <w:p w:rsidR="00FD7B45" w:rsidRPr="00B7218F" w:rsidRDefault="00FD7B45" w:rsidP="00611E8B">
      <w:pPr>
        <w:pStyle w:val="Nadpis3"/>
        <w:spacing w:before="0"/>
      </w:pPr>
      <w:bookmarkStart w:id="19" w:name="_Toc282027349"/>
      <w:r w:rsidRPr="00B7218F">
        <w:t>1.</w:t>
      </w:r>
      <w:r>
        <w:t>2</w:t>
      </w:r>
      <w:r w:rsidRPr="00B7218F">
        <w:t>.2 Kritérium dlouhodobých úrokových sazeb</w:t>
      </w:r>
      <w:bookmarkEnd w:id="19"/>
    </w:p>
    <w:p w:rsidR="00FD7B45" w:rsidRPr="00B7218F" w:rsidRDefault="00FD7B45" w:rsidP="00611E8B"/>
    <w:p w:rsidR="00FD7B45" w:rsidRPr="00B7218F" w:rsidRDefault="00FD7B45" w:rsidP="00611E8B">
      <w:pPr>
        <w:rPr>
          <w:rStyle w:val="Zvraznn"/>
          <w:i w:val="0"/>
          <w:color w:val="000000"/>
          <w:szCs w:val="24"/>
        </w:rPr>
      </w:pPr>
      <w:r w:rsidRPr="00B7218F">
        <w:t xml:space="preserve">V rámci měnových konvergenčních kritérií se také hovoří o kritériu dlouhodobých úrokových sazeb. Článek 4 o Protokolu konvergence stanovuje, </w:t>
      </w:r>
      <w:r w:rsidRPr="00B7218F">
        <w:rPr>
          <w:rStyle w:val="Zvraznn"/>
          <w:i w:val="0"/>
          <w:color w:val="000000"/>
          <w:szCs w:val="24"/>
        </w:rPr>
        <w:t xml:space="preserve">že v průběhu jednoho roku před šetřením by průměrná dlouhodobá nominální úroková sazba členského státu neměla překročit více než 2 procentní body úrokovou sazbu tří členských států s nejlepšími výsledky v oblasti cenové stability. Úrokové sazby se zjišťují na základě dlouhodobých státních dluhopisů nebo srovnatelných cenných papírů s přihlédnutím k rozdílnému vymezení pojmů v jednotlivých členských státech.“ </w:t>
      </w:r>
      <w:r w:rsidRPr="00B7218F">
        <w:rPr>
          <w:rStyle w:val="Znakapoznpodarou"/>
          <w:iCs/>
          <w:color w:val="000000"/>
          <w:szCs w:val="24"/>
        </w:rPr>
        <w:footnoteReference w:id="7"/>
      </w:r>
      <w:r w:rsidRPr="00B7218F">
        <w:rPr>
          <w:rStyle w:val="Zvraznn"/>
          <w:i w:val="0"/>
          <w:color w:val="000000"/>
          <w:szCs w:val="24"/>
        </w:rPr>
        <w:t xml:space="preserve"> </w:t>
      </w:r>
    </w:p>
    <w:p w:rsidR="00FD7B45" w:rsidRDefault="00FD7B45" w:rsidP="001A7ECB">
      <w:pPr>
        <w:rPr>
          <w:b/>
          <w:i/>
        </w:rPr>
      </w:pPr>
    </w:p>
    <w:p w:rsidR="00FD7B45" w:rsidRPr="00B7218F" w:rsidRDefault="00FD7B45" w:rsidP="001A7ECB">
      <w:pPr>
        <w:rPr>
          <w:b/>
          <w:i/>
        </w:rPr>
      </w:pPr>
    </w:p>
    <w:p w:rsidR="00FD7B45" w:rsidRPr="00B7218F" w:rsidRDefault="00FD7B45" w:rsidP="00B463C6">
      <w:pPr>
        <w:pStyle w:val="Nadpis3"/>
        <w:spacing w:before="0"/>
      </w:pPr>
      <w:bookmarkStart w:id="20" w:name="_Toc282027350"/>
      <w:r w:rsidRPr="00B7218F">
        <w:t>1.</w:t>
      </w:r>
      <w:r>
        <w:t>2</w:t>
      </w:r>
      <w:r w:rsidRPr="00B7218F">
        <w:t>.3 Kritérium směnného kurzu</w:t>
      </w:r>
      <w:bookmarkEnd w:id="20"/>
    </w:p>
    <w:p w:rsidR="00FD7B45" w:rsidRPr="00B7218F" w:rsidRDefault="00FD7B45" w:rsidP="0021514B">
      <w:pPr>
        <w:rPr>
          <w:rStyle w:val="apple-style-span"/>
          <w:color w:val="000000"/>
          <w:szCs w:val="24"/>
        </w:rPr>
      </w:pPr>
    </w:p>
    <w:p w:rsidR="00FD7B45" w:rsidRDefault="00FD7B45" w:rsidP="0021514B">
      <w:r w:rsidRPr="00B7218F">
        <w:rPr>
          <w:rStyle w:val="apple-style-span"/>
          <w:color w:val="000000"/>
          <w:szCs w:val="24"/>
        </w:rPr>
        <w:t>Posledním kritériem, které je součástí měnových konvergenčních kritéri</w:t>
      </w:r>
      <w:r>
        <w:rPr>
          <w:rStyle w:val="apple-style-span"/>
          <w:color w:val="000000"/>
          <w:szCs w:val="24"/>
        </w:rPr>
        <w:t>í,</w:t>
      </w:r>
      <w:r w:rsidRPr="00B7218F">
        <w:rPr>
          <w:rStyle w:val="apple-style-span"/>
          <w:color w:val="000000"/>
          <w:szCs w:val="24"/>
        </w:rPr>
        <w:t xml:space="preserve"> je kritérium směnného kurzu. Článek 3 Protokolu o kritériích konvergence jasně hovoří</w:t>
      </w:r>
      <w:r w:rsidRPr="00B7218F">
        <w:rPr>
          <w:szCs w:val="24"/>
        </w:rPr>
        <w:t xml:space="preserve"> o tom</w:t>
      </w:r>
      <w:r w:rsidRPr="00B7218F">
        <w:rPr>
          <w:rStyle w:val="Zvraznn"/>
          <w:i w:val="0"/>
          <w:color w:val="000000"/>
          <w:szCs w:val="24"/>
        </w:rPr>
        <w:t xml:space="preserve">, že členský stát by měl alespoň po dobu posledních dvou let před šetřením dodržovat fluktuační rozpětí stanovené mechanismem směnných kurzů Evropského měnového systému ERM II, aniž by byl směnný kurz vystaven silným tlakům. Členský stát v tomto období z vlastního podnětu nesmí devalvovat dvoustranný střední kurz své měny vůči měně kteréhokoli jiného členského státu.“. </w:t>
      </w:r>
      <w:r w:rsidRPr="00B7218F">
        <w:t xml:space="preserve">Směnný kurz vůči euru by se měl blížit centrální paritě stanovené v rámci EMS a být udržován v normálním fluktuačním </w:t>
      </w:r>
      <w:proofErr w:type="gramStart"/>
      <w:r w:rsidRPr="00B7218F">
        <w:t xml:space="preserve">rozpětí </w:t>
      </w:r>
      <w:r>
        <w:t xml:space="preserve">   </w:t>
      </w:r>
      <w:r w:rsidRPr="00B7218F">
        <w:t>± 15</w:t>
      </w:r>
      <w:proofErr w:type="gramEnd"/>
      <w:r w:rsidRPr="00B7218F">
        <w:t xml:space="preserve"> % (podle dokumentů </w:t>
      </w:r>
      <w:proofErr w:type="spellStart"/>
      <w:r w:rsidRPr="00B7218F">
        <w:t>ECB</w:t>
      </w:r>
      <w:proofErr w:type="spellEnd"/>
      <w:r w:rsidRPr="00B7218F">
        <w:t xml:space="preserve"> a </w:t>
      </w:r>
      <w:proofErr w:type="spellStart"/>
      <w:r w:rsidRPr="00B7218F">
        <w:t>EK</w:t>
      </w:r>
      <w:proofErr w:type="spellEnd"/>
      <w:r w:rsidRPr="00B7218F">
        <w:t xml:space="preserve"> se však očekává větší kurzová stabilita, odvozená od původního rozpětí pásma oscilace v ERM, tj. ± 2,25%)</w:t>
      </w:r>
      <w:r>
        <w:rPr>
          <w:rStyle w:val="Znakapoznpodarou"/>
        </w:rPr>
        <w:footnoteReference w:id="8"/>
      </w:r>
      <w:r>
        <w:t xml:space="preserve"> </w:t>
      </w:r>
      <w:r>
        <w:rPr>
          <w:rStyle w:val="Znakapoznpodarou"/>
        </w:rPr>
        <w:footnoteReference w:id="9"/>
      </w:r>
    </w:p>
    <w:p w:rsidR="00FD7B45" w:rsidRPr="00B7218F" w:rsidRDefault="00FD7B45" w:rsidP="0021514B"/>
    <w:p w:rsidR="00FD7B45" w:rsidRPr="00B7218F" w:rsidRDefault="00FD7B45" w:rsidP="0021514B">
      <w:pPr>
        <w:rPr>
          <w:i/>
          <w:szCs w:val="24"/>
        </w:rPr>
      </w:pPr>
      <w:r w:rsidRPr="00B7218F">
        <w:lastRenderedPageBreak/>
        <w:t xml:space="preserve">Po popsání měnových konvergenčních kritérií jsou na řadě fiskální konvergenční kritéria, která jsou stejně důležitá jako měnová. </w:t>
      </w:r>
    </w:p>
    <w:p w:rsidR="00FD7B45" w:rsidRDefault="00FD7B45" w:rsidP="00067320"/>
    <w:p w:rsidR="00FD7B45" w:rsidRDefault="00FD7B45" w:rsidP="00067320"/>
    <w:p w:rsidR="00FD7B45" w:rsidRPr="00B7218F" w:rsidRDefault="00FD7B45" w:rsidP="00B463C6">
      <w:pPr>
        <w:pStyle w:val="Nadpis2"/>
        <w:spacing w:before="0"/>
      </w:pPr>
      <w:bookmarkStart w:id="21" w:name="_Toc282027351"/>
      <w:r w:rsidRPr="00B7218F">
        <w:t>1.</w:t>
      </w:r>
      <w:r>
        <w:t>3</w:t>
      </w:r>
      <w:r w:rsidRPr="00B7218F">
        <w:t xml:space="preserve"> Konvergenční fiskální kritéria</w:t>
      </w:r>
      <w:bookmarkEnd w:id="21"/>
    </w:p>
    <w:p w:rsidR="00FD7B45" w:rsidRPr="00B7218F" w:rsidRDefault="00FD7B45" w:rsidP="00643D1E"/>
    <w:p w:rsidR="00FD7B45" w:rsidRPr="00B7218F" w:rsidRDefault="00FD7B45" w:rsidP="00643D1E"/>
    <w:p w:rsidR="00FD7B45" w:rsidRPr="00B7218F" w:rsidRDefault="00FD7B45" w:rsidP="00D26EA6">
      <w:pPr>
        <w:rPr>
          <w:iCs/>
          <w:color w:val="000000"/>
          <w:szCs w:val="24"/>
          <w:lang w:eastAsia="cs-CZ"/>
        </w:rPr>
      </w:pPr>
      <w:r w:rsidRPr="00B7218F">
        <w:t>Konvergenční fiskální kritéria posuzují udržitelnost veřejných financí</w:t>
      </w:r>
      <w:r w:rsidRPr="00B7218F">
        <w:rPr>
          <w:szCs w:val="24"/>
        </w:rPr>
        <w:t xml:space="preserve">. </w:t>
      </w:r>
      <w:r w:rsidRPr="00B7218F">
        <w:rPr>
          <w:rStyle w:val="apple-style-span"/>
          <w:color w:val="000000"/>
          <w:szCs w:val="24"/>
        </w:rPr>
        <w:t>Kritérium udržitelnosti veřejných financí má dvě části. Za prvé se jedná o kritérium vládního deficitu a za druhé o veřejný dluh.</w:t>
      </w:r>
      <w:r>
        <w:rPr>
          <w:rStyle w:val="Znakapoznpodarou"/>
          <w:color w:val="000000"/>
          <w:szCs w:val="24"/>
        </w:rPr>
        <w:footnoteReference w:id="10"/>
      </w:r>
    </w:p>
    <w:p w:rsidR="00FD7B45" w:rsidRPr="000B1D07" w:rsidRDefault="00FD7B45" w:rsidP="00867CBA">
      <w:pPr>
        <w:pStyle w:val="Nadpis3"/>
        <w:rPr>
          <w:sz w:val="24"/>
        </w:rPr>
      </w:pPr>
    </w:p>
    <w:p w:rsidR="00FD7B45" w:rsidRPr="00B7218F" w:rsidRDefault="00FD7B45" w:rsidP="00FE5F9A"/>
    <w:p w:rsidR="00FD7B45" w:rsidRPr="00B7218F" w:rsidRDefault="00FD7B45" w:rsidP="00B463C6">
      <w:pPr>
        <w:pStyle w:val="Nadpis3"/>
        <w:spacing w:before="0"/>
      </w:pPr>
      <w:bookmarkStart w:id="22" w:name="_Toc282027352"/>
      <w:r w:rsidRPr="00B7218F">
        <w:t>1.</w:t>
      </w:r>
      <w:r>
        <w:t>3</w:t>
      </w:r>
      <w:r w:rsidRPr="00B7218F">
        <w:t>.1 Deficit veřejných financí</w:t>
      </w:r>
      <w:bookmarkEnd w:id="22"/>
      <w:r w:rsidRPr="00B7218F">
        <w:t xml:space="preserve"> </w:t>
      </w:r>
    </w:p>
    <w:p w:rsidR="00FD7B45" w:rsidRPr="00B7218F" w:rsidRDefault="00FD7B45" w:rsidP="00643D1E"/>
    <w:p w:rsidR="00FD7B45" w:rsidRPr="00B7218F" w:rsidRDefault="00FD7B45" w:rsidP="009A4769">
      <w:pPr>
        <w:rPr>
          <w:lang w:eastAsia="cs-CZ"/>
        </w:rPr>
      </w:pPr>
      <w:r w:rsidRPr="00B7218F">
        <w:rPr>
          <w:rStyle w:val="Siln"/>
          <w:b w:val="0"/>
          <w:color w:val="000000"/>
          <w:szCs w:val="24"/>
        </w:rPr>
        <w:t>První z řady fiskálních kritérií, které budou následn</w:t>
      </w:r>
      <w:r>
        <w:rPr>
          <w:rStyle w:val="Siln"/>
          <w:b w:val="0"/>
          <w:color w:val="000000"/>
          <w:szCs w:val="24"/>
        </w:rPr>
        <w:t>ě</w:t>
      </w:r>
      <w:r w:rsidRPr="00B7218F">
        <w:rPr>
          <w:rStyle w:val="Siln"/>
          <w:b w:val="0"/>
          <w:color w:val="000000"/>
          <w:szCs w:val="24"/>
        </w:rPr>
        <w:t xml:space="preserve"> charakterizovány</w:t>
      </w:r>
      <w:r>
        <w:rPr>
          <w:rStyle w:val="Siln"/>
          <w:b w:val="0"/>
          <w:color w:val="000000"/>
          <w:szCs w:val="24"/>
        </w:rPr>
        <w:t>,</w:t>
      </w:r>
      <w:r w:rsidRPr="00B7218F">
        <w:rPr>
          <w:rStyle w:val="Siln"/>
          <w:b w:val="0"/>
          <w:color w:val="000000"/>
          <w:szCs w:val="24"/>
        </w:rPr>
        <w:t xml:space="preserve"> je kritérium týkající se deficitu veřejných financí. Smlouva o fungování Evropské unie specifikuje p</w:t>
      </w:r>
      <w:r w:rsidRPr="00B7218F">
        <w:t xml:space="preserve">oměr plánovaného nebo skutečného schodku veřejných financí k hrubému domácímu produktu, který nesmí překročit referenční hodnotu 3 % HDP, stanovenou v </w:t>
      </w:r>
      <w:proofErr w:type="gramStart"/>
      <w:r w:rsidRPr="00B7218F">
        <w:t xml:space="preserve">protokolu </w:t>
      </w:r>
      <w:r>
        <w:t xml:space="preserve">       </w:t>
      </w:r>
      <w:r w:rsidRPr="00B7218F">
        <w:t>o postupu</w:t>
      </w:r>
      <w:proofErr w:type="gramEnd"/>
      <w:r w:rsidRPr="00B7218F">
        <w:t xml:space="preserve"> při nadměrném schodku.</w:t>
      </w:r>
      <w:r>
        <w:rPr>
          <w:rStyle w:val="Znakapoznpodarou"/>
        </w:rPr>
        <w:footnoteReference w:id="11"/>
      </w:r>
    </w:p>
    <w:p w:rsidR="00FD7B45" w:rsidRPr="00B7218F" w:rsidRDefault="00FD7B45" w:rsidP="00867CBA"/>
    <w:p w:rsidR="00FD7B45" w:rsidRPr="00B7218F" w:rsidRDefault="00FD7B45" w:rsidP="00867CBA"/>
    <w:p w:rsidR="00FD7B45" w:rsidRPr="00B7218F" w:rsidRDefault="00FD7B45" w:rsidP="00B463C6">
      <w:pPr>
        <w:pStyle w:val="Nadpis3"/>
        <w:spacing w:before="0"/>
      </w:pPr>
      <w:bookmarkStart w:id="23" w:name="_Toc282027353"/>
      <w:r w:rsidRPr="00B7218F">
        <w:t>1.</w:t>
      </w:r>
      <w:r>
        <w:t>3</w:t>
      </w:r>
      <w:r w:rsidRPr="00B7218F">
        <w:t>.2 Veřejné zadlužení</w:t>
      </w:r>
      <w:bookmarkEnd w:id="23"/>
      <w:r w:rsidRPr="00B7218F">
        <w:t xml:space="preserve"> </w:t>
      </w:r>
    </w:p>
    <w:p w:rsidR="00FD7B45" w:rsidRPr="00B7218F" w:rsidRDefault="00FD7B45" w:rsidP="006367A6">
      <w:pPr>
        <w:rPr>
          <w:rStyle w:val="Zvraznn"/>
          <w:i w:val="0"/>
          <w:color w:val="000000"/>
          <w:szCs w:val="24"/>
        </w:rPr>
      </w:pPr>
    </w:p>
    <w:p w:rsidR="00FD7B45" w:rsidRPr="00B7218F" w:rsidRDefault="00FD7B45" w:rsidP="006367A6">
      <w:r w:rsidRPr="00B7218F">
        <w:rPr>
          <w:rStyle w:val="Zvraznn"/>
          <w:i w:val="0"/>
          <w:color w:val="000000"/>
          <w:szCs w:val="24"/>
        </w:rPr>
        <w:t xml:space="preserve">Druhým neméně důležitým kritériem, je kritérium veřejného zadlužení. Poměr veřejného zadlužení k hrubému domácímu produktu nesmí překročit doporučovanou hodnotu, která </w:t>
      </w:r>
      <w:proofErr w:type="gramStart"/>
      <w:r w:rsidRPr="00B7218F">
        <w:rPr>
          <w:rStyle w:val="Zvraznn"/>
          <w:i w:val="0"/>
          <w:color w:val="000000"/>
          <w:szCs w:val="24"/>
        </w:rPr>
        <w:t>je  stanovena</w:t>
      </w:r>
      <w:proofErr w:type="gramEnd"/>
      <w:r w:rsidRPr="00B7218F">
        <w:rPr>
          <w:rStyle w:val="Zvraznn"/>
          <w:i w:val="0"/>
          <w:color w:val="000000"/>
          <w:szCs w:val="24"/>
        </w:rPr>
        <w:t xml:space="preserve"> v protokolu o postupu při nadměrném schodku jako 60 % HDP</w:t>
      </w:r>
      <w:r>
        <w:rPr>
          <w:rStyle w:val="Znakapoznpodarou"/>
          <w:iCs/>
          <w:color w:val="000000"/>
          <w:szCs w:val="24"/>
        </w:rPr>
        <w:footnoteReference w:id="12"/>
      </w:r>
      <w:r w:rsidRPr="00B7218F">
        <w:rPr>
          <w:rStyle w:val="Zvraznn"/>
          <w:rFonts w:ascii="Arial" w:hAnsi="Arial" w:cs="Arial"/>
          <w:color w:val="000000"/>
          <w:sz w:val="18"/>
          <w:szCs w:val="18"/>
        </w:rPr>
        <w:t>.</w:t>
      </w:r>
    </w:p>
    <w:p w:rsidR="00FD7B45" w:rsidRDefault="00FD7B45" w:rsidP="00361840"/>
    <w:p w:rsidR="00FD7B45" w:rsidRDefault="00FD7B45" w:rsidP="00361840"/>
    <w:p w:rsidR="00FD7B45" w:rsidRPr="00B7218F" w:rsidRDefault="00FD7B45" w:rsidP="00B463C6">
      <w:pPr>
        <w:pStyle w:val="Nadpis2"/>
        <w:spacing w:before="0"/>
      </w:pPr>
      <w:bookmarkStart w:id="24" w:name="_Toc282027354"/>
      <w:r w:rsidRPr="00B7218F">
        <w:lastRenderedPageBreak/>
        <w:t>1.</w:t>
      </w:r>
      <w:r>
        <w:t>4</w:t>
      </w:r>
      <w:r w:rsidRPr="00B7218F">
        <w:t xml:space="preserve"> Legislativní kritéria</w:t>
      </w:r>
      <w:bookmarkEnd w:id="24"/>
    </w:p>
    <w:p w:rsidR="00FD7B45" w:rsidRPr="00B7218F" w:rsidRDefault="00FD7B45" w:rsidP="008415BD"/>
    <w:p w:rsidR="00FD7B45" w:rsidRPr="00B7218F" w:rsidRDefault="00FD7B45" w:rsidP="008415BD">
      <w:r w:rsidRPr="00B7218F">
        <w:t xml:space="preserve">Mimo měnových a fiskálních kritérií se bere v úvahu také legislativní kritérium. Náplní tohoto kritéria je nezávislost centrální banky </w:t>
      </w:r>
      <w:r>
        <w:t xml:space="preserve">na </w:t>
      </w:r>
      <w:r w:rsidRPr="00B7218F">
        <w:t xml:space="preserve">státu, který chce zavést euro a právní integrace národní banky do </w:t>
      </w:r>
      <w:proofErr w:type="spellStart"/>
      <w:r w:rsidRPr="00B7218F">
        <w:t>ESCB</w:t>
      </w:r>
      <w:proofErr w:type="spellEnd"/>
      <w:r w:rsidRPr="00B7218F">
        <w:t xml:space="preserve">. V </w:t>
      </w:r>
      <w:r>
        <w:t>požadavku nezávislosti</w:t>
      </w:r>
      <w:r w:rsidRPr="00B7218F">
        <w:t xml:space="preserve"> centrální banky je posuzována funkční, finanční a personální nezávislost</w:t>
      </w:r>
      <w:r>
        <w:rPr>
          <w:rStyle w:val="Znakapoznpodarou"/>
        </w:rPr>
        <w:footnoteReference w:id="13"/>
      </w:r>
      <w:r w:rsidRPr="00B7218F">
        <w:t xml:space="preserve">. </w:t>
      </w:r>
    </w:p>
    <w:p w:rsidR="00FD7B45" w:rsidRPr="00A518B7" w:rsidRDefault="00FD7B45" w:rsidP="009704B5">
      <w:pPr>
        <w:pStyle w:val="Nadpis2"/>
        <w:rPr>
          <w:sz w:val="24"/>
        </w:rPr>
      </w:pPr>
    </w:p>
    <w:p w:rsidR="00FD7B45" w:rsidRPr="00B7218F" w:rsidRDefault="00FD7B45" w:rsidP="001B5F61"/>
    <w:p w:rsidR="00FD7B45" w:rsidRPr="00B7218F" w:rsidRDefault="00FD7B45" w:rsidP="00B463C6">
      <w:pPr>
        <w:pStyle w:val="Nadpis2"/>
        <w:spacing w:before="0"/>
      </w:pPr>
      <w:bookmarkStart w:id="25" w:name="_Toc282027355"/>
      <w:r w:rsidRPr="00B7218F">
        <w:t>1.</w:t>
      </w:r>
      <w:r>
        <w:t>5</w:t>
      </w:r>
      <w:r w:rsidRPr="00B7218F">
        <w:t xml:space="preserve"> Reáln</w:t>
      </w:r>
      <w:r>
        <w:t>á</w:t>
      </w:r>
      <w:r w:rsidRPr="00B7218F">
        <w:t xml:space="preserve"> konvergence</w:t>
      </w:r>
      <w:bookmarkEnd w:id="25"/>
    </w:p>
    <w:p w:rsidR="00FD7B45" w:rsidRPr="00B7218F" w:rsidRDefault="00FD7B45" w:rsidP="0094764B"/>
    <w:p w:rsidR="00FD7B45" w:rsidRPr="00B7218F" w:rsidRDefault="00FD7B45" w:rsidP="0094764B"/>
    <w:p w:rsidR="00FD7B45" w:rsidRPr="00B7218F" w:rsidRDefault="00FD7B45" w:rsidP="00485FB7">
      <w:r w:rsidRPr="00B7218F">
        <w:t>Výše uvedená Maastrichtská</w:t>
      </w:r>
      <w:r w:rsidRPr="00B7218F">
        <w:rPr>
          <w:b/>
        </w:rPr>
        <w:t xml:space="preserve"> </w:t>
      </w:r>
      <w:r w:rsidRPr="00B7218F">
        <w:t xml:space="preserve">kritéria jsou brána jako nominální kritéria. Pro vstupující stát je důležité, aby konvergoval se členy eurozóny také reálně. Pod reálnými konvergenčními kritérii jsou představovány určité neformální požadavky pro vstup do měnové unie. Tato kritéria nejsou výslovně formulována v žádném dokumentu vydávaným </w:t>
      </w:r>
      <w:proofErr w:type="spellStart"/>
      <w:r w:rsidRPr="00B7218F">
        <w:t>ECB</w:t>
      </w:r>
      <w:proofErr w:type="spellEnd"/>
      <w:r w:rsidRPr="00B7218F">
        <w:t xml:space="preserve"> či Evropskou komisí. Lze je odvodit na základě některých ustanovení Smlouvy o ES</w:t>
      </w:r>
      <w:r w:rsidRPr="00B7218F">
        <w:rPr>
          <w:rStyle w:val="Znakapoznpodarou"/>
        </w:rPr>
        <w:footnoteReference w:id="14"/>
      </w:r>
      <w:r w:rsidRPr="00B7218F">
        <w:t xml:space="preserve"> a ani nejsou tak kvantitativně specifikována jako Maastrichtská kritéria.</w:t>
      </w:r>
      <w:r w:rsidRPr="00B7218F">
        <w:rPr>
          <w:rStyle w:val="Znakapoznpodarou"/>
        </w:rPr>
        <w:footnoteReference w:id="15"/>
      </w:r>
    </w:p>
    <w:p w:rsidR="00FD7B45" w:rsidRPr="00B7218F" w:rsidRDefault="00FD7B45" w:rsidP="00485FB7"/>
    <w:p w:rsidR="00FD7B45" w:rsidRPr="00B7218F" w:rsidRDefault="00FD7B45" w:rsidP="00485FB7">
      <w:r w:rsidRPr="00B7218F">
        <w:t xml:space="preserve">Reálná čili strukturální konvergence je pojem, který zahrnuje proces přibližování ekonomické úrovně kandidátské země k ekonomické úrovni ostatních členských zemí EMU. Přibližování kandidátské země se provádí na základe ukazatele HDP </w:t>
      </w:r>
      <w:proofErr w:type="spellStart"/>
      <w:proofErr w:type="gramStart"/>
      <w:r>
        <w:t>p.c</w:t>
      </w:r>
      <w:proofErr w:type="spellEnd"/>
      <w:r>
        <w:t>.</w:t>
      </w:r>
      <w:proofErr w:type="gramEnd"/>
      <w:r w:rsidRPr="00B7218F">
        <w:t xml:space="preserve"> Ukazatel HDP </w:t>
      </w:r>
      <w:proofErr w:type="spellStart"/>
      <w:r w:rsidRPr="00B7218F">
        <w:t>p.c</w:t>
      </w:r>
      <w:proofErr w:type="spellEnd"/>
      <w:r w:rsidRPr="00B7218F">
        <w:t xml:space="preserve">. je ukazatelem rozvinutosti země. Tato konvergence zahrnuje procesy, ve kterých ekonomika funguje a nahlíží se na ni jako na základ pro příznivě ekonomické prostředí a to i pro lepší budoucí alokaci finančních zdrojů. To vše, </w:t>
      </w:r>
      <w:proofErr w:type="gramStart"/>
      <w:r>
        <w:t>může</w:t>
      </w:r>
      <w:proofErr w:type="gramEnd"/>
      <w:r w:rsidRPr="00B7218F">
        <w:t xml:space="preserve"> fungovat na základě </w:t>
      </w:r>
      <w:proofErr w:type="gramStart"/>
      <w:r w:rsidRPr="00B7218F">
        <w:t>lepši</w:t>
      </w:r>
      <w:proofErr w:type="gramEnd"/>
      <w:r w:rsidRPr="00B7218F">
        <w:t xml:space="preserve"> institucionální struktury, kterou právě vytváří reáln</w:t>
      </w:r>
      <w:r>
        <w:t>á</w:t>
      </w:r>
      <w:r w:rsidRPr="00B7218F">
        <w:t xml:space="preserve"> konvergence. Jako příklad lze uvést </w:t>
      </w:r>
      <w:r w:rsidRPr="00B7218F">
        <w:lastRenderedPageBreak/>
        <w:t>vývoj právního systému</w:t>
      </w:r>
      <w:r>
        <w:t>,</w:t>
      </w:r>
      <w:r w:rsidRPr="00B7218F">
        <w:t xml:space="preserve"> vyšší efektivitu státní správy</w:t>
      </w:r>
      <w:r>
        <w:t>,</w:t>
      </w:r>
      <w:r w:rsidRPr="00B7218F">
        <w:t xml:space="preserve"> vyšší kvalitu soudnictví nebo odpovědnosti vlády</w:t>
      </w:r>
      <w:r w:rsidRPr="00B7218F">
        <w:rPr>
          <w:rStyle w:val="Znakapoznpodarou"/>
        </w:rPr>
        <w:footnoteReference w:id="16"/>
      </w:r>
    </w:p>
    <w:p w:rsidR="00FD7B45" w:rsidRPr="00B7218F" w:rsidRDefault="00FD7B45" w:rsidP="00485FB7"/>
    <w:p w:rsidR="00FD7B45" w:rsidRDefault="00FD7B45" w:rsidP="001B5F61">
      <w:r w:rsidRPr="00B7218F">
        <w:t>Důležitým rozhodovacím prvkem, který je spojen se zavedením jednotné měny</w:t>
      </w:r>
      <w:r>
        <w:t xml:space="preserve"> a </w:t>
      </w:r>
      <w:proofErr w:type="gramStart"/>
      <w:r>
        <w:t>tak          i rozšiřováním</w:t>
      </w:r>
      <w:proofErr w:type="gramEnd"/>
      <w:r>
        <w:t xml:space="preserve"> eurozóny,</w:t>
      </w:r>
      <w:r w:rsidRPr="00B7218F">
        <w:t xml:space="preserve"> je porovnání výše přínosů a nákladů, které dané zavedení společné měny zavádějící zem</w:t>
      </w:r>
      <w:r>
        <w:t>i</w:t>
      </w:r>
      <w:r w:rsidRPr="00B7218F">
        <w:t xml:space="preserve"> přinese. </w:t>
      </w:r>
    </w:p>
    <w:p w:rsidR="00FD7B45" w:rsidRDefault="00FD7B45" w:rsidP="001B5F61"/>
    <w:p w:rsidR="00FD7B45" w:rsidRPr="00B7218F" w:rsidRDefault="00FD7B45" w:rsidP="001B5F61"/>
    <w:p w:rsidR="00FD7B45" w:rsidRPr="00B7218F" w:rsidRDefault="00FD7B45" w:rsidP="00A9331E">
      <w:pPr>
        <w:pStyle w:val="Nadpis2"/>
        <w:spacing w:before="0"/>
      </w:pPr>
      <w:bookmarkStart w:id="26" w:name="_Toc282027356"/>
      <w:r w:rsidRPr="00B7218F">
        <w:t>1.</w:t>
      </w:r>
      <w:r>
        <w:t>6</w:t>
      </w:r>
      <w:r w:rsidRPr="00B7218F">
        <w:t xml:space="preserve"> Rozšiřování eurozóny – výhody a nevýhody</w:t>
      </w:r>
      <w:bookmarkEnd w:id="26"/>
      <w:r w:rsidRPr="00B7218F">
        <w:t xml:space="preserve"> </w:t>
      </w:r>
    </w:p>
    <w:p w:rsidR="00FD7B45" w:rsidRPr="00B7218F" w:rsidRDefault="00FD7B45" w:rsidP="00635203"/>
    <w:p w:rsidR="00FD7B45" w:rsidRPr="00B7218F" w:rsidRDefault="00FD7B45" w:rsidP="00635203"/>
    <w:p w:rsidR="00FD7B45" w:rsidRPr="00B7218F" w:rsidRDefault="00FD7B45" w:rsidP="00635203">
      <w:r w:rsidRPr="00B7218F">
        <w:t xml:space="preserve">Země Evropské unie mezi sebou vzájemně obchodují. Tento vzájemný </w:t>
      </w:r>
      <w:r>
        <w:t xml:space="preserve">obchod </w:t>
      </w:r>
      <w:r w:rsidRPr="00B7218F">
        <w:t xml:space="preserve">mezi jednotlivými zeměmi EU tvoří až 60% z celkového objemu obchodu v Unii. Vysoké procento ukazuje na skutečnost, že jednotný evropský trh má v obchodu velmi znatelný význam. </w:t>
      </w:r>
      <w:r>
        <w:t>T</w:t>
      </w:r>
      <w:r w:rsidRPr="00B7218F">
        <w:t>ento trh v sobě zahrnuje volný pohyb služeb, zboží, kapitálu</w:t>
      </w:r>
      <w:r>
        <w:t xml:space="preserve"> a také</w:t>
      </w:r>
      <w:r w:rsidRPr="00B7218F">
        <w:t xml:space="preserve"> lidí na trhu práce. </w:t>
      </w:r>
    </w:p>
    <w:p w:rsidR="00FD7B45" w:rsidRPr="00B7218F" w:rsidRDefault="00FD7B45" w:rsidP="00635203"/>
    <w:p w:rsidR="00FD7B45" w:rsidRPr="00B7218F" w:rsidRDefault="00FD7B45" w:rsidP="00635203">
      <w:pPr>
        <w:rPr>
          <w:rStyle w:val="Siln"/>
        </w:rPr>
      </w:pPr>
      <w:r w:rsidRPr="00B7218F">
        <w:t>Vyplývá otázka, zda vytvoření dobře fungující zóny volného obchodu nezbytně vyžaduje existenci měnové unie, tedy zda je měnová unie hospodářskou nutností.</w:t>
      </w:r>
      <w:r w:rsidRPr="00B7218F">
        <w:rPr>
          <w:rStyle w:val="Znakapoznpodarou"/>
        </w:rPr>
        <w:footnoteReference w:id="17"/>
      </w:r>
      <w:r w:rsidRPr="00B7218F">
        <w:rPr>
          <w:rStyle w:val="Siln"/>
        </w:rPr>
        <w:t> </w:t>
      </w:r>
    </w:p>
    <w:p w:rsidR="00FD7B45" w:rsidRPr="00B7218F" w:rsidRDefault="00FD7B45" w:rsidP="00635203"/>
    <w:p w:rsidR="00FD7B45" w:rsidRPr="00B7218F" w:rsidRDefault="00FD7B45" w:rsidP="00635203">
      <w:r w:rsidRPr="00B7218F">
        <w:t>Předpoklad obhájců měnové unie tví v tom, že zavedení společné měny je nutné ke zdokonalení jednotného volného trhu zboží a služeb</w:t>
      </w:r>
    </w:p>
    <w:p w:rsidR="00FD7B45" w:rsidRPr="00B7218F" w:rsidRDefault="00FD7B45" w:rsidP="00635203"/>
    <w:p w:rsidR="00FD7B45" w:rsidRPr="00B7218F" w:rsidRDefault="00FD7B45" w:rsidP="00413F7A">
      <w:pPr>
        <w:rPr>
          <w:rStyle w:val="Siln"/>
          <w:b w:val="0"/>
        </w:rPr>
      </w:pPr>
      <w:r w:rsidRPr="00B7218F">
        <w:t xml:space="preserve">Skeptici měnové unie tvrdí, že všechny výhody tohoto obchodu mohou dobře </w:t>
      </w:r>
      <w:proofErr w:type="gramStart"/>
      <w:r w:rsidRPr="00B7218F">
        <w:t xml:space="preserve">existovat </w:t>
      </w:r>
      <w:r>
        <w:t xml:space="preserve">      i bez</w:t>
      </w:r>
      <w:proofErr w:type="gramEnd"/>
      <w:r w:rsidRPr="00B7218F">
        <w:t xml:space="preserve"> společné měny a také dodávají, že přechod na euro by mohl vést k oslabení prosperity </w:t>
      </w:r>
      <w:r>
        <w:t>vlivem</w:t>
      </w:r>
      <w:r w:rsidRPr="00B7218F">
        <w:t xml:space="preserve"> růstu nezaměstnanosti a vyšší míry inflace, která je důsledkem cyklických výkyvů ekonomické aktivity v jednotlivých státech</w:t>
      </w:r>
      <w:r w:rsidRPr="00B7218F">
        <w:rPr>
          <w:rStyle w:val="Siln"/>
          <w:b w:val="0"/>
        </w:rPr>
        <w:t>.</w:t>
      </w:r>
      <w:r w:rsidRPr="00B7218F">
        <w:rPr>
          <w:rStyle w:val="Znakapoznpodarou"/>
          <w:bCs/>
        </w:rPr>
        <w:footnoteReference w:id="18"/>
      </w:r>
      <w:r w:rsidRPr="00B7218F">
        <w:rPr>
          <w:rStyle w:val="Siln"/>
          <w:b w:val="0"/>
        </w:rPr>
        <w:t xml:space="preserve"> Někteří jdou </w:t>
      </w:r>
      <w:r>
        <w:rPr>
          <w:rStyle w:val="Siln"/>
          <w:b w:val="0"/>
        </w:rPr>
        <w:t xml:space="preserve">s </w:t>
      </w:r>
      <w:r w:rsidRPr="00B7218F">
        <w:rPr>
          <w:rStyle w:val="Siln"/>
          <w:b w:val="0"/>
        </w:rPr>
        <w:t xml:space="preserve">myšlenkami tak daleko, že tvrdí, že cílem, proč dochází k zavedení společné měny je pouze přesunutí </w:t>
      </w:r>
      <w:proofErr w:type="gramStart"/>
      <w:r w:rsidRPr="00B7218F">
        <w:rPr>
          <w:rStyle w:val="Siln"/>
          <w:b w:val="0"/>
        </w:rPr>
        <w:t>pravomocí</w:t>
      </w:r>
      <w:r>
        <w:rPr>
          <w:rStyle w:val="Siln"/>
          <w:b w:val="0"/>
        </w:rPr>
        <w:t xml:space="preserve">         </w:t>
      </w:r>
      <w:r>
        <w:rPr>
          <w:rStyle w:val="Siln"/>
          <w:b w:val="0"/>
        </w:rPr>
        <w:lastRenderedPageBreak/>
        <w:t>a rozhodování</w:t>
      </w:r>
      <w:proofErr w:type="gramEnd"/>
      <w:r w:rsidRPr="00B7218F">
        <w:rPr>
          <w:rStyle w:val="Siln"/>
          <w:b w:val="0"/>
        </w:rPr>
        <w:t xml:space="preserve"> o fiskální politice od jednotlivých metropolí do Bruselu a tím dosáhnout politické unie</w:t>
      </w:r>
      <w:r w:rsidRPr="00B7218F">
        <w:rPr>
          <w:rStyle w:val="Znakapoznpodarou"/>
          <w:bCs/>
        </w:rPr>
        <w:footnoteReference w:id="19"/>
      </w:r>
      <w:r w:rsidRPr="00B7218F">
        <w:rPr>
          <w:rStyle w:val="Siln"/>
          <w:b w:val="0"/>
        </w:rPr>
        <w:t xml:space="preserve"> </w:t>
      </w:r>
      <w:r>
        <w:rPr>
          <w:rStyle w:val="Siln"/>
          <w:b w:val="0"/>
        </w:rPr>
        <w:t>neboli</w:t>
      </w:r>
      <w:r w:rsidRPr="00B7218F">
        <w:rPr>
          <w:rStyle w:val="Siln"/>
          <w:b w:val="0"/>
        </w:rPr>
        <w:t xml:space="preserve"> posledního stupně integrace.</w:t>
      </w:r>
    </w:p>
    <w:p w:rsidR="00FD7B45" w:rsidRDefault="00FD7B45" w:rsidP="00067320">
      <w:bookmarkStart w:id="27" w:name="_Toc197009048"/>
    </w:p>
    <w:p w:rsidR="00FD7B45" w:rsidRPr="00B7218F" w:rsidRDefault="00FD7B45" w:rsidP="00067320"/>
    <w:p w:rsidR="00FD7B45" w:rsidRPr="00B7218F" w:rsidRDefault="00FD7B45" w:rsidP="00C03D55">
      <w:pPr>
        <w:pStyle w:val="Nadpis3"/>
        <w:keepNext w:val="0"/>
        <w:keepLines w:val="0"/>
        <w:numPr>
          <w:ilvl w:val="2"/>
          <w:numId w:val="0"/>
        </w:numPr>
        <w:tabs>
          <w:tab w:val="num" w:pos="720"/>
        </w:tabs>
        <w:spacing w:before="0"/>
        <w:jc w:val="left"/>
        <w:rPr>
          <w:szCs w:val="24"/>
        </w:rPr>
      </w:pPr>
      <w:bookmarkStart w:id="28" w:name="_Toc282027357"/>
      <w:r w:rsidRPr="00B7218F">
        <w:rPr>
          <w:szCs w:val="24"/>
        </w:rPr>
        <w:t>1.</w:t>
      </w:r>
      <w:r>
        <w:rPr>
          <w:szCs w:val="24"/>
        </w:rPr>
        <w:t>6</w:t>
      </w:r>
      <w:r w:rsidRPr="00B7218F">
        <w:rPr>
          <w:szCs w:val="24"/>
        </w:rPr>
        <w:t xml:space="preserve">.1 </w:t>
      </w:r>
      <w:bookmarkEnd w:id="27"/>
      <w:r w:rsidRPr="00B7218F">
        <w:rPr>
          <w:szCs w:val="24"/>
        </w:rPr>
        <w:t>Přínosy zavedení společné měny</w:t>
      </w:r>
      <w:bookmarkEnd w:id="28"/>
    </w:p>
    <w:p w:rsidR="00FD7B45" w:rsidRDefault="00FD7B45" w:rsidP="00C81BF6"/>
    <w:p w:rsidR="00FD7B45" w:rsidRPr="00B7218F" w:rsidRDefault="00FD7B45" w:rsidP="00C81BF6">
      <w:r w:rsidRPr="00B7218F">
        <w:t>Během procesu zavádění společné měny se počítá s určitými náklady, které by měly</w:t>
      </w:r>
      <w:r>
        <w:t xml:space="preserve"> být</w:t>
      </w:r>
      <w:r w:rsidRPr="00B7218F">
        <w:t xml:space="preserve"> menší než očekávané přínosy. Jinak by byl celý proces zbytečný. Zastánci měnové uni</w:t>
      </w:r>
      <w:r>
        <w:t>e</w:t>
      </w:r>
      <w:r w:rsidRPr="00B7218F">
        <w:t xml:space="preserve"> nejčastěji argumentují výhodami, jako je např.: rostoucí ekonomická stabilita, zahraniční investice, integrace obchodu, transparentnost cen, snižování nákladů na směnu a snižování transakčních nákladů.</w:t>
      </w:r>
    </w:p>
    <w:p w:rsidR="00FD7B45" w:rsidRPr="00B7218F" w:rsidRDefault="00FD7B45" w:rsidP="00E63CFA">
      <w:pPr>
        <w:rPr>
          <w:b/>
        </w:rPr>
      </w:pPr>
    </w:p>
    <w:p w:rsidR="00FD7B45" w:rsidRPr="00B7218F" w:rsidRDefault="00FD7B45" w:rsidP="00E63CFA">
      <w:pPr>
        <w:rPr>
          <w:b/>
        </w:rPr>
      </w:pPr>
    </w:p>
    <w:p w:rsidR="00FD7B45" w:rsidRPr="00B7218F" w:rsidRDefault="00FD7B45" w:rsidP="00E63CFA">
      <w:pPr>
        <w:rPr>
          <w:b/>
        </w:rPr>
      </w:pPr>
      <w:r w:rsidRPr="00B7218F">
        <w:rPr>
          <w:b/>
        </w:rPr>
        <w:t>Ekonomická stabilita</w:t>
      </w:r>
      <w:r>
        <w:rPr>
          <w:b/>
        </w:rPr>
        <w:t xml:space="preserve"> </w:t>
      </w:r>
      <w:r w:rsidRPr="00B7218F">
        <w:rPr>
          <w:b/>
        </w:rPr>
        <w:t>– její růst a snižování inflace</w:t>
      </w:r>
    </w:p>
    <w:p w:rsidR="00FD7B45" w:rsidRPr="00B7218F" w:rsidRDefault="00FD7B45" w:rsidP="00E63CFA">
      <w:pPr>
        <w:rPr>
          <w:b/>
        </w:rPr>
      </w:pPr>
    </w:p>
    <w:p w:rsidR="00FD7B45" w:rsidRPr="00B7218F" w:rsidRDefault="00FD7B45" w:rsidP="00EF7F14">
      <w:r w:rsidRPr="00B7218F">
        <w:t>Obchodování v EMU má významnou výhodu v tom, že zde dochází k zániku kurzových rizik.  Zánikem těchto rizik se odstraňují kurzové problémy, které mohou narušit obchodní a investiční činnost. Vzájemná obchodní aktivita mezi zeměmi EMU se může více rozvíjet na základě zrušení měnových fluktuací, jelikož kurzové riziko mohlo mít za následek tzv. smazání zisku z jednotlivých obchodních transakcí mezi zahraničními subjekty</w:t>
      </w:r>
      <w:r>
        <w:t>. H</w:t>
      </w:r>
      <w:r w:rsidRPr="00B7218F">
        <w:t xml:space="preserve">lavním cílem bylo zajištění proti kurzovým výkyvům </w:t>
      </w:r>
      <w:r>
        <w:t xml:space="preserve">(= </w:t>
      </w:r>
      <w:r w:rsidRPr="00B7218F">
        <w:t>dodatečným nákladům</w:t>
      </w:r>
      <w:r>
        <w:t>)</w:t>
      </w:r>
      <w:r w:rsidRPr="00B7218F">
        <w:t xml:space="preserve"> a tím spojené omezení obchodu s ostatními zeměmi mimo EMU.</w:t>
      </w:r>
      <w:r w:rsidRPr="00B7218F">
        <w:rPr>
          <w:rStyle w:val="Znakapoznpodarou"/>
        </w:rPr>
        <w:footnoteReference w:id="20"/>
      </w:r>
      <w:r w:rsidRPr="00B7218F">
        <w:t xml:space="preserve"> </w:t>
      </w:r>
    </w:p>
    <w:p w:rsidR="00FD7B45" w:rsidRPr="00B7218F" w:rsidRDefault="00FD7B45" w:rsidP="00EF7F14"/>
    <w:p w:rsidR="00FD7B45" w:rsidRPr="00B7218F" w:rsidRDefault="00FD7B45" w:rsidP="001C2273">
      <w:r w:rsidRPr="00B7218F">
        <w:t>Ziskovost vývozů může být zničená díky těkavosti výkyvu ve směnném kurzu. To vede k podkopá</w:t>
      </w:r>
      <w:r>
        <w:t>vá</w:t>
      </w:r>
      <w:r w:rsidRPr="00B7218F">
        <w:t>ní důvěry v podnikatelské investice. Díky jednotné měně by mělo docházet k zlepšení obchodů a zvýšení ekonomického růstu</w:t>
      </w:r>
      <w:r w:rsidRPr="00B7218F">
        <w:rPr>
          <w:rStyle w:val="Znakapoznpodarou"/>
        </w:rPr>
        <w:footnoteReference w:id="21"/>
      </w:r>
      <w:r w:rsidRPr="00B7218F">
        <w:t xml:space="preserve">. </w:t>
      </w:r>
    </w:p>
    <w:p w:rsidR="00FD7B45" w:rsidRPr="00B7218F" w:rsidRDefault="00FD7B45" w:rsidP="001C2273"/>
    <w:p w:rsidR="00FD7B45" w:rsidRPr="00B7218F" w:rsidRDefault="00FD7B45" w:rsidP="004A048F">
      <w:r w:rsidRPr="00B7218F">
        <w:t xml:space="preserve">Další kladný vliv, který může být spojen se zavedením společné měny, je zlepšení výsledku v oblasti inflace. </w:t>
      </w:r>
      <w:proofErr w:type="spellStart"/>
      <w:r w:rsidRPr="00B7218F">
        <w:t>ECB</w:t>
      </w:r>
      <w:proofErr w:type="spellEnd"/>
      <w:r w:rsidRPr="00B7218F">
        <w:t xml:space="preserve"> se zavázala udržovat nízkou inflaci ve všech zemích </w:t>
      </w:r>
      <w:r w:rsidRPr="00B7218F">
        <w:lastRenderedPageBreak/>
        <w:t xml:space="preserve">eurozóny. Pro země kde je inflace historicky vyšší, to může znamenat přínos. Tento bod je sporný díky udržování nízké inflace v zemích mimo </w:t>
      </w:r>
      <w:proofErr w:type="spellStart"/>
      <w:r w:rsidRPr="00B7218F">
        <w:t>eurozónu</w:t>
      </w:r>
      <w:proofErr w:type="spellEnd"/>
      <w:r w:rsidRPr="00B7218F">
        <w:t>, jako je například Velká Británie</w:t>
      </w:r>
      <w:r w:rsidRPr="00B7218F">
        <w:rPr>
          <w:rStyle w:val="Znakapoznpodarou"/>
        </w:rPr>
        <w:footnoteReference w:id="22"/>
      </w:r>
      <w:r w:rsidRPr="00B7218F">
        <w:t xml:space="preserve">. </w:t>
      </w:r>
    </w:p>
    <w:p w:rsidR="00FD7B45" w:rsidRDefault="00FD7B45" w:rsidP="00A02873">
      <w:pPr>
        <w:rPr>
          <w:b/>
        </w:rPr>
      </w:pPr>
    </w:p>
    <w:p w:rsidR="00FD7B45" w:rsidRPr="00B7218F" w:rsidRDefault="00FD7B45" w:rsidP="00A02873">
      <w:pPr>
        <w:rPr>
          <w:b/>
        </w:rPr>
      </w:pPr>
    </w:p>
    <w:p w:rsidR="00FD7B45" w:rsidRPr="00B7218F" w:rsidRDefault="00FD7B45" w:rsidP="00A02873">
      <w:pPr>
        <w:rPr>
          <w:b/>
        </w:rPr>
      </w:pPr>
      <w:r w:rsidRPr="00B7218F">
        <w:rPr>
          <w:b/>
        </w:rPr>
        <w:t>Zahraniční investice</w:t>
      </w:r>
    </w:p>
    <w:p w:rsidR="00FD7B45" w:rsidRPr="00B7218F" w:rsidRDefault="00FD7B45" w:rsidP="00A02873">
      <w:pPr>
        <w:rPr>
          <w:b/>
        </w:rPr>
      </w:pPr>
    </w:p>
    <w:p w:rsidR="00FD7B45" w:rsidRPr="00B7218F" w:rsidRDefault="00FD7B45" w:rsidP="00A02873">
      <w:r w:rsidRPr="00B7218F">
        <w:t>Zahraniční investice jsou také důležitou součástí vývoje ekonomiky a zavedení eura by mohlo výrazně posílit důvěru investorů, kteří by pak nepožadoval</w:t>
      </w:r>
      <w:r>
        <w:t>i</w:t>
      </w:r>
      <w:r w:rsidRPr="00B7218F">
        <w:t xml:space="preserve"> ze svých investic tak velký výnos. To má za následek snížení úrokových sazeb. Jednou z možných příčin </w:t>
      </w:r>
      <w:proofErr w:type="gramStart"/>
      <w:r w:rsidRPr="00B7218F">
        <w:t xml:space="preserve">je </w:t>
      </w:r>
      <w:r>
        <w:t xml:space="preserve">        </w:t>
      </w:r>
      <w:r w:rsidRPr="00B7218F">
        <w:t>i využití</w:t>
      </w:r>
      <w:proofErr w:type="gramEnd"/>
      <w:r w:rsidRPr="00B7218F">
        <w:t xml:space="preserve"> nižších transakčních nákladů. Tyto nižší náklady jsou motivací pro zahraniční investory.</w:t>
      </w:r>
      <w:r w:rsidRPr="00B7218F">
        <w:rPr>
          <w:rStyle w:val="Znakapoznpodarou"/>
        </w:rPr>
        <w:footnoteReference w:id="23"/>
      </w:r>
    </w:p>
    <w:p w:rsidR="00FD7B45" w:rsidRPr="00B7218F" w:rsidRDefault="00FD7B45" w:rsidP="00A02873"/>
    <w:p w:rsidR="00FD7B45" w:rsidRPr="00B7218F" w:rsidRDefault="00FD7B45" w:rsidP="00A02873">
      <w:r w:rsidRPr="00B7218F">
        <w:t xml:space="preserve">To vše má za následek efektivnější jednotný trh a s tím spojené zvýšení </w:t>
      </w:r>
      <w:proofErr w:type="gramStart"/>
      <w:r w:rsidRPr="00B7218F">
        <w:t xml:space="preserve">domácích </w:t>
      </w:r>
      <w:r>
        <w:t xml:space="preserve">              </w:t>
      </w:r>
      <w:r w:rsidRPr="00B7218F">
        <w:t>i zahraničních</w:t>
      </w:r>
      <w:proofErr w:type="gramEnd"/>
      <w:r w:rsidRPr="00B7218F">
        <w:t xml:space="preserve"> investic, ochranu vůči vnějším šokům</w:t>
      </w:r>
      <w:r>
        <w:t>,</w:t>
      </w:r>
      <w:r w:rsidRPr="00B7218F">
        <w:t xml:space="preserve"> podporu hospodářského růstu </w:t>
      </w:r>
      <w:r>
        <w:t xml:space="preserve">           </w:t>
      </w:r>
      <w:r w:rsidRPr="00B7218F">
        <w:t xml:space="preserve">a zaměstnanosti. </w:t>
      </w:r>
      <w:r w:rsidRPr="00B7218F">
        <w:rPr>
          <w:rStyle w:val="Znakapoznpodarou"/>
        </w:rPr>
        <w:footnoteReference w:id="24"/>
      </w:r>
    </w:p>
    <w:p w:rsidR="00FD7B45" w:rsidRPr="00B7218F" w:rsidRDefault="00FD7B45" w:rsidP="00A02873"/>
    <w:p w:rsidR="00FD7B45" w:rsidRPr="00B7218F" w:rsidRDefault="00FD7B45" w:rsidP="00A02873"/>
    <w:p w:rsidR="00FD7B45" w:rsidRPr="00B7218F" w:rsidRDefault="00FD7B45" w:rsidP="00B03025">
      <w:pPr>
        <w:rPr>
          <w:b/>
        </w:rPr>
      </w:pPr>
      <w:r w:rsidRPr="00B7218F">
        <w:rPr>
          <w:b/>
        </w:rPr>
        <w:t>Integrace obchodu</w:t>
      </w:r>
    </w:p>
    <w:p w:rsidR="00FD7B45" w:rsidRPr="00B7218F" w:rsidRDefault="00FD7B45" w:rsidP="00B03025">
      <w:pPr>
        <w:rPr>
          <w:b/>
        </w:rPr>
      </w:pPr>
    </w:p>
    <w:p w:rsidR="00FD7B45" w:rsidRPr="00B7218F" w:rsidRDefault="00FD7B45" w:rsidP="00B03025">
      <w:r w:rsidRPr="00B7218F">
        <w:t>Integrace obchod</w:t>
      </w:r>
      <w:r>
        <w:t>u</w:t>
      </w:r>
      <w:r w:rsidRPr="00B7218F">
        <w:t xml:space="preserve"> je další výhodou připojení země k EMU. Tento fakt přináší zvýšení obchodů a zlepšení konkurenceschopnosti. Tyto dva faktory mají za následek růst celkového výkonu.</w:t>
      </w:r>
    </w:p>
    <w:p w:rsidR="00FD7B45" w:rsidRPr="00B7218F" w:rsidRDefault="00FD7B45" w:rsidP="00B03025"/>
    <w:p w:rsidR="00FD7B45" w:rsidRPr="00B7218F" w:rsidRDefault="00FD7B45" w:rsidP="00636C92">
      <w:r w:rsidRPr="00B7218F">
        <w:t xml:space="preserve">V zemích kde je používána jednotná měna, lze vytvořit vysoce likvidní a integrovaný kapitálový trh. Zjednodušení platebního styku také patří mezí významné výhody. Toto zjednodušení přináší jeho zrychlení. </w:t>
      </w:r>
      <w:r w:rsidRPr="00B7218F">
        <w:rPr>
          <w:vertAlign w:val="superscript"/>
        </w:rPr>
        <w:footnoteReference w:id="25"/>
      </w:r>
      <w:r w:rsidRPr="00B7218F">
        <w:t xml:space="preserve"> </w:t>
      </w:r>
    </w:p>
    <w:p w:rsidR="00FD7B45" w:rsidRPr="00B7218F" w:rsidRDefault="00FD7B45" w:rsidP="00636C92"/>
    <w:p w:rsidR="00FD7B45" w:rsidRPr="00B7218F" w:rsidRDefault="00FD7B45" w:rsidP="00636C92">
      <w:r w:rsidRPr="00B7218F">
        <w:lastRenderedPageBreak/>
        <w:t>Přínosem pro firmy, které obchodují v rámci eurozóny, se odhaduje přínos změny měny až do výše 1% HDP, což je poměrně výrazná změna. Tento odhad je znám i pod názvem „třecí náklady“ a je stanoven pro změnu nákladu spojenou se změnou měny</w:t>
      </w:r>
      <w:r w:rsidRPr="00B7218F">
        <w:rPr>
          <w:rStyle w:val="Znakapoznpodarou"/>
        </w:rPr>
        <w:footnoteReference w:id="26"/>
      </w:r>
      <w:r w:rsidRPr="00B7218F">
        <w:t xml:space="preserve">. </w:t>
      </w:r>
    </w:p>
    <w:p w:rsidR="00FD7B45" w:rsidRPr="00B7218F" w:rsidRDefault="00FD7B45" w:rsidP="00636C92">
      <w:pPr>
        <w:rPr>
          <w:b/>
        </w:rPr>
      </w:pPr>
    </w:p>
    <w:p w:rsidR="00FD7B45" w:rsidRPr="00B7218F" w:rsidRDefault="00FD7B45" w:rsidP="00636C92">
      <w:pPr>
        <w:rPr>
          <w:b/>
        </w:rPr>
      </w:pPr>
    </w:p>
    <w:p w:rsidR="00FD7B45" w:rsidRPr="00B7218F" w:rsidRDefault="00FD7B45" w:rsidP="00636C92">
      <w:pPr>
        <w:rPr>
          <w:b/>
        </w:rPr>
      </w:pPr>
      <w:r w:rsidRPr="00B7218F">
        <w:rPr>
          <w:b/>
        </w:rPr>
        <w:t>Transparentnost cen</w:t>
      </w:r>
    </w:p>
    <w:p w:rsidR="00FD7B45" w:rsidRPr="00B7218F" w:rsidRDefault="00FD7B45" w:rsidP="00636C92">
      <w:pPr>
        <w:rPr>
          <w:b/>
        </w:rPr>
      </w:pPr>
    </w:p>
    <w:p w:rsidR="00FD7B45" w:rsidRPr="00B7218F" w:rsidRDefault="00FD7B45" w:rsidP="00194EED">
      <w:r w:rsidRPr="00B7218F">
        <w:t xml:space="preserve">Pro obyvatelstvo a obchodníky je jedním </w:t>
      </w:r>
      <w:r>
        <w:t xml:space="preserve">z </w:t>
      </w:r>
      <w:r w:rsidRPr="00B7218F">
        <w:t>velkých přínosů právě transparentnost cen. Jedná se o snadné porovnání cen zboží a služeb v jiných zemích k cenám domácí země</w:t>
      </w:r>
      <w:r>
        <w:t xml:space="preserve">. Ceny </w:t>
      </w:r>
      <w:r w:rsidRPr="00B7218F">
        <w:t>není nutné přepočítávat</w:t>
      </w:r>
      <w:r>
        <w:t>,</w:t>
      </w:r>
      <w:r w:rsidRPr="00B7218F">
        <w:t xml:space="preserve"> a </w:t>
      </w:r>
      <w:r>
        <w:t xml:space="preserve">tak </w:t>
      </w:r>
      <w:r w:rsidRPr="00B7218F">
        <w:t xml:space="preserve">docházelo a dochází ke sbližování cen a jejich postupnému poklesu. Důsledkem </w:t>
      </w:r>
      <w:r>
        <w:t xml:space="preserve">toho </w:t>
      </w:r>
      <w:r w:rsidRPr="00B7218F">
        <w:t xml:space="preserve">je vytváření prostoru pro hospodářský </w:t>
      </w:r>
      <w:proofErr w:type="gramStart"/>
      <w:r w:rsidRPr="00B7218F">
        <w:t xml:space="preserve">růst </w:t>
      </w:r>
      <w:r>
        <w:t xml:space="preserve">               </w:t>
      </w:r>
      <w:r w:rsidRPr="00B7218F">
        <w:t>a prospěch</w:t>
      </w:r>
      <w:proofErr w:type="gramEnd"/>
      <w:r w:rsidRPr="00B7218F">
        <w:t xml:space="preserve"> pro země z eurozóny, které těží ze stability cen, </w:t>
      </w:r>
      <w:r>
        <w:t>jež</w:t>
      </w:r>
      <w:r w:rsidRPr="00B7218F">
        <w:t xml:space="preserve"> je hlavním cílem </w:t>
      </w:r>
      <w:proofErr w:type="spellStart"/>
      <w:r w:rsidRPr="00B7218F">
        <w:t>ECB</w:t>
      </w:r>
      <w:proofErr w:type="spellEnd"/>
      <w:r w:rsidRPr="00B7218F">
        <w:t xml:space="preserve">. </w:t>
      </w:r>
      <w:r w:rsidRPr="00B7218F">
        <w:rPr>
          <w:rStyle w:val="Znakapoznpodarou"/>
        </w:rPr>
        <w:footnoteReference w:id="27"/>
      </w:r>
      <w:r w:rsidRPr="00B7218F">
        <w:t xml:space="preserve"> </w:t>
      </w:r>
      <w:r w:rsidRPr="00B7218F">
        <w:rPr>
          <w:rStyle w:val="Znakapoznpodarou"/>
        </w:rPr>
        <w:footnoteReference w:id="28"/>
      </w:r>
    </w:p>
    <w:p w:rsidR="00FD7B45" w:rsidRPr="00B7218F" w:rsidRDefault="00FD7B45" w:rsidP="00304E51">
      <w:pPr>
        <w:rPr>
          <w:b/>
        </w:rPr>
      </w:pPr>
    </w:p>
    <w:p w:rsidR="00FD7B45" w:rsidRPr="00B7218F" w:rsidRDefault="00FD7B45" w:rsidP="00304E51">
      <w:pPr>
        <w:rPr>
          <w:b/>
        </w:rPr>
      </w:pPr>
    </w:p>
    <w:p w:rsidR="00FD7B45" w:rsidRPr="00B7218F" w:rsidRDefault="00FD7B45" w:rsidP="00304E51">
      <w:pPr>
        <w:rPr>
          <w:b/>
        </w:rPr>
      </w:pPr>
      <w:r w:rsidRPr="00B7218F">
        <w:rPr>
          <w:b/>
        </w:rPr>
        <w:t>Eliminace nákladů na konverzi měn a transakčních nákladů</w:t>
      </w:r>
    </w:p>
    <w:p w:rsidR="00FD7B45" w:rsidRPr="00B7218F" w:rsidRDefault="00FD7B45" w:rsidP="00304E51">
      <w:pPr>
        <w:rPr>
          <w:b/>
        </w:rPr>
      </w:pPr>
    </w:p>
    <w:p w:rsidR="00FD7B45" w:rsidRDefault="00FD7B45" w:rsidP="00F00731">
      <w:r w:rsidRPr="00B7218F">
        <w:t>Jak bylo uvedeno výše, díky přechodu na jednotnou měnu do</w:t>
      </w:r>
      <w:r>
        <w:t>chází</w:t>
      </w:r>
      <w:r w:rsidRPr="00B7218F">
        <w:t xml:space="preserve"> ke snížení transakčních nákladů spojených se směnou peněz. V EU byla před zavedením eura výše transakčních nákladů odhadována na 20 až 25 miliard euro (cca 0,5% HDP Evropské unie)</w:t>
      </w:r>
      <w:r w:rsidRPr="00B7218F">
        <w:rPr>
          <w:vertAlign w:val="superscript"/>
        </w:rPr>
        <w:footnoteReference w:id="29"/>
      </w:r>
      <w:r w:rsidRPr="00B7218F">
        <w:t>, přičemž většině byly vystaveny podniky.</w:t>
      </w:r>
    </w:p>
    <w:p w:rsidR="00FD7B45" w:rsidRPr="00B7218F" w:rsidRDefault="00FD7B45" w:rsidP="00F00731"/>
    <w:p w:rsidR="00FD7B45" w:rsidRPr="00B7218F" w:rsidRDefault="00FD7B45" w:rsidP="00F00731">
      <w:r w:rsidRPr="00B7218F">
        <w:t>Obyvatelstvo rozdíl pozná při cestování v rámci zemí EU, protože nemusí ve směnárnách či bankách směnovat peníze spojené s určitými poplatky. Co se tý</w:t>
      </w:r>
      <w:r>
        <w:t>ká</w:t>
      </w:r>
      <w:r w:rsidRPr="00B7218F">
        <w:t xml:space="preserve"> obchodník</w:t>
      </w:r>
      <w:r>
        <w:t>ů</w:t>
      </w:r>
      <w:r w:rsidRPr="00B7218F">
        <w:t>, tak ti mají úsporu v držbě peněz v jedné měně. Díky tomu mohou vynakládat investiční prostředky do různých oblastí jako je jej</w:t>
      </w:r>
      <w:r>
        <w:t>i</w:t>
      </w:r>
      <w:r w:rsidRPr="00B7218F">
        <w:t xml:space="preserve">ch růst a s tím spojené navyšování pracovních míst. </w:t>
      </w:r>
    </w:p>
    <w:p w:rsidR="00FD7B45" w:rsidRPr="00B7218F" w:rsidRDefault="00FD7B45" w:rsidP="00304E51">
      <w:pPr>
        <w:rPr>
          <w:i/>
          <w:highlight w:val="cyan"/>
        </w:rPr>
      </w:pPr>
    </w:p>
    <w:p w:rsidR="00FD7B45" w:rsidRPr="00B7218F" w:rsidRDefault="00FD7B45" w:rsidP="00304E51">
      <w:pPr>
        <w:rPr>
          <w:i/>
          <w:highlight w:val="cyan"/>
        </w:rPr>
      </w:pPr>
    </w:p>
    <w:p w:rsidR="00FD7B45" w:rsidRPr="00B7218F" w:rsidRDefault="00FD7B45" w:rsidP="00895F1F">
      <w:pPr>
        <w:rPr>
          <w:b/>
        </w:rPr>
      </w:pPr>
      <w:r w:rsidRPr="00B7218F">
        <w:rPr>
          <w:b/>
        </w:rPr>
        <w:lastRenderedPageBreak/>
        <w:t>Politický význam</w:t>
      </w:r>
    </w:p>
    <w:p w:rsidR="00FD7B45" w:rsidRPr="00B7218F" w:rsidRDefault="00FD7B45" w:rsidP="00895F1F">
      <w:pPr>
        <w:rPr>
          <w:b/>
        </w:rPr>
      </w:pPr>
    </w:p>
    <w:p w:rsidR="00FD7B45" w:rsidRPr="00B7218F" w:rsidRDefault="00FD7B45" w:rsidP="00EE6F5E">
      <w:r w:rsidRPr="00B7218F">
        <w:t xml:space="preserve">Důležitou roli hraje i politický význam, který má v měnové integraci rozsáhlý rozměr. Jedním z jeho úkolů je zajistit stálý růst vážnosti EU a růst její vyjednávací pozice vůči americkému dolaru a japonskému jenu pro sjednocení evropské identity. Je </w:t>
      </w:r>
      <w:proofErr w:type="gramStart"/>
      <w:r w:rsidRPr="00B7218F">
        <w:t>t</w:t>
      </w:r>
      <w:r>
        <w:t>aké</w:t>
      </w:r>
      <w:r w:rsidRPr="00B7218F">
        <w:t xml:space="preserve">  faktor</w:t>
      </w:r>
      <w:r>
        <w:t>em</w:t>
      </w:r>
      <w:proofErr w:type="gramEnd"/>
      <w:r w:rsidRPr="00B7218F">
        <w:t xml:space="preserve"> stability a prosperity, jemuž euro pomáhá v další</w:t>
      </w:r>
      <w:r>
        <w:t>m</w:t>
      </w:r>
      <w:r w:rsidRPr="00B7218F">
        <w:t xml:space="preserve"> vývoji ostatní integrace a to zejména při dovršování jednotného trhu či makroekonomické politice a  v její koordinaci.</w:t>
      </w:r>
      <w:r w:rsidRPr="00B7218F">
        <w:rPr>
          <w:vertAlign w:val="superscript"/>
        </w:rPr>
        <w:footnoteReference w:id="30"/>
      </w:r>
      <w:r w:rsidRPr="00B7218F">
        <w:rPr>
          <w:vertAlign w:val="superscript"/>
        </w:rPr>
        <w:t xml:space="preserve"> </w:t>
      </w:r>
    </w:p>
    <w:p w:rsidR="00FD7B45" w:rsidRPr="00B7218F" w:rsidRDefault="00FD7B45" w:rsidP="00067320">
      <w:pPr>
        <w:pStyle w:val="Nadpis3"/>
        <w:keepNext w:val="0"/>
        <w:keepLines w:val="0"/>
        <w:numPr>
          <w:ilvl w:val="2"/>
          <w:numId w:val="0"/>
        </w:numPr>
        <w:tabs>
          <w:tab w:val="num" w:pos="720"/>
        </w:tabs>
        <w:spacing w:before="0"/>
        <w:ind w:left="720" w:hanging="720"/>
        <w:jc w:val="left"/>
        <w:rPr>
          <w:szCs w:val="24"/>
        </w:rPr>
      </w:pPr>
    </w:p>
    <w:p w:rsidR="00FD7B45" w:rsidRPr="00B7218F" w:rsidRDefault="00FD7B45" w:rsidP="00067320"/>
    <w:p w:rsidR="00FD7B45" w:rsidRPr="00B7218F" w:rsidRDefault="00FD7B45" w:rsidP="00067320">
      <w:pPr>
        <w:pStyle w:val="Nadpis3"/>
        <w:keepNext w:val="0"/>
        <w:keepLines w:val="0"/>
        <w:numPr>
          <w:ilvl w:val="2"/>
          <w:numId w:val="0"/>
        </w:numPr>
        <w:tabs>
          <w:tab w:val="num" w:pos="720"/>
        </w:tabs>
        <w:spacing w:before="0"/>
        <w:ind w:left="720" w:hanging="720"/>
        <w:jc w:val="left"/>
        <w:rPr>
          <w:szCs w:val="24"/>
        </w:rPr>
      </w:pPr>
      <w:bookmarkStart w:id="29" w:name="_Toc282027358"/>
      <w:r w:rsidRPr="00B7218F">
        <w:rPr>
          <w:szCs w:val="24"/>
        </w:rPr>
        <w:t>1.</w:t>
      </w:r>
      <w:r>
        <w:rPr>
          <w:szCs w:val="24"/>
        </w:rPr>
        <w:t>6</w:t>
      </w:r>
      <w:r w:rsidRPr="00B7218F">
        <w:rPr>
          <w:szCs w:val="24"/>
        </w:rPr>
        <w:t>.2 Nevýhody zavedení společné měny</w:t>
      </w:r>
      <w:bookmarkEnd w:id="29"/>
    </w:p>
    <w:p w:rsidR="00FD7B45" w:rsidRPr="00B7218F" w:rsidRDefault="00FD7B45" w:rsidP="00A94E1E"/>
    <w:p w:rsidR="00FD7B45" w:rsidRDefault="00FD7B45" w:rsidP="00A94E1E">
      <w:r w:rsidRPr="00B7218F">
        <w:t>Každá změna sebou nese výhody</w:t>
      </w:r>
      <w:r>
        <w:t xml:space="preserve"> i</w:t>
      </w:r>
      <w:r w:rsidRPr="00B7218F">
        <w:t xml:space="preserve"> nevýhody. U přechodu na jednotnou měnu to</w:t>
      </w:r>
      <w:r>
        <w:t>mu</w:t>
      </w:r>
      <w:r w:rsidRPr="00B7218F">
        <w:t xml:space="preserve"> není jinak. Výhody byly zmíněné výše.  Mezi zásadní nevýhody patří ztráta autonomie hospodářské polit</w:t>
      </w:r>
      <w:r>
        <w:t>ik</w:t>
      </w:r>
      <w:r w:rsidRPr="00B7218F">
        <w:t>y, směnný kurz a adaptační náklady.</w:t>
      </w:r>
    </w:p>
    <w:p w:rsidR="00FD7B45" w:rsidRDefault="00FD7B45" w:rsidP="00A94E1E"/>
    <w:p w:rsidR="00FD7B45" w:rsidRPr="00B7218F" w:rsidRDefault="00FD7B45" w:rsidP="00A94E1E"/>
    <w:p w:rsidR="00FD7B45" w:rsidRPr="00B7218F" w:rsidRDefault="00FD7B45" w:rsidP="00A94E1E">
      <w:pPr>
        <w:rPr>
          <w:b/>
        </w:rPr>
      </w:pPr>
      <w:r w:rsidRPr="00B7218F">
        <w:rPr>
          <w:b/>
        </w:rPr>
        <w:t>Ztráta autonomie hospodářské polit</w:t>
      </w:r>
      <w:r>
        <w:rPr>
          <w:b/>
        </w:rPr>
        <w:t>ik</w:t>
      </w:r>
      <w:r w:rsidRPr="00B7218F">
        <w:rPr>
          <w:b/>
        </w:rPr>
        <w:t>y</w:t>
      </w:r>
    </w:p>
    <w:p w:rsidR="00FD7B45" w:rsidRPr="00B7218F" w:rsidRDefault="00FD7B45" w:rsidP="00A94E1E">
      <w:pPr>
        <w:rPr>
          <w:b/>
        </w:rPr>
      </w:pPr>
    </w:p>
    <w:p w:rsidR="00FD7B45" w:rsidRPr="00B7218F" w:rsidRDefault="00FD7B45" w:rsidP="00D12AC0">
      <w:r w:rsidRPr="00B7218F">
        <w:t xml:space="preserve">Vstup země do EMU má za následek to, že národní centrální banky již nemohou ovlivňovat měnovou politiku. Jednotná měnová politika v eurozóně je ovlivňována </w:t>
      </w:r>
      <w:proofErr w:type="spellStart"/>
      <w:r w:rsidRPr="00B7218F">
        <w:t>ECB</w:t>
      </w:r>
      <w:proofErr w:type="spellEnd"/>
      <w:r w:rsidRPr="00B7218F">
        <w:t>, která určuje společnou úrokovou sazbu pro všechny členy eurozóny</w:t>
      </w:r>
      <w:r w:rsidRPr="00B7218F">
        <w:rPr>
          <w:rStyle w:val="Znakapoznpodarou"/>
        </w:rPr>
        <w:footnoteReference w:id="31"/>
      </w:r>
      <w:r w:rsidRPr="00B7218F">
        <w:t xml:space="preserve">. Pro centrální banky členských států to znamená, že se musí řídit směrnicemi a instrukcemi </w:t>
      </w:r>
      <w:proofErr w:type="spellStart"/>
      <w:r w:rsidRPr="00B7218F">
        <w:t>ECB</w:t>
      </w:r>
      <w:proofErr w:type="spellEnd"/>
      <w:r w:rsidRPr="00B7218F">
        <w:t>. Tento proces nemusí vyhovovat vše</w:t>
      </w:r>
      <w:r>
        <w:t>m</w:t>
      </w:r>
      <w:r w:rsidRPr="00B7218F">
        <w:t xml:space="preserve"> členský</w:t>
      </w:r>
      <w:r>
        <w:t>m</w:t>
      </w:r>
      <w:r w:rsidRPr="00B7218F">
        <w:t xml:space="preserve"> zemím a to právě z odlišného vývoje ekonomiky. Pro některé země je výhodnější přísnější monetární polit</w:t>
      </w:r>
      <w:r>
        <w:t>ik</w:t>
      </w:r>
      <w:r w:rsidRPr="00B7218F">
        <w:t>a, pro jiné zas volnější. Ta ovšem nemusí všem zemím eurozóny vyhovovat, protože v důsledku rozdílného vývoje ekonomik potřebuje část zemí volnější a jiná část zemí naopak přísnější monetární politiku.</w:t>
      </w:r>
      <w:r w:rsidRPr="00B7218F">
        <w:rPr>
          <w:rStyle w:val="Znakapoznpodarou"/>
        </w:rPr>
        <w:footnoteReference w:id="32"/>
      </w:r>
    </w:p>
    <w:p w:rsidR="00FD7B45" w:rsidRPr="00B7218F" w:rsidRDefault="00FD7B45" w:rsidP="00D12AC0"/>
    <w:p w:rsidR="00FD7B45" w:rsidRPr="00B7218F" w:rsidRDefault="00FD7B45" w:rsidP="00D12AC0">
      <w:r w:rsidRPr="00B7218F">
        <w:lastRenderedPageBreak/>
        <w:t>Zásadním problémem jednotné měnové politiky je nesourodost zemí ve fázích hospodářského cyklu. Například</w:t>
      </w:r>
      <w:r>
        <w:t xml:space="preserve"> potýká-li se některá země v rámci eurozóny s vysokou mírou nezaměstnanosti, lze tomuto problému čelit pouze ze strany </w:t>
      </w:r>
      <w:proofErr w:type="spellStart"/>
      <w:r>
        <w:t>ECB</w:t>
      </w:r>
      <w:proofErr w:type="spellEnd"/>
      <w:r>
        <w:t xml:space="preserve"> uvolněním monetární politiky. </w:t>
      </w:r>
      <w:r w:rsidRPr="00B7218F">
        <w:rPr>
          <w:rStyle w:val="Znakapoznpodarou"/>
        </w:rPr>
        <w:footnoteReference w:id="33"/>
      </w:r>
      <w:r>
        <w:t xml:space="preserve"> </w:t>
      </w:r>
      <w:r w:rsidRPr="00B7218F">
        <w:t xml:space="preserve">Tento problém může zasáhnout i inflaci. Např. </w:t>
      </w:r>
      <w:r>
        <w:t>v</w:t>
      </w:r>
      <w:r w:rsidRPr="00B7218F">
        <w:t> roce 2005 v </w:t>
      </w:r>
      <w:proofErr w:type="gramStart"/>
      <w:r w:rsidRPr="00B7218F">
        <w:t xml:space="preserve">Irsku </w:t>
      </w:r>
      <w:r>
        <w:t xml:space="preserve">   </w:t>
      </w:r>
      <w:r w:rsidRPr="00B7218F">
        <w:t>a Španělsku</w:t>
      </w:r>
      <w:proofErr w:type="gramEnd"/>
      <w:r w:rsidRPr="00B7218F">
        <w:t xml:space="preserve"> poměrně rychle rostly úrokové sazby. Díky nízké úrokové sazbě </w:t>
      </w:r>
      <w:r>
        <w:t xml:space="preserve">v </w:t>
      </w:r>
      <w:r w:rsidRPr="00B7218F">
        <w:t>Irsku mohlo dojít k inflaci. Naopak v roce 2009 tyto země prožíval</w:t>
      </w:r>
      <w:r>
        <w:t>y</w:t>
      </w:r>
      <w:r w:rsidRPr="00B7218F">
        <w:t xml:space="preserve"> hlubší reces</w:t>
      </w:r>
      <w:r>
        <w:t>i</w:t>
      </w:r>
      <w:r w:rsidRPr="00B7218F">
        <w:t xml:space="preserve"> než jiné země, jelikož potřebovaly nízké úrokové sazby</w:t>
      </w:r>
      <w:r w:rsidRPr="00B7218F">
        <w:rPr>
          <w:rStyle w:val="Znakapoznpodarou"/>
        </w:rPr>
        <w:footnoteReference w:id="34"/>
      </w:r>
      <w:r w:rsidRPr="00B7218F">
        <w:t xml:space="preserve"> </w:t>
      </w:r>
    </w:p>
    <w:p w:rsidR="00FD7B45" w:rsidRPr="00B7218F" w:rsidRDefault="00FD7B45" w:rsidP="00D12AC0">
      <w:pPr>
        <w:spacing w:line="251" w:lineRule="atLeast"/>
        <w:jc w:val="left"/>
        <w:rPr>
          <w:rFonts w:ascii="Helvetica" w:hAnsi="Helvetica"/>
          <w:color w:val="004777"/>
          <w:bdr w:val="none" w:sz="0" w:space="0" w:color="auto" w:frame="1"/>
          <w:lang w:eastAsia="cs-CZ"/>
        </w:rPr>
      </w:pPr>
    </w:p>
    <w:p w:rsidR="00FD7B45" w:rsidRPr="00B7218F" w:rsidRDefault="00FD7B45" w:rsidP="00D12AC0">
      <w:pPr>
        <w:spacing w:line="251" w:lineRule="atLeast"/>
        <w:jc w:val="left"/>
        <w:rPr>
          <w:rFonts w:ascii="Helvetica" w:hAnsi="Helvetica"/>
          <w:color w:val="004777"/>
          <w:bdr w:val="none" w:sz="0" w:space="0" w:color="auto" w:frame="1"/>
          <w:lang w:eastAsia="cs-CZ"/>
        </w:rPr>
      </w:pPr>
    </w:p>
    <w:p w:rsidR="00FD7B45" w:rsidRPr="00B7218F" w:rsidRDefault="00FD7B45" w:rsidP="0015337E">
      <w:r w:rsidRPr="00B7218F">
        <w:t xml:space="preserve">Nesmírnou výhodou by bylo, aby přistupující země vykazovaly podobnou hodnotu makroekonomických ukazatelů (úrokových měr, míru inflace, deficitu platební </w:t>
      </w:r>
      <w:proofErr w:type="gramStart"/>
      <w:r w:rsidRPr="00B7218F">
        <w:t xml:space="preserve">bilance </w:t>
      </w:r>
      <w:r>
        <w:t xml:space="preserve">     a veřejného</w:t>
      </w:r>
      <w:proofErr w:type="gramEnd"/>
      <w:r w:rsidRPr="00B7218F">
        <w:t xml:space="preserve"> zadlužení). To vše by zaručilo, že centrálně přijímaná rozhodnutí by měla pozitivní vliv na hospodářský vývoj na celém území měnové oblasti.</w:t>
      </w:r>
      <w:r w:rsidRPr="00B7218F">
        <w:rPr>
          <w:rStyle w:val="Znakapoznpodarou"/>
        </w:rPr>
        <w:footnoteReference w:id="35"/>
      </w:r>
      <w:r w:rsidRPr="00B7218F">
        <w:t xml:space="preserve"> </w:t>
      </w:r>
    </w:p>
    <w:p w:rsidR="00FD7B45" w:rsidRPr="00B7218F" w:rsidRDefault="00FD7B45" w:rsidP="0015337E">
      <w:pPr>
        <w:rPr>
          <w:rFonts w:ascii="Helvetica" w:hAnsi="Helvetica"/>
          <w:color w:val="004777"/>
          <w:lang w:eastAsia="cs-CZ"/>
        </w:rPr>
      </w:pPr>
    </w:p>
    <w:p w:rsidR="00FD7B45" w:rsidRPr="00B7218F" w:rsidRDefault="00FD7B45" w:rsidP="00D12AC0">
      <w:r w:rsidRPr="00B7218F">
        <w:t xml:space="preserve">Vykompenzování ztráty autonomie v oblasti monetární politiky a přizpůsobování </w:t>
      </w:r>
      <w:proofErr w:type="gramStart"/>
      <w:r w:rsidRPr="00B7218F">
        <w:t xml:space="preserve">cen </w:t>
      </w:r>
      <w:r>
        <w:t xml:space="preserve">       a mzdové</w:t>
      </w:r>
      <w:proofErr w:type="gramEnd"/>
      <w:r w:rsidRPr="00B7218F">
        <w:t xml:space="preserve"> hladiny vůči zahraničním subjektům spojených s pohybem kurzu</w:t>
      </w:r>
      <w:r>
        <w:t>,</w:t>
      </w:r>
      <w:r w:rsidRPr="00B7218F">
        <w:t xml:space="preserve"> může být zapříčiněno dostatečně pružným cenovým systémem a trhem práce. V současnosti je realita taková, že ve většině zemí jsou rigidní a přeregulované systémy a to pak obzvláště na trhu práce.</w:t>
      </w:r>
      <w:r w:rsidRPr="00B7218F">
        <w:rPr>
          <w:rStyle w:val="Znakapoznpodarou"/>
        </w:rPr>
        <w:footnoteReference w:id="36"/>
      </w:r>
    </w:p>
    <w:p w:rsidR="00FD7B45" w:rsidRDefault="00FD7B45" w:rsidP="005615AB">
      <w:pPr>
        <w:rPr>
          <w:b/>
        </w:rPr>
      </w:pPr>
    </w:p>
    <w:p w:rsidR="00FD7B45" w:rsidRDefault="00FD7B45" w:rsidP="005615AB">
      <w:pPr>
        <w:rPr>
          <w:b/>
        </w:rPr>
      </w:pPr>
    </w:p>
    <w:p w:rsidR="00FD7B45" w:rsidRPr="00B7218F" w:rsidRDefault="00FD7B45" w:rsidP="005615AB">
      <w:pPr>
        <w:rPr>
          <w:b/>
        </w:rPr>
      </w:pPr>
      <w:r w:rsidRPr="00B7218F">
        <w:rPr>
          <w:b/>
        </w:rPr>
        <w:t>Směnný kurz</w:t>
      </w:r>
    </w:p>
    <w:p w:rsidR="00FD7B45" w:rsidRPr="00B7218F" w:rsidRDefault="00FD7B45" w:rsidP="005615AB">
      <w:pPr>
        <w:rPr>
          <w:b/>
        </w:rPr>
      </w:pPr>
    </w:p>
    <w:p w:rsidR="00FD7B45" w:rsidRPr="00B7218F" w:rsidRDefault="00FD7B45" w:rsidP="006F2BFF">
      <w:r w:rsidRPr="00B7218F">
        <w:t>Členské země při vstupu do EMU přicházejí o volnost rozhodování v oblasti kurzových opatření. Zavedení společné měny má za následek ztrátu možnosti regulace reálného směnného kurzu prostřednictvím změn v nominálním směnném kurzu vlastní nezávislé měny.</w:t>
      </w:r>
      <w:r w:rsidRPr="00B7218F">
        <w:rPr>
          <w:rStyle w:val="Znakapoznpodarou"/>
        </w:rPr>
        <w:footnoteReference w:id="37"/>
      </w:r>
      <w:r w:rsidRPr="00B7218F">
        <w:t xml:space="preserve"> </w:t>
      </w:r>
    </w:p>
    <w:p w:rsidR="00FD7B45" w:rsidRPr="00B7218F" w:rsidRDefault="00FD7B45" w:rsidP="002B0BD4">
      <w:r w:rsidRPr="00B7218F">
        <w:lastRenderedPageBreak/>
        <w:t xml:space="preserve">Determinace sdílené měny není závislá pouze na zájmu zahraničních </w:t>
      </w:r>
      <w:proofErr w:type="gramStart"/>
      <w:r w:rsidRPr="00B7218F">
        <w:t>investorů</w:t>
      </w:r>
      <w:r>
        <w:t xml:space="preserve">                   </w:t>
      </w:r>
      <w:r w:rsidRPr="00B7218F">
        <w:t xml:space="preserve"> o hospodaření</w:t>
      </w:r>
      <w:proofErr w:type="gramEnd"/>
      <w:r w:rsidRPr="00B7218F">
        <w:t xml:space="preserve"> dané země</w:t>
      </w:r>
      <w:r>
        <w:t>,</w:t>
      </w:r>
      <w:r w:rsidRPr="00B7218F">
        <w:t xml:space="preserve"> zájmem domácích občanů nebo o schopnostech domácích exportérů jako u plovoucí domácí měny, ale je</w:t>
      </w:r>
      <w:r>
        <w:t xml:space="preserve"> také</w:t>
      </w:r>
      <w:r w:rsidRPr="00B7218F">
        <w:t xml:space="preserve"> závislá na faktorech, které mají vliv na čistý vývoz a investice v ostatních zemích eurozóny.</w:t>
      </w:r>
      <w:r w:rsidRPr="00B7218F">
        <w:rPr>
          <w:rStyle w:val="Znakapoznpodarou"/>
        </w:rPr>
        <w:footnoteReference w:id="38"/>
      </w:r>
      <w:r w:rsidRPr="00B7218F">
        <w:t xml:space="preserve">  </w:t>
      </w:r>
    </w:p>
    <w:p w:rsidR="00FD7B45" w:rsidRPr="00B7218F" w:rsidRDefault="00FD7B45" w:rsidP="002B0BD4"/>
    <w:p w:rsidR="00FD7B45" w:rsidRPr="00B7218F" w:rsidRDefault="00FD7B45" w:rsidP="00121C2E">
      <w:r w:rsidRPr="00B7218F">
        <w:t>Depreciace měny můž</w:t>
      </w:r>
      <w:r>
        <w:t>e být způsobena poklesem</w:t>
      </w:r>
      <w:r w:rsidRPr="00B7218F">
        <w:t xml:space="preserve"> zájmu o dovoz, kdy členská země s plovoucí měnou je v recesi. Díky tomu by došlo ke stimulaci exportu</w:t>
      </w:r>
      <w:r>
        <w:t>,</w:t>
      </w:r>
      <w:r w:rsidRPr="00B7218F">
        <w:t xml:space="preserve"> došlo by k léčivému znehodnocení měny</w:t>
      </w:r>
      <w:r>
        <w:t>,</w:t>
      </w:r>
      <w:r w:rsidRPr="00B7218F">
        <w:t xml:space="preserve"> což by mělo za následek pomoci zemi z recese. Avšak </w:t>
      </w:r>
      <w:r>
        <w:t>pokud by země byla součásti EMU,</w:t>
      </w:r>
      <w:r w:rsidRPr="00B7218F">
        <w:t xml:space="preserve"> </w:t>
      </w:r>
      <w:r>
        <w:t xml:space="preserve">čímž </w:t>
      </w:r>
      <w:r w:rsidRPr="00B7218F">
        <w:t>by se vzdala své národní měny v</w:t>
      </w:r>
      <w:r>
        <w:t>e</w:t>
      </w:r>
      <w:r w:rsidRPr="00B7218F">
        <w:t xml:space="preserve"> prospěch eura</w:t>
      </w:r>
      <w:r>
        <w:t>,</w:t>
      </w:r>
      <w:r w:rsidRPr="00B7218F">
        <w:t xml:space="preserve"> tak by k léčivému znehodnocení v případě poklesu zájmu o dovoz nedošlo. Jiná situace by nastala v případě, kdyby recesí byla postižena celá oblast EMU</w:t>
      </w:r>
      <w:r>
        <w:t xml:space="preserve"> </w:t>
      </w:r>
      <w:r w:rsidRPr="00B7218F">
        <w:t>např. v důsledku vnějších šoků, tak by</w:t>
      </w:r>
      <w:r>
        <w:t xml:space="preserve"> došlo</w:t>
      </w:r>
      <w:r w:rsidRPr="00B7218F">
        <w:t xml:space="preserve"> k léčivé depreciaci. </w:t>
      </w:r>
      <w:r w:rsidRPr="00B7218F">
        <w:rPr>
          <w:rStyle w:val="Znakapoznpodarou"/>
        </w:rPr>
        <w:footnoteReference w:id="39"/>
      </w:r>
    </w:p>
    <w:p w:rsidR="00FD7B45" w:rsidRPr="00B7218F" w:rsidRDefault="00FD7B45" w:rsidP="00121C2E"/>
    <w:p w:rsidR="00FD7B45" w:rsidRPr="00B7218F" w:rsidRDefault="00FD7B45" w:rsidP="002C62C5">
      <w:r w:rsidRPr="00B7218F">
        <w:t>Vstupem do EMU nebude moci členská země provádět změny nominálního kurzu, které by měly potřebný vliv na reálné směnné kurzy. Změna reálného kurzu by šla vyvolat pouze snížením domácí úrovně cen, což bude mít za následek zvýšení nezaměstnanosti. Vhodnější varianta by byl pokles nominálního směnného kurzu.</w:t>
      </w:r>
    </w:p>
    <w:p w:rsidR="00FD7B45" w:rsidRDefault="00FD7B45" w:rsidP="002C62C5"/>
    <w:p w:rsidR="00FD7B45" w:rsidRPr="00B7218F" w:rsidRDefault="00FD7B45" w:rsidP="002C62C5">
      <w:r w:rsidRPr="00B7218F">
        <w:t>Následkem zavedení společné měny je regulace nominálního směnného kurzu a posílení změny reálného směnného kurzu a to možná snižováním mezd a cen.</w:t>
      </w:r>
    </w:p>
    <w:p w:rsidR="00FD7B45" w:rsidRPr="00B7218F" w:rsidRDefault="00FD7B45" w:rsidP="002C62C5"/>
    <w:p w:rsidR="00FD7B45" w:rsidRPr="00B7218F" w:rsidRDefault="00FD7B45" w:rsidP="002C62C5"/>
    <w:p w:rsidR="00FD7B45" w:rsidRPr="00B7218F" w:rsidRDefault="00FD7B45" w:rsidP="006F2BFF">
      <w:pPr>
        <w:rPr>
          <w:b/>
        </w:rPr>
      </w:pPr>
      <w:r w:rsidRPr="00B7218F">
        <w:rPr>
          <w:b/>
        </w:rPr>
        <w:t>Adaptační náklady</w:t>
      </w:r>
    </w:p>
    <w:p w:rsidR="00FD7B45" w:rsidRPr="00B7218F" w:rsidRDefault="00FD7B45" w:rsidP="006F2BFF">
      <w:pPr>
        <w:rPr>
          <w:b/>
        </w:rPr>
      </w:pPr>
    </w:p>
    <w:p w:rsidR="00FD7B45" w:rsidRPr="00B7218F" w:rsidRDefault="00FD7B45" w:rsidP="006F2BFF">
      <w:r w:rsidRPr="00B7218F">
        <w:t xml:space="preserve">Adaptační náklady jsou krátkodobou investicí spojenou s přechodem na společnou měnu. Jedná </w:t>
      </w:r>
      <w:r>
        <w:t xml:space="preserve">se </w:t>
      </w:r>
      <w:r w:rsidRPr="00B7218F">
        <w:t xml:space="preserve">o náklady </w:t>
      </w:r>
      <w:r>
        <w:t xml:space="preserve">spojené </w:t>
      </w:r>
      <w:r w:rsidRPr="00B7218F">
        <w:t>zejména s přizpůsobením různých systém</w:t>
      </w:r>
      <w:r>
        <w:t>ů</w:t>
      </w:r>
      <w:r w:rsidRPr="00B7218F">
        <w:t xml:space="preserve"> (informačních, statistických, účetních) a také s úpravou legislativy.</w:t>
      </w:r>
      <w:r w:rsidRPr="00B7218F">
        <w:rPr>
          <w:rStyle w:val="Znakapoznpodarou"/>
        </w:rPr>
        <w:footnoteReference w:id="40"/>
      </w:r>
    </w:p>
    <w:p w:rsidR="00FD7B45" w:rsidRDefault="00FD7B45" w:rsidP="006F2BFF"/>
    <w:p w:rsidR="00FD7B45" w:rsidRDefault="00FD7B45" w:rsidP="00151060">
      <w:r>
        <w:lastRenderedPageBreak/>
        <w:t xml:space="preserve">V této kapitole byly popsány jednotlivé kroky pro zavedení eura. V krátkosti byl popsán vývoj eurozóny a její rozšiřování. Nejdůležitější součástí této kapitoly bylo charakterizování přístupových kritérií, která je nutno splnit. Se zavedením jednotné měny jsou spojené jisté výhody či nevýhody, které je nutné posoudit. </w:t>
      </w:r>
    </w:p>
    <w:p w:rsidR="00FD7B45" w:rsidRDefault="00FD7B45" w:rsidP="00151060"/>
    <w:p w:rsidR="00FD7B45" w:rsidRDefault="00FD7B45" w:rsidP="009A10A9">
      <w:r>
        <w:t xml:space="preserve">V této první kapitole z teoretické části této práce byl nejprve popsán vývoj a rozšiřování eurozóny. Na který navazovaly scénáře pro zavedení eura. Jak bylo uvedeno, tak kandidátská země si může vybrat ze tří různých scénářů a to z Madridského scénáře, který byl použit při první vlně rozšiřování eurozóny. Druhou variantou je Scénář </w:t>
      </w:r>
      <w:proofErr w:type="spellStart"/>
      <w:r>
        <w:t>Big</w:t>
      </w:r>
      <w:proofErr w:type="spellEnd"/>
      <w:r>
        <w:t xml:space="preserve"> </w:t>
      </w:r>
      <w:proofErr w:type="spellStart"/>
      <w:r>
        <w:t>Bang</w:t>
      </w:r>
      <w:proofErr w:type="spellEnd"/>
      <w:r>
        <w:t xml:space="preserve">, který se nejvíce používal v dalším rozšiřování eurozóny. Tento scénář je vhodný zejména pro menší země. Poslední variantou je Scénář </w:t>
      </w:r>
      <w:proofErr w:type="spellStart"/>
      <w:r>
        <w:t>Phasing</w:t>
      </w:r>
      <w:proofErr w:type="spellEnd"/>
      <w:r>
        <w:t xml:space="preserve"> </w:t>
      </w:r>
      <w:proofErr w:type="spellStart"/>
      <w:r>
        <w:t>Out</w:t>
      </w:r>
      <w:proofErr w:type="spellEnd"/>
      <w:r>
        <w:t xml:space="preserve">, který je kombinací předchozích scénářů. </w:t>
      </w:r>
    </w:p>
    <w:p w:rsidR="00FD7B45" w:rsidRDefault="00FD7B45" w:rsidP="009A10A9"/>
    <w:p w:rsidR="00FD7B45" w:rsidRDefault="00FD7B45" w:rsidP="009A10A9">
      <w:r>
        <w:t xml:space="preserve">Po charakterizování jednotlivých scénářů byla popsána konvergenční kritéria, která byla rozdělena na měnová a fiskální. V rámci měnových kritérií byla charakterizována cenová stabilita dále pak kritérium dlouhodobých úrokových sazeb a kritérium směnného kurzu. V rámci fiskálních kritérií byl charakterizován deficit veřejných financí a veřejné zadlužení. </w:t>
      </w:r>
    </w:p>
    <w:p w:rsidR="00FD7B45" w:rsidRDefault="00FD7B45" w:rsidP="009A10A9"/>
    <w:p w:rsidR="00FD7B45" w:rsidRDefault="00FD7B45" w:rsidP="009A10A9">
      <w:pPr>
        <w:rPr>
          <w:b/>
        </w:rPr>
      </w:pPr>
      <w:r>
        <w:t xml:space="preserve">Po charakterizování konvergenčních kritérií, byla popsána kritéria legislativní. Pro sbližování ekonomické úrovně kandidátských zemí v EMU slouží tzv. Reálná konvergence. Přibližování kandidátské země se provádí na základě ukazatele HDP </w:t>
      </w:r>
      <w:proofErr w:type="spellStart"/>
      <w:proofErr w:type="gramStart"/>
      <w:r>
        <w:t>p.c</w:t>
      </w:r>
      <w:proofErr w:type="spellEnd"/>
      <w:r>
        <w:t>.</w:t>
      </w:r>
      <w:proofErr w:type="gramEnd"/>
      <w:r>
        <w:t xml:space="preserve">. Ukazatel HDP </w:t>
      </w:r>
      <w:proofErr w:type="spellStart"/>
      <w:r>
        <w:t>p.c</w:t>
      </w:r>
      <w:proofErr w:type="spellEnd"/>
      <w:r>
        <w:t xml:space="preserve">. je ukazatelem rozvinutosti země. V závěru této kapitoly byly popsány různé přínosy a náklady. Je důležité, aby přínosy předčily náklady, které jsou spojeny se zavedením jednotné měny. Mezi významné přínosy patří </w:t>
      </w:r>
      <w:r w:rsidRPr="009A10A9">
        <w:t>e</w:t>
      </w:r>
      <w:r w:rsidRPr="00E63CFA">
        <w:t>konomická stabilita</w:t>
      </w:r>
      <w:r>
        <w:t xml:space="preserve"> (její </w:t>
      </w:r>
      <w:proofErr w:type="gramStart"/>
      <w:r>
        <w:t>růst       a snižování</w:t>
      </w:r>
      <w:proofErr w:type="gramEnd"/>
      <w:r>
        <w:t xml:space="preserve"> inflace), z</w:t>
      </w:r>
      <w:r w:rsidRPr="009A10A9">
        <w:t xml:space="preserve">ahraniční investice, </w:t>
      </w:r>
      <w:r>
        <w:t>i</w:t>
      </w:r>
      <w:r w:rsidRPr="009A10A9">
        <w:t>ntegrace obchodu</w:t>
      </w:r>
      <w:r>
        <w:t>,</w:t>
      </w:r>
      <w:r w:rsidRPr="009A10A9">
        <w:rPr>
          <w:b/>
        </w:rPr>
        <w:t xml:space="preserve"> </w:t>
      </w:r>
      <w:r>
        <w:t>e</w:t>
      </w:r>
      <w:r w:rsidRPr="009A10A9">
        <w:t xml:space="preserve">liminace nákladů na konverzi měn a transakčních nákladů, </w:t>
      </w:r>
      <w:r>
        <w:t>p</w:t>
      </w:r>
      <w:r w:rsidRPr="009A10A9">
        <w:t>olitický význam</w:t>
      </w:r>
      <w:r>
        <w:rPr>
          <w:b/>
        </w:rPr>
        <w:t xml:space="preserve"> </w:t>
      </w:r>
      <w:r w:rsidRPr="009A10A9">
        <w:t xml:space="preserve">a </w:t>
      </w:r>
      <w:r>
        <w:t>t</w:t>
      </w:r>
      <w:r w:rsidRPr="009A10A9">
        <w:t>ransparentnost cen</w:t>
      </w:r>
      <w:r>
        <w:t xml:space="preserve">. Zatímco mezi náklady patří </w:t>
      </w:r>
      <w:r w:rsidRPr="009A10A9">
        <w:t>ztráta autonomie hospodářské polit</w:t>
      </w:r>
      <w:r>
        <w:t>ik</w:t>
      </w:r>
      <w:r w:rsidRPr="009A10A9">
        <w:t>y, směnný kurz a a</w:t>
      </w:r>
      <w:r>
        <w:t xml:space="preserve">daptační náklady. </w:t>
      </w:r>
    </w:p>
    <w:p w:rsidR="00FD7B45" w:rsidRDefault="00FD7B45" w:rsidP="009A10A9">
      <w:pPr>
        <w:rPr>
          <w:b/>
        </w:rPr>
      </w:pPr>
    </w:p>
    <w:p w:rsidR="00FD7B45" w:rsidRDefault="00FD7B45" w:rsidP="009A10A9">
      <w:pPr>
        <w:rPr>
          <w:b/>
        </w:rPr>
      </w:pPr>
    </w:p>
    <w:p w:rsidR="00FD7B45" w:rsidRDefault="00FD7B45" w:rsidP="009A10A9">
      <w:pPr>
        <w:rPr>
          <w:b/>
        </w:rPr>
      </w:pPr>
    </w:p>
    <w:p w:rsidR="00FD7B45" w:rsidRPr="00B7218F" w:rsidRDefault="00FD7B45" w:rsidP="00C03D55">
      <w:pPr>
        <w:pStyle w:val="Nadpis1"/>
        <w:spacing w:before="0"/>
        <w:rPr>
          <w:caps/>
        </w:rPr>
      </w:pPr>
      <w:bookmarkStart w:id="30" w:name="_Toc282027359"/>
      <w:r w:rsidRPr="00B7218F">
        <w:rPr>
          <w:caps/>
          <w:lang w:eastAsia="cs-CZ"/>
        </w:rPr>
        <w:lastRenderedPageBreak/>
        <w:t xml:space="preserve">2 Přípravy Slovinska </w:t>
      </w:r>
      <w:r w:rsidRPr="00B7218F">
        <w:rPr>
          <w:caps/>
        </w:rPr>
        <w:t>na vstup do EMU, plnění</w:t>
      </w:r>
      <w:r w:rsidRPr="00B7218F">
        <w:t xml:space="preserve"> </w:t>
      </w:r>
      <w:r w:rsidRPr="00B7218F">
        <w:rPr>
          <w:caps/>
        </w:rPr>
        <w:t>Maastrichtských kritérií</w:t>
      </w:r>
      <w:bookmarkEnd w:id="30"/>
    </w:p>
    <w:p w:rsidR="00FD7B45" w:rsidRPr="00B7218F" w:rsidRDefault="00FD7B45" w:rsidP="002C5C1D">
      <w:pPr>
        <w:rPr>
          <w:szCs w:val="24"/>
        </w:rPr>
      </w:pPr>
    </w:p>
    <w:p w:rsidR="00FD7B45" w:rsidRDefault="00FD7B45" w:rsidP="00B137B5">
      <w:pPr>
        <w:rPr>
          <w:szCs w:val="24"/>
        </w:rPr>
      </w:pPr>
      <w:r>
        <w:rPr>
          <w:szCs w:val="24"/>
        </w:rPr>
        <w:t>Dle úvodu teoretické části, tato kapitola se bude zabývat praktickými přípravami pro zavedení eura. Pod praktickými přípravami si lze představit činnosti spojené s obeznámením veřejností s eurem, výměnou hotového oběživa, předzásobení a rychlé vrácení měny. V rámci praktických příprav, lze hovořit i o převodu finančních administrativních systémů a vývoji cen. Důležitou součástí je také sledování reakcí veřejností na přechod k euru. V názvu této kapitoly je zmíněno plnění konvergenčních kritérií. Plnění konvergenčních kritérií je vyhodnoceno v konvergenčních zprávách za roky 2004 a 2006.</w:t>
      </w:r>
    </w:p>
    <w:p w:rsidR="00FD7B45" w:rsidRDefault="00FD7B45" w:rsidP="00B137B5">
      <w:pPr>
        <w:rPr>
          <w:szCs w:val="24"/>
        </w:rPr>
      </w:pPr>
    </w:p>
    <w:p w:rsidR="00FD7B45" w:rsidRPr="00B7218F" w:rsidRDefault="00FD7B45" w:rsidP="00B137B5">
      <w:pPr>
        <w:rPr>
          <w:szCs w:val="24"/>
        </w:rPr>
      </w:pPr>
      <w:r w:rsidRPr="00B7218F">
        <w:rPr>
          <w:szCs w:val="24"/>
        </w:rPr>
        <w:t>Slovinsko oficiálně požádalo o konvergenční hodnocení Evropskou komis</w:t>
      </w:r>
      <w:r>
        <w:rPr>
          <w:szCs w:val="24"/>
        </w:rPr>
        <w:t>i</w:t>
      </w:r>
      <w:r w:rsidRPr="00B7218F">
        <w:rPr>
          <w:szCs w:val="24"/>
        </w:rPr>
        <w:t xml:space="preserve"> a Evropskou centrální banku </w:t>
      </w:r>
      <w:r>
        <w:rPr>
          <w:szCs w:val="24"/>
        </w:rPr>
        <w:t xml:space="preserve">dne </w:t>
      </w:r>
      <w:r w:rsidRPr="00B7218F">
        <w:rPr>
          <w:szCs w:val="24"/>
        </w:rPr>
        <w:t>2. 3. 2006, a to na základě čl. 122. 2 odstavce Smlo</w:t>
      </w:r>
      <w:r>
        <w:rPr>
          <w:szCs w:val="24"/>
        </w:rPr>
        <w:t>uvy o ES. Jak</w:t>
      </w:r>
      <w:r w:rsidRPr="00B7218F">
        <w:rPr>
          <w:szCs w:val="24"/>
        </w:rPr>
        <w:t xml:space="preserve"> bylo </w:t>
      </w:r>
      <w:r>
        <w:rPr>
          <w:szCs w:val="24"/>
        </w:rPr>
        <w:t>uvedeno výše</w:t>
      </w:r>
      <w:r w:rsidRPr="00B7218F">
        <w:rPr>
          <w:szCs w:val="24"/>
        </w:rPr>
        <w:t>, konvergenční zprávy ověřují a přezkoumávají, jak daná země dosáhla vysoké úrovně konvergence nutného pro zavedení eura</w:t>
      </w:r>
      <w:r>
        <w:rPr>
          <w:szCs w:val="24"/>
        </w:rPr>
        <w:t xml:space="preserve"> –</w:t>
      </w:r>
      <w:r w:rsidRPr="00B7218F">
        <w:rPr>
          <w:szCs w:val="24"/>
        </w:rPr>
        <w:t xml:space="preserve"> </w:t>
      </w:r>
      <w:r>
        <w:rPr>
          <w:szCs w:val="24"/>
        </w:rPr>
        <w:t xml:space="preserve">míru </w:t>
      </w:r>
      <w:r w:rsidRPr="00B7218F">
        <w:rPr>
          <w:szCs w:val="24"/>
        </w:rPr>
        <w:t>spln</w:t>
      </w:r>
      <w:r>
        <w:rPr>
          <w:szCs w:val="24"/>
        </w:rPr>
        <w:t>ění</w:t>
      </w:r>
      <w:r w:rsidRPr="00B7218F">
        <w:rPr>
          <w:szCs w:val="24"/>
        </w:rPr>
        <w:t xml:space="preserve"> konvergenční</w:t>
      </w:r>
      <w:r>
        <w:rPr>
          <w:szCs w:val="24"/>
        </w:rPr>
        <w:t>ch</w:t>
      </w:r>
      <w:r w:rsidRPr="00B7218F">
        <w:rPr>
          <w:szCs w:val="24"/>
        </w:rPr>
        <w:t xml:space="preserve"> kritéri</w:t>
      </w:r>
      <w:r>
        <w:rPr>
          <w:szCs w:val="24"/>
        </w:rPr>
        <w:t>í</w:t>
      </w:r>
      <w:r w:rsidRPr="00B7218F">
        <w:rPr>
          <w:rStyle w:val="Znakapoznpodarou"/>
          <w:szCs w:val="24"/>
        </w:rPr>
        <w:footnoteReference w:id="41"/>
      </w:r>
      <w:r w:rsidRPr="00B7218F">
        <w:rPr>
          <w:szCs w:val="24"/>
        </w:rPr>
        <w:t>.</w:t>
      </w:r>
    </w:p>
    <w:p w:rsidR="00FD7B45" w:rsidRPr="00B7218F" w:rsidRDefault="00FD7B45" w:rsidP="00B137B5">
      <w:pPr>
        <w:rPr>
          <w:szCs w:val="24"/>
        </w:rPr>
      </w:pPr>
    </w:p>
    <w:p w:rsidR="00FD7B45" w:rsidRPr="00B7218F" w:rsidRDefault="00FD7B45" w:rsidP="00B137B5">
      <w:r w:rsidRPr="00B7218F">
        <w:rPr>
          <w:szCs w:val="24"/>
        </w:rPr>
        <w:t xml:space="preserve">Na základě hodnocení Evropské komise a </w:t>
      </w:r>
      <w:proofErr w:type="spellStart"/>
      <w:r w:rsidRPr="00B7218F">
        <w:rPr>
          <w:szCs w:val="24"/>
        </w:rPr>
        <w:t>ECB</w:t>
      </w:r>
      <w:proofErr w:type="spellEnd"/>
      <w:r w:rsidRPr="00B7218F">
        <w:rPr>
          <w:szCs w:val="24"/>
        </w:rPr>
        <w:t xml:space="preserve"> ze dne 16.</w:t>
      </w:r>
      <w:r>
        <w:rPr>
          <w:szCs w:val="24"/>
        </w:rPr>
        <w:t xml:space="preserve"> </w:t>
      </w:r>
      <w:r w:rsidRPr="00B7218F">
        <w:rPr>
          <w:szCs w:val="24"/>
        </w:rPr>
        <w:t>5</w:t>
      </w:r>
      <w:r>
        <w:rPr>
          <w:szCs w:val="24"/>
        </w:rPr>
        <w:t xml:space="preserve">. </w:t>
      </w:r>
      <w:proofErr w:type="gramStart"/>
      <w:r w:rsidRPr="00B7218F">
        <w:rPr>
          <w:szCs w:val="24"/>
        </w:rPr>
        <w:t>2006  se</w:t>
      </w:r>
      <w:proofErr w:type="gramEnd"/>
      <w:r w:rsidRPr="00B7218F">
        <w:rPr>
          <w:szCs w:val="24"/>
        </w:rPr>
        <w:t xml:space="preserve"> Rada dne 11. 7. 2006 rozhodla, že Slovinsku zruší výjimku a tím mu umožní zavést euro k 1. 1. 2007 s přepočteným koeficientem tolaru k euru v poměru 239,64 tolarů za 1 euro.</w:t>
      </w:r>
      <w:r w:rsidRPr="00B7218F">
        <w:t xml:space="preserve"> Tolar byl národní měnou Slovinska před zavedením eura.</w:t>
      </w:r>
    </w:p>
    <w:p w:rsidR="00FD7B45" w:rsidRPr="00B7218F" w:rsidRDefault="00FD7B45" w:rsidP="00B137B5">
      <w:pPr>
        <w:rPr>
          <w:szCs w:val="24"/>
        </w:rPr>
      </w:pPr>
    </w:p>
    <w:p w:rsidR="00FD7B45" w:rsidRPr="00B7218F" w:rsidRDefault="00FD7B45" w:rsidP="00B137B5">
      <w:pPr>
        <w:rPr>
          <w:szCs w:val="24"/>
        </w:rPr>
      </w:pPr>
      <w:r w:rsidRPr="00B7218F">
        <w:rPr>
          <w:szCs w:val="24"/>
        </w:rPr>
        <w:t xml:space="preserve">Slovinská vláda začala se schválením vstupu země do eurozóny zesilovat a postupně dokončovat přípravné práce důležité k přijetí eura v zemi. Slovinsko se rozhodlo, že bude </w:t>
      </w:r>
      <w:r w:rsidRPr="00B7218F">
        <w:rPr>
          <w:szCs w:val="24"/>
        </w:rPr>
        <w:lastRenderedPageBreak/>
        <w:t xml:space="preserve">při zavádění eura postupovat dle scénáře </w:t>
      </w:r>
      <w:proofErr w:type="spellStart"/>
      <w:r w:rsidRPr="00B7218F">
        <w:rPr>
          <w:szCs w:val="24"/>
        </w:rPr>
        <w:t>Big</w:t>
      </w:r>
      <w:proofErr w:type="spellEnd"/>
      <w:r w:rsidRPr="00B7218F">
        <w:rPr>
          <w:szCs w:val="24"/>
        </w:rPr>
        <w:t xml:space="preserve"> </w:t>
      </w:r>
      <w:proofErr w:type="spellStart"/>
      <w:r w:rsidRPr="00B7218F">
        <w:rPr>
          <w:szCs w:val="24"/>
        </w:rPr>
        <w:t>Bang</w:t>
      </w:r>
      <w:proofErr w:type="spellEnd"/>
      <w:r w:rsidRPr="00B7218F">
        <w:rPr>
          <w:szCs w:val="24"/>
        </w:rPr>
        <w:t>.</w:t>
      </w:r>
      <w:r w:rsidRPr="00B7218F">
        <w:t xml:space="preserve"> Scénář </w:t>
      </w:r>
      <w:proofErr w:type="spellStart"/>
      <w:r w:rsidRPr="00B7218F">
        <w:t>Big</w:t>
      </w:r>
      <w:proofErr w:type="spellEnd"/>
      <w:r w:rsidRPr="00B7218F">
        <w:t xml:space="preserve"> </w:t>
      </w:r>
      <w:proofErr w:type="spellStart"/>
      <w:r w:rsidRPr="00B7218F">
        <w:t>Bang</w:t>
      </w:r>
      <w:proofErr w:type="spellEnd"/>
      <w:r w:rsidRPr="00B7218F">
        <w:t xml:space="preserve"> také známý jako Velký Třesk, je charakterizován přechodem hotovostních i bezhotovostních prostředk</w:t>
      </w:r>
      <w:r>
        <w:t>ů</w:t>
      </w:r>
      <w:r w:rsidRPr="00B7218F">
        <w:t xml:space="preserve"> k jednomu okamžiku.</w:t>
      </w:r>
      <w:r w:rsidRPr="00B7218F">
        <w:rPr>
          <w:szCs w:val="24"/>
        </w:rPr>
        <w:t xml:space="preserve"> V případě Slovinska bylo období, v něž se používal jak Slovinský tolar tak euro prodlouženo do 14. 1. 2007. Od toho data se stalo jediným zákonným platidlem euro.</w:t>
      </w:r>
      <w:r>
        <w:rPr>
          <w:rStyle w:val="Znakapoznpodarou"/>
          <w:szCs w:val="24"/>
        </w:rPr>
        <w:footnoteReference w:id="42"/>
      </w:r>
    </w:p>
    <w:p w:rsidR="00FD7B45" w:rsidRPr="00B7218F" w:rsidRDefault="00FD7B45" w:rsidP="005F04A2">
      <w:pPr>
        <w:rPr>
          <w:szCs w:val="24"/>
        </w:rPr>
      </w:pPr>
    </w:p>
    <w:p w:rsidR="00FD7B45" w:rsidRDefault="00FD7B45" w:rsidP="00A80382">
      <w:pPr>
        <w:pStyle w:val="Nadpis2"/>
        <w:spacing w:before="0"/>
        <w:rPr>
          <w:lang w:eastAsia="cs-CZ"/>
        </w:rPr>
      </w:pPr>
      <w:bookmarkStart w:id="31" w:name="_Toc281759159"/>
    </w:p>
    <w:p w:rsidR="00FD7B45" w:rsidRPr="00B7218F" w:rsidRDefault="00FD7B45" w:rsidP="00A80382">
      <w:pPr>
        <w:pStyle w:val="Nadpis2"/>
        <w:spacing w:before="0"/>
        <w:rPr>
          <w:lang w:eastAsia="cs-CZ"/>
        </w:rPr>
      </w:pPr>
      <w:bookmarkStart w:id="32" w:name="_Toc282027360"/>
      <w:r w:rsidRPr="00B7218F">
        <w:rPr>
          <w:lang w:eastAsia="cs-CZ"/>
        </w:rPr>
        <w:t>2.1 Praktické přípravy pro zavedení eura</w:t>
      </w:r>
      <w:bookmarkEnd w:id="31"/>
      <w:bookmarkEnd w:id="32"/>
    </w:p>
    <w:p w:rsidR="00FD7B45" w:rsidRPr="00B7218F" w:rsidRDefault="00FD7B45" w:rsidP="00A80382">
      <w:pPr>
        <w:rPr>
          <w:szCs w:val="24"/>
        </w:rPr>
      </w:pPr>
    </w:p>
    <w:p w:rsidR="00FD7B45" w:rsidRPr="00B7218F" w:rsidRDefault="00FD7B45" w:rsidP="00A80382">
      <w:pPr>
        <w:rPr>
          <w:szCs w:val="24"/>
        </w:rPr>
      </w:pPr>
    </w:p>
    <w:p w:rsidR="00FD7B45" w:rsidRDefault="00FD7B45" w:rsidP="00A80382">
      <w:pPr>
        <w:rPr>
          <w:szCs w:val="24"/>
        </w:rPr>
      </w:pPr>
      <w:r w:rsidRPr="00B7218F">
        <w:rPr>
          <w:szCs w:val="24"/>
        </w:rPr>
        <w:t xml:space="preserve">Přípravná fáze Slovinska probíhala velmi důkladně a díky tomu </w:t>
      </w:r>
      <w:r>
        <w:rPr>
          <w:szCs w:val="24"/>
        </w:rPr>
        <w:t>byl</w:t>
      </w:r>
      <w:r w:rsidRPr="00B7218F">
        <w:rPr>
          <w:szCs w:val="24"/>
        </w:rPr>
        <w:t xml:space="preserve"> zaji</w:t>
      </w:r>
      <w:r>
        <w:rPr>
          <w:szCs w:val="24"/>
        </w:rPr>
        <w:t>štěn</w:t>
      </w:r>
      <w:r w:rsidRPr="00B7218F">
        <w:rPr>
          <w:szCs w:val="24"/>
        </w:rPr>
        <w:t xml:space="preserve"> ús</w:t>
      </w:r>
      <w:r>
        <w:rPr>
          <w:szCs w:val="24"/>
        </w:rPr>
        <w:t>pěšný přechod k euru. Slovinsko současně</w:t>
      </w:r>
      <w:r w:rsidRPr="00B7218F">
        <w:rPr>
          <w:szCs w:val="24"/>
        </w:rPr>
        <w:t xml:space="preserve"> vytěžilo z řady pro něj příznivých podmínek a aspektů usnadňující přechod na jednotnou měnu. K tomu sloužil i vnitrostátní plán k přechodu na euro vyhotovený v roce 2005. Slovinsko s včasnou přípravou potvrdilo, že důkladná příprava je velice výhodná a že díky </w:t>
      </w:r>
      <w:r>
        <w:rPr>
          <w:szCs w:val="24"/>
        </w:rPr>
        <w:t>ní</w:t>
      </w:r>
      <w:r w:rsidRPr="00B7218F">
        <w:rPr>
          <w:szCs w:val="24"/>
        </w:rPr>
        <w:t xml:space="preserve"> může velice dobře dojít k hladkému přechodu na novou měnu a i k pozitivnějšímu vnímaní nové měny občany.</w:t>
      </w:r>
      <w:r>
        <w:rPr>
          <w:rStyle w:val="Znakapoznpodarou"/>
          <w:szCs w:val="24"/>
        </w:rPr>
        <w:footnoteReference w:id="43"/>
      </w:r>
    </w:p>
    <w:p w:rsidR="00FD7B45" w:rsidRPr="00B7218F" w:rsidRDefault="00FD7B45" w:rsidP="00A80382">
      <w:pPr>
        <w:rPr>
          <w:szCs w:val="24"/>
        </w:rPr>
      </w:pPr>
    </w:p>
    <w:p w:rsidR="00FD7B45" w:rsidRPr="00B7218F" w:rsidRDefault="00FD7B45" w:rsidP="00A80382">
      <w:pPr>
        <w:rPr>
          <w:szCs w:val="24"/>
        </w:rPr>
      </w:pPr>
      <w:r w:rsidRPr="00B7218F">
        <w:rPr>
          <w:szCs w:val="24"/>
        </w:rPr>
        <w:t>Přípravná fáze se zaobírala těmito hlavními body: obeznámení občanů o chystaném přechodu k euru, výměna hotovostního oběživa, převodem administrativních a finančních systémů</w:t>
      </w:r>
      <w:r>
        <w:rPr>
          <w:szCs w:val="24"/>
        </w:rPr>
        <w:t>,</w:t>
      </w:r>
      <w:r w:rsidRPr="00B7218F">
        <w:rPr>
          <w:szCs w:val="24"/>
        </w:rPr>
        <w:t xml:space="preserve"> vývojem cen a reakc</w:t>
      </w:r>
      <w:r>
        <w:rPr>
          <w:szCs w:val="24"/>
        </w:rPr>
        <w:t>í</w:t>
      </w:r>
      <w:r w:rsidRPr="00B7218F">
        <w:rPr>
          <w:szCs w:val="24"/>
        </w:rPr>
        <w:t xml:space="preserve"> veřejnosti na změnu měny. Před přípravnou fází bylo nutné vstoupit do systému ERM II.</w:t>
      </w:r>
    </w:p>
    <w:p w:rsidR="00FD7B45" w:rsidRPr="00B7218F" w:rsidRDefault="00FD7B45" w:rsidP="00A80382">
      <w:pPr>
        <w:rPr>
          <w:szCs w:val="24"/>
        </w:rPr>
      </w:pPr>
    </w:p>
    <w:p w:rsidR="00FD7B45" w:rsidRPr="00B7218F" w:rsidRDefault="00FD7B45" w:rsidP="00A80382">
      <w:pPr>
        <w:rPr>
          <w:szCs w:val="24"/>
        </w:rPr>
      </w:pPr>
    </w:p>
    <w:p w:rsidR="00FD7B45" w:rsidRPr="00B7218F" w:rsidRDefault="00FD7B45" w:rsidP="00A80382">
      <w:pPr>
        <w:pStyle w:val="Nadpis3"/>
        <w:spacing w:before="0"/>
      </w:pPr>
      <w:bookmarkStart w:id="33" w:name="_Toc281759160"/>
      <w:bookmarkStart w:id="34" w:name="_Toc282027361"/>
      <w:r w:rsidRPr="00B7218F">
        <w:t>2.1.1 Obeznámení veřejnosti s eurem</w:t>
      </w:r>
      <w:bookmarkEnd w:id="33"/>
      <w:bookmarkEnd w:id="34"/>
      <w:r w:rsidRPr="00B7218F">
        <w:t xml:space="preserve"> </w:t>
      </w:r>
    </w:p>
    <w:p w:rsidR="00FD7B45" w:rsidRPr="00B7218F" w:rsidRDefault="00FD7B45" w:rsidP="00A80382">
      <w:pPr>
        <w:rPr>
          <w:szCs w:val="24"/>
        </w:rPr>
      </w:pPr>
    </w:p>
    <w:p w:rsidR="00FD7B45" w:rsidRPr="00B7218F" w:rsidRDefault="00FD7B45" w:rsidP="00A80382">
      <w:pPr>
        <w:rPr>
          <w:szCs w:val="24"/>
        </w:rPr>
      </w:pPr>
      <w:r w:rsidRPr="00B7218F">
        <w:rPr>
          <w:szCs w:val="24"/>
        </w:rPr>
        <w:t xml:space="preserve">Při obeznamování veřejnosti mělo Slovinsko zjednodušenou situaci </w:t>
      </w:r>
      <w:r>
        <w:rPr>
          <w:szCs w:val="24"/>
        </w:rPr>
        <w:t>tím</w:t>
      </w:r>
      <w:r w:rsidRPr="00B7218F">
        <w:rPr>
          <w:szCs w:val="24"/>
        </w:rPr>
        <w:t>, že sousedí se dvěma státy eurozóny (Itálie a Rakousko), které zavedly euro dříve a proto jej většina občanů znala.</w:t>
      </w:r>
      <w:r w:rsidRPr="00B7218F">
        <w:rPr>
          <w:color w:val="000000"/>
          <w:szCs w:val="24"/>
        </w:rPr>
        <w:t xml:space="preserve"> </w:t>
      </w:r>
      <w:r w:rsidRPr="00B7218F">
        <w:rPr>
          <w:szCs w:val="24"/>
        </w:rPr>
        <w:t>Z průzkum</w:t>
      </w:r>
      <w:r>
        <w:rPr>
          <w:szCs w:val="24"/>
        </w:rPr>
        <w:t>u</w:t>
      </w:r>
      <w:r w:rsidRPr="00B7218F">
        <w:rPr>
          <w:szCs w:val="24"/>
        </w:rPr>
        <w:t xml:space="preserve"> v nových členských státech</w:t>
      </w:r>
      <w:r>
        <w:rPr>
          <w:szCs w:val="24"/>
        </w:rPr>
        <w:t xml:space="preserve">, který byl zveřejněn ve </w:t>
      </w:r>
      <w:proofErr w:type="spellStart"/>
      <w:r>
        <w:rPr>
          <w:szCs w:val="24"/>
        </w:rPr>
        <w:t>Flash</w:t>
      </w:r>
      <w:proofErr w:type="spellEnd"/>
      <w:r>
        <w:rPr>
          <w:szCs w:val="24"/>
        </w:rPr>
        <w:t xml:space="preserve"> </w:t>
      </w:r>
      <w:proofErr w:type="spellStart"/>
      <w:r>
        <w:rPr>
          <w:szCs w:val="24"/>
        </w:rPr>
        <w:t>Eurobaarometru</w:t>
      </w:r>
      <w:proofErr w:type="spellEnd"/>
      <w:r>
        <w:rPr>
          <w:szCs w:val="24"/>
        </w:rPr>
        <w:t xml:space="preserve"> </w:t>
      </w:r>
      <w:proofErr w:type="spellStart"/>
      <w:proofErr w:type="gramStart"/>
      <w:r>
        <w:rPr>
          <w:szCs w:val="24"/>
        </w:rPr>
        <w:t>č.191</w:t>
      </w:r>
      <w:proofErr w:type="spellEnd"/>
      <w:proofErr w:type="gramEnd"/>
      <w:r>
        <w:rPr>
          <w:szCs w:val="24"/>
        </w:rPr>
        <w:t xml:space="preserve">, </w:t>
      </w:r>
      <w:r w:rsidRPr="00B7218F">
        <w:rPr>
          <w:szCs w:val="24"/>
        </w:rPr>
        <w:t>vyplynulo, že Slovinci byli nejvíce obeznámeni s </w:t>
      </w:r>
      <w:proofErr w:type="spellStart"/>
      <w:r w:rsidRPr="00B7218F">
        <w:rPr>
          <w:szCs w:val="24"/>
        </w:rPr>
        <w:t>eurohotovostí</w:t>
      </w:r>
      <w:proofErr w:type="spellEnd"/>
      <w:r w:rsidRPr="00B7218F">
        <w:rPr>
          <w:szCs w:val="24"/>
        </w:rPr>
        <w:t xml:space="preserve">. </w:t>
      </w:r>
      <w:r w:rsidRPr="00B7218F">
        <w:rPr>
          <w:szCs w:val="24"/>
        </w:rPr>
        <w:lastRenderedPageBreak/>
        <w:t xml:space="preserve">Z dotazovaných respondentů se 95 % z nich setkalo s </w:t>
      </w:r>
      <w:proofErr w:type="spellStart"/>
      <w:r w:rsidRPr="00B7218F">
        <w:rPr>
          <w:szCs w:val="24"/>
        </w:rPr>
        <w:t>eurobankovkami</w:t>
      </w:r>
      <w:proofErr w:type="spellEnd"/>
      <w:r>
        <w:rPr>
          <w:szCs w:val="24"/>
        </w:rPr>
        <w:t xml:space="preserve"> (oproti průměru nových</w:t>
      </w:r>
      <w:r w:rsidRPr="00B7218F">
        <w:rPr>
          <w:szCs w:val="24"/>
        </w:rPr>
        <w:t xml:space="preserve"> deseti členských států ve výši 77 %) a 93 % z dotazovaných se </w:t>
      </w:r>
      <w:proofErr w:type="gramStart"/>
      <w:r w:rsidRPr="00B7218F">
        <w:rPr>
          <w:szCs w:val="24"/>
        </w:rPr>
        <w:t xml:space="preserve">setkalo </w:t>
      </w:r>
      <w:r>
        <w:rPr>
          <w:szCs w:val="24"/>
        </w:rPr>
        <w:t xml:space="preserve">                      </w:t>
      </w:r>
      <w:r w:rsidRPr="00B7218F">
        <w:rPr>
          <w:szCs w:val="24"/>
        </w:rPr>
        <w:t xml:space="preserve">s </w:t>
      </w:r>
      <w:proofErr w:type="spellStart"/>
      <w:r w:rsidRPr="00B7218F">
        <w:rPr>
          <w:szCs w:val="24"/>
        </w:rPr>
        <w:t>euromincemi</w:t>
      </w:r>
      <w:proofErr w:type="spellEnd"/>
      <w:proofErr w:type="gramEnd"/>
      <w:r w:rsidRPr="00B7218F">
        <w:rPr>
          <w:szCs w:val="24"/>
        </w:rPr>
        <w:t xml:space="preserve"> (oproti průměru ve výši 70 %).</w:t>
      </w:r>
      <w:r w:rsidRPr="00B7218F">
        <w:rPr>
          <w:color w:val="000000"/>
          <w:szCs w:val="24"/>
        </w:rPr>
        <w:t xml:space="preserve">  </w:t>
      </w:r>
      <w:proofErr w:type="spellStart"/>
      <w:r w:rsidRPr="00B7218F">
        <w:rPr>
          <w:color w:val="000000"/>
          <w:szCs w:val="24"/>
        </w:rPr>
        <w:t>Eurobankovky</w:t>
      </w:r>
      <w:proofErr w:type="spellEnd"/>
      <w:r w:rsidRPr="00B7218F">
        <w:rPr>
          <w:color w:val="000000"/>
          <w:szCs w:val="24"/>
        </w:rPr>
        <w:t xml:space="preserve"> použilo před zavedením eura 80% z dotazov</w:t>
      </w:r>
      <w:r>
        <w:rPr>
          <w:color w:val="000000"/>
          <w:szCs w:val="24"/>
        </w:rPr>
        <w:t>a</w:t>
      </w:r>
      <w:r w:rsidRPr="00B7218F">
        <w:rPr>
          <w:color w:val="000000"/>
          <w:szCs w:val="24"/>
        </w:rPr>
        <w:t xml:space="preserve">ných osob a </w:t>
      </w:r>
      <w:proofErr w:type="spellStart"/>
      <w:r w:rsidRPr="00B7218F">
        <w:rPr>
          <w:color w:val="000000"/>
          <w:szCs w:val="24"/>
        </w:rPr>
        <w:t>euromince</w:t>
      </w:r>
      <w:proofErr w:type="spellEnd"/>
      <w:r w:rsidRPr="00B7218F">
        <w:rPr>
          <w:color w:val="000000"/>
          <w:szCs w:val="24"/>
        </w:rPr>
        <w:t xml:space="preserve"> použilo 77% z dotazovaných.</w:t>
      </w:r>
      <w:r w:rsidRPr="00B7218F">
        <w:rPr>
          <w:szCs w:val="24"/>
        </w:rPr>
        <w:t xml:space="preserve"> To samé se dá říci o bankovních účtech, které byly založeny v eurech ještě před jeho zavedením. </w:t>
      </w:r>
      <w:r>
        <w:rPr>
          <w:rStyle w:val="Znakapoznpodarou"/>
          <w:szCs w:val="24"/>
        </w:rPr>
        <w:footnoteReference w:id="44"/>
      </w:r>
      <w:r>
        <w:rPr>
          <w:szCs w:val="24"/>
        </w:rPr>
        <w:t xml:space="preserve"> </w:t>
      </w:r>
      <w:r>
        <w:rPr>
          <w:rStyle w:val="Znakapoznpodarou"/>
          <w:szCs w:val="24"/>
        </w:rPr>
        <w:footnoteReference w:id="45"/>
      </w:r>
    </w:p>
    <w:p w:rsidR="00FD7B45" w:rsidRPr="00B7218F" w:rsidRDefault="00FD7B45" w:rsidP="00A80382">
      <w:pPr>
        <w:rPr>
          <w:szCs w:val="24"/>
        </w:rPr>
      </w:pPr>
    </w:p>
    <w:p w:rsidR="00FD7B45" w:rsidRPr="00B7218F" w:rsidRDefault="00FD7B45" w:rsidP="00A80382">
      <w:pPr>
        <w:rPr>
          <w:szCs w:val="24"/>
        </w:rPr>
      </w:pPr>
      <w:r w:rsidRPr="00B7218F">
        <w:rPr>
          <w:szCs w:val="24"/>
        </w:rPr>
        <w:t xml:space="preserve">Po ustanovení eura jako zákonného platidla se jeho </w:t>
      </w:r>
      <w:r>
        <w:rPr>
          <w:szCs w:val="24"/>
        </w:rPr>
        <w:t xml:space="preserve">podíl na oběhu rychle zvyšoval. </w:t>
      </w:r>
      <w:proofErr w:type="gramStart"/>
      <w:r>
        <w:rPr>
          <w:szCs w:val="24"/>
        </w:rPr>
        <w:t xml:space="preserve">Již    </w:t>
      </w:r>
      <w:r w:rsidRPr="00B7218F">
        <w:rPr>
          <w:szCs w:val="24"/>
        </w:rPr>
        <w:t xml:space="preserve"> 5. </w:t>
      </w:r>
      <w:r>
        <w:rPr>
          <w:szCs w:val="24"/>
        </w:rPr>
        <w:t>l</w:t>
      </w:r>
      <w:r w:rsidRPr="00B7218F">
        <w:rPr>
          <w:szCs w:val="24"/>
        </w:rPr>
        <w:t>edna</w:t>
      </w:r>
      <w:proofErr w:type="gramEnd"/>
      <w:r>
        <w:rPr>
          <w:szCs w:val="24"/>
        </w:rPr>
        <w:t xml:space="preserve"> 2007</w:t>
      </w:r>
      <w:r w:rsidRPr="00B7218F">
        <w:rPr>
          <w:szCs w:val="24"/>
        </w:rPr>
        <w:t xml:space="preserve"> (večer) více než polovina respondentů odpověděla, že ve svých peněženkách má pouze </w:t>
      </w:r>
      <w:proofErr w:type="spellStart"/>
      <w:r w:rsidRPr="00B7218F">
        <w:rPr>
          <w:szCs w:val="24"/>
        </w:rPr>
        <w:t>eurobankovky</w:t>
      </w:r>
      <w:proofErr w:type="spellEnd"/>
      <w:r w:rsidRPr="00B7218F">
        <w:rPr>
          <w:szCs w:val="24"/>
        </w:rPr>
        <w:t xml:space="preserve"> a </w:t>
      </w:r>
      <w:proofErr w:type="spellStart"/>
      <w:r w:rsidRPr="00B7218F">
        <w:rPr>
          <w:szCs w:val="24"/>
        </w:rPr>
        <w:t>euromince</w:t>
      </w:r>
      <w:proofErr w:type="spellEnd"/>
      <w:r w:rsidRPr="00B7218F">
        <w:rPr>
          <w:szCs w:val="24"/>
        </w:rPr>
        <w:t>.</w:t>
      </w:r>
      <w:r w:rsidRPr="00B7218F">
        <w:rPr>
          <w:color w:val="000000"/>
          <w:szCs w:val="24"/>
        </w:rPr>
        <w:t xml:space="preserve"> </w:t>
      </w:r>
    </w:p>
    <w:p w:rsidR="00FD7B45" w:rsidRPr="009047B5" w:rsidRDefault="00FD7B45" w:rsidP="00A80382">
      <w:pPr>
        <w:pStyle w:val="Nadpis3"/>
        <w:rPr>
          <w:sz w:val="24"/>
        </w:rPr>
      </w:pPr>
    </w:p>
    <w:p w:rsidR="00FD7B45" w:rsidRPr="009047B5" w:rsidRDefault="00FD7B45" w:rsidP="00A80382">
      <w:pPr>
        <w:pStyle w:val="Nadpis3"/>
        <w:rPr>
          <w:sz w:val="24"/>
        </w:rPr>
      </w:pPr>
    </w:p>
    <w:p w:rsidR="00FD7B45" w:rsidRPr="00B7218F" w:rsidRDefault="00FD7B45" w:rsidP="00A80382">
      <w:pPr>
        <w:pStyle w:val="Nadpis3"/>
        <w:spacing w:before="0"/>
      </w:pPr>
      <w:bookmarkStart w:id="35" w:name="_Toc281759161"/>
      <w:bookmarkStart w:id="36" w:name="_Toc282027362"/>
      <w:r w:rsidRPr="00B7218F">
        <w:t>2.1.2 Výměna hotového oběživa</w:t>
      </w:r>
      <w:bookmarkEnd w:id="35"/>
      <w:bookmarkEnd w:id="36"/>
    </w:p>
    <w:p w:rsidR="00FD7B45" w:rsidRPr="00B7218F" w:rsidRDefault="00FD7B45" w:rsidP="00A80382">
      <w:pPr>
        <w:rPr>
          <w:szCs w:val="24"/>
        </w:rPr>
      </w:pPr>
    </w:p>
    <w:p w:rsidR="00FD7B45" w:rsidRPr="00B7218F" w:rsidRDefault="00FD7B45" w:rsidP="00A80382">
      <w:pPr>
        <w:rPr>
          <w:szCs w:val="24"/>
        </w:rPr>
      </w:pPr>
      <w:r w:rsidRPr="00B7218F">
        <w:rPr>
          <w:szCs w:val="24"/>
        </w:rPr>
        <w:t xml:space="preserve">Nejviditelnějším prvkem přechodu k euru na vnitrostátní úrovni je výměna hotového oběživa. Tato operace se přímo dotýká prakticky všech občanů a podniků. Úspěch této operace velmi záleží na včasném dodání </w:t>
      </w:r>
      <w:proofErr w:type="spellStart"/>
      <w:r w:rsidRPr="00B7218F">
        <w:rPr>
          <w:szCs w:val="24"/>
        </w:rPr>
        <w:t>eurobankovek</w:t>
      </w:r>
      <w:proofErr w:type="spellEnd"/>
      <w:r w:rsidRPr="00B7218F">
        <w:rPr>
          <w:szCs w:val="24"/>
        </w:rPr>
        <w:t xml:space="preserve"> a </w:t>
      </w:r>
      <w:proofErr w:type="spellStart"/>
      <w:r w:rsidRPr="00B7218F">
        <w:rPr>
          <w:szCs w:val="24"/>
        </w:rPr>
        <w:t>euromincí</w:t>
      </w:r>
      <w:proofErr w:type="spellEnd"/>
      <w:r w:rsidRPr="00B7218F">
        <w:rPr>
          <w:szCs w:val="24"/>
        </w:rPr>
        <w:t xml:space="preserve"> národní centrální bankou ostatním bankám a ostatním finančním institucím. Tento proces se nazývá předzásobení. Banky se pokusí také zajistit, aby společnosti a maloobchodníci, které provádějí hotovostní operace, obdrželi euro ještě před dnem jeho zavedení tak, aby byly schopny vydávat peníze pouze v eurech. Tím dojde k zamezení recyklace zákonné měny.  Zavedení eurohotovosti má za následek, že banky a maloobchodníci musí čelit </w:t>
      </w:r>
      <w:proofErr w:type="gramStart"/>
      <w:r w:rsidRPr="00B7218F">
        <w:rPr>
          <w:szCs w:val="24"/>
        </w:rPr>
        <w:t>zpětnému</w:t>
      </w:r>
      <w:r>
        <w:rPr>
          <w:szCs w:val="24"/>
        </w:rPr>
        <w:t xml:space="preserve">    </w:t>
      </w:r>
      <w:r w:rsidRPr="00B7218F">
        <w:rPr>
          <w:szCs w:val="24"/>
        </w:rPr>
        <w:t>a velmi</w:t>
      </w:r>
      <w:proofErr w:type="gramEnd"/>
      <w:r w:rsidRPr="00B7218F">
        <w:rPr>
          <w:szCs w:val="24"/>
        </w:rPr>
        <w:t xml:space="preserve"> rychlému přílivu dřívějších hotových peněz. </w:t>
      </w:r>
    </w:p>
    <w:p w:rsidR="00FD7B45" w:rsidRDefault="00FD7B45" w:rsidP="00A80382"/>
    <w:p w:rsidR="00FD7B45" w:rsidRPr="00B7218F" w:rsidRDefault="00FD7B45" w:rsidP="00A80382"/>
    <w:p w:rsidR="00FD7B45" w:rsidRPr="00B7218F" w:rsidRDefault="00FD7B45" w:rsidP="00A80382">
      <w:pPr>
        <w:pStyle w:val="Nadpis3"/>
        <w:spacing w:before="0"/>
      </w:pPr>
      <w:bookmarkStart w:id="37" w:name="_Toc281759162"/>
      <w:bookmarkStart w:id="38" w:name="_Toc282027363"/>
      <w:r w:rsidRPr="00B7218F">
        <w:t xml:space="preserve">2.1.3 </w:t>
      </w:r>
      <w:bookmarkStart w:id="39" w:name="_Toc257548245"/>
      <w:r w:rsidRPr="00B7218F">
        <w:t>Předzásobení a druhotné předzásobení přede dnem zavedení eura</w:t>
      </w:r>
      <w:bookmarkEnd w:id="37"/>
      <w:bookmarkEnd w:id="39"/>
      <w:bookmarkEnd w:id="38"/>
    </w:p>
    <w:p w:rsidR="00FD7B45" w:rsidRPr="00B7218F" w:rsidRDefault="00FD7B45" w:rsidP="00A80382">
      <w:pPr>
        <w:rPr>
          <w:szCs w:val="24"/>
        </w:rPr>
      </w:pPr>
    </w:p>
    <w:p w:rsidR="00FD7B45" w:rsidRPr="00B7218F" w:rsidRDefault="00FD7B45" w:rsidP="00A80382">
      <w:pPr>
        <w:rPr>
          <w:szCs w:val="24"/>
        </w:rPr>
      </w:pPr>
      <w:r w:rsidRPr="00B7218F">
        <w:rPr>
          <w:szCs w:val="24"/>
        </w:rPr>
        <w:t xml:space="preserve">Z logistických zásob Eurosystému obdržela Slovinská banka v celkové </w:t>
      </w:r>
      <w:proofErr w:type="gramStart"/>
      <w:r w:rsidRPr="00B7218F">
        <w:rPr>
          <w:szCs w:val="24"/>
        </w:rPr>
        <w:t>hodnotě</w:t>
      </w:r>
      <w:r>
        <w:rPr>
          <w:szCs w:val="24"/>
        </w:rPr>
        <w:t xml:space="preserve">                 </w:t>
      </w:r>
      <w:r w:rsidRPr="00B7218F">
        <w:rPr>
          <w:szCs w:val="24"/>
        </w:rPr>
        <w:t xml:space="preserve"> 2 175</w:t>
      </w:r>
      <w:proofErr w:type="gramEnd"/>
      <w:r w:rsidRPr="00B7218F">
        <w:rPr>
          <w:szCs w:val="24"/>
        </w:rPr>
        <w:t xml:space="preserve"> miliónů EUR celkem 94,5 miliónu bankovek.</w:t>
      </w:r>
      <w:r w:rsidRPr="00B7218F">
        <w:rPr>
          <w:color w:val="000000"/>
          <w:szCs w:val="24"/>
        </w:rPr>
        <w:t xml:space="preserve"> Dále od f</w:t>
      </w:r>
      <w:r w:rsidRPr="00B7218F">
        <w:rPr>
          <w:szCs w:val="24"/>
        </w:rPr>
        <w:t xml:space="preserve">inské mincovny obdržela </w:t>
      </w:r>
      <w:r w:rsidRPr="00B7218F">
        <w:rPr>
          <w:szCs w:val="24"/>
        </w:rPr>
        <w:lastRenderedPageBreak/>
        <w:t xml:space="preserve">celkem 296,3 miliónu </w:t>
      </w:r>
      <w:proofErr w:type="spellStart"/>
      <w:r w:rsidRPr="00B7218F">
        <w:rPr>
          <w:szCs w:val="24"/>
        </w:rPr>
        <w:t>euromincí</w:t>
      </w:r>
      <w:proofErr w:type="spellEnd"/>
      <w:r w:rsidRPr="00B7218F">
        <w:rPr>
          <w:szCs w:val="24"/>
        </w:rPr>
        <w:t xml:space="preserve"> o celkové hodnotě 104 miliónů EUR. Slovinsko nemá svou vlastní mincovnu</w:t>
      </w:r>
      <w:r>
        <w:rPr>
          <w:szCs w:val="24"/>
        </w:rPr>
        <w:t>,</w:t>
      </w:r>
      <w:r w:rsidRPr="00B7218F">
        <w:rPr>
          <w:szCs w:val="24"/>
        </w:rPr>
        <w:t xml:space="preserve"> a tak na základě veřejného výběrového řízení byla vybrána finská mincovna.</w:t>
      </w:r>
    </w:p>
    <w:p w:rsidR="00FD7B45" w:rsidRPr="00B7218F" w:rsidRDefault="00FD7B45" w:rsidP="00A80382">
      <w:pPr>
        <w:rPr>
          <w:szCs w:val="24"/>
        </w:rPr>
      </w:pPr>
    </w:p>
    <w:p w:rsidR="00FD7B45" w:rsidRPr="00B7218F" w:rsidRDefault="00FD7B45" w:rsidP="00A80382">
      <w:pPr>
        <w:rPr>
          <w:color w:val="000000"/>
          <w:szCs w:val="24"/>
        </w:rPr>
      </w:pPr>
      <w:r w:rsidRPr="00B7218F">
        <w:rPr>
          <w:szCs w:val="24"/>
        </w:rPr>
        <w:t xml:space="preserve">Úvěrové instituce začaly být předzásobovány </w:t>
      </w:r>
      <w:proofErr w:type="spellStart"/>
      <w:r w:rsidRPr="00B7218F">
        <w:rPr>
          <w:szCs w:val="24"/>
        </w:rPr>
        <w:t>euromincemi</w:t>
      </w:r>
      <w:proofErr w:type="spellEnd"/>
      <w:r w:rsidRPr="00B7218F">
        <w:rPr>
          <w:szCs w:val="24"/>
        </w:rPr>
        <w:t xml:space="preserve"> od 25. září </w:t>
      </w:r>
      <w:proofErr w:type="gramStart"/>
      <w:r w:rsidRPr="00B7218F">
        <w:rPr>
          <w:szCs w:val="24"/>
        </w:rPr>
        <w:t>2006</w:t>
      </w:r>
      <w:r>
        <w:rPr>
          <w:szCs w:val="24"/>
        </w:rPr>
        <w:t xml:space="preserve">                       </w:t>
      </w:r>
      <w:r w:rsidRPr="00B7218F">
        <w:rPr>
          <w:szCs w:val="24"/>
        </w:rPr>
        <w:t xml:space="preserve"> a </w:t>
      </w:r>
      <w:proofErr w:type="spellStart"/>
      <w:r w:rsidRPr="00B7218F">
        <w:rPr>
          <w:szCs w:val="24"/>
        </w:rPr>
        <w:t>eurobankovkami</w:t>
      </w:r>
      <w:proofErr w:type="spellEnd"/>
      <w:proofErr w:type="gramEnd"/>
      <w:r w:rsidRPr="00B7218F">
        <w:rPr>
          <w:szCs w:val="24"/>
        </w:rPr>
        <w:t xml:space="preserve"> od 29. listopadu 2006.</w:t>
      </w:r>
      <w:r w:rsidRPr="00B7218F">
        <w:rPr>
          <w:color w:val="000000"/>
          <w:szCs w:val="24"/>
        </w:rPr>
        <w:t xml:space="preserve"> Do konce roku 2006 se ve Slovinských bankách nacházelo </w:t>
      </w:r>
      <w:r w:rsidRPr="00B7218F">
        <w:rPr>
          <w:szCs w:val="24"/>
        </w:rPr>
        <w:t>772 miliónů EUR v </w:t>
      </w:r>
      <w:proofErr w:type="spellStart"/>
      <w:r w:rsidRPr="00B7218F">
        <w:rPr>
          <w:szCs w:val="24"/>
        </w:rPr>
        <w:t>eurobankovkách</w:t>
      </w:r>
      <w:proofErr w:type="spellEnd"/>
      <w:r w:rsidRPr="00B7218F">
        <w:rPr>
          <w:szCs w:val="24"/>
        </w:rPr>
        <w:t xml:space="preserve"> a 250 miliónů mincí</w:t>
      </w:r>
      <w:r>
        <w:rPr>
          <w:szCs w:val="24"/>
        </w:rPr>
        <w:t>,</w:t>
      </w:r>
      <w:r w:rsidRPr="00B7218F">
        <w:rPr>
          <w:szCs w:val="24"/>
        </w:rPr>
        <w:t xml:space="preserve"> což zhruba odpovídá hodnotě 84 miliónů EUR.</w:t>
      </w:r>
      <w:r w:rsidRPr="00B7218F">
        <w:rPr>
          <w:color w:val="000000"/>
          <w:szCs w:val="24"/>
        </w:rPr>
        <w:t xml:space="preserve"> </w:t>
      </w:r>
    </w:p>
    <w:p w:rsidR="00FD7B45" w:rsidRPr="00B7218F" w:rsidRDefault="00FD7B45" w:rsidP="00A80382">
      <w:pPr>
        <w:rPr>
          <w:szCs w:val="24"/>
        </w:rPr>
      </w:pPr>
    </w:p>
    <w:p w:rsidR="00FD7B45" w:rsidRDefault="00FD7B45" w:rsidP="00A80382">
      <w:pPr>
        <w:rPr>
          <w:color w:val="000000"/>
          <w:szCs w:val="24"/>
        </w:rPr>
      </w:pPr>
      <w:r w:rsidRPr="00B7218F">
        <w:rPr>
          <w:szCs w:val="24"/>
        </w:rPr>
        <w:t>Druhotné předzásobování maloobchodníků a jiných podniků ze strany bank a úvěrových institucí byl</w:t>
      </w:r>
      <w:r>
        <w:rPr>
          <w:szCs w:val="24"/>
        </w:rPr>
        <w:t>o</w:t>
      </w:r>
      <w:r w:rsidRPr="00B7218F">
        <w:rPr>
          <w:szCs w:val="24"/>
        </w:rPr>
        <w:t xml:space="preserve"> zahájen</w:t>
      </w:r>
      <w:r>
        <w:rPr>
          <w:szCs w:val="24"/>
        </w:rPr>
        <w:t>o</w:t>
      </w:r>
      <w:r w:rsidRPr="00B7218F">
        <w:rPr>
          <w:szCs w:val="24"/>
        </w:rPr>
        <w:t xml:space="preserve"> v průběhu prosince 2006.</w:t>
      </w:r>
      <w:r w:rsidRPr="00B7218F">
        <w:rPr>
          <w:color w:val="000000"/>
          <w:szCs w:val="24"/>
        </w:rPr>
        <w:t xml:space="preserve"> </w:t>
      </w:r>
      <w:r w:rsidRPr="00B7218F">
        <w:rPr>
          <w:szCs w:val="24"/>
        </w:rPr>
        <w:t>Druhotné předzásobení představovalo u bankovek 0,9 % hodnoty celkových předzásobených částek a u mincí</w:t>
      </w:r>
      <w:r w:rsidRPr="00B7218F">
        <w:rPr>
          <w:color w:val="000000"/>
          <w:szCs w:val="24"/>
        </w:rPr>
        <w:t xml:space="preserve"> </w:t>
      </w:r>
      <w:r w:rsidRPr="00B7218F">
        <w:rPr>
          <w:szCs w:val="24"/>
        </w:rPr>
        <w:t>7,4 %.</w:t>
      </w:r>
      <w:r w:rsidRPr="00B7218F">
        <w:rPr>
          <w:color w:val="000000"/>
          <w:szCs w:val="24"/>
        </w:rPr>
        <w:t xml:space="preserve"> </w:t>
      </w:r>
      <w:r w:rsidRPr="00B7218F">
        <w:rPr>
          <w:szCs w:val="24"/>
        </w:rPr>
        <w:t xml:space="preserve">Do toho byly zahrnuty i tzv. startovací sady pro profesionální klienty v hodnotě 201 EUR a 450 000 </w:t>
      </w:r>
      <w:proofErr w:type="spellStart"/>
      <w:r w:rsidRPr="00B7218F">
        <w:rPr>
          <w:szCs w:val="24"/>
        </w:rPr>
        <w:t>minisad</w:t>
      </w:r>
      <w:proofErr w:type="spellEnd"/>
      <w:r w:rsidRPr="00B7218F">
        <w:rPr>
          <w:szCs w:val="24"/>
        </w:rPr>
        <w:t xml:space="preserve"> (každá v hodnotě 12,52 EUR), které obsahovaly jednu nebo více </w:t>
      </w:r>
      <w:proofErr w:type="spellStart"/>
      <w:proofErr w:type="gramStart"/>
      <w:r w:rsidRPr="00B7218F">
        <w:rPr>
          <w:szCs w:val="24"/>
        </w:rPr>
        <w:t>euromincí</w:t>
      </w:r>
      <w:proofErr w:type="spellEnd"/>
      <w:r w:rsidRPr="00B7218F">
        <w:rPr>
          <w:szCs w:val="24"/>
        </w:rPr>
        <w:t xml:space="preserve"> </w:t>
      </w:r>
      <w:r>
        <w:rPr>
          <w:szCs w:val="24"/>
        </w:rPr>
        <w:t xml:space="preserve">         </w:t>
      </w:r>
      <w:r w:rsidRPr="00B7218F">
        <w:rPr>
          <w:szCs w:val="24"/>
        </w:rPr>
        <w:t xml:space="preserve"> z každé</w:t>
      </w:r>
      <w:proofErr w:type="gramEnd"/>
      <w:r w:rsidRPr="00B7218F">
        <w:rPr>
          <w:szCs w:val="24"/>
        </w:rPr>
        <w:t xml:space="preserve"> hodnoty. Slovinsk</w:t>
      </w:r>
      <w:r>
        <w:rPr>
          <w:szCs w:val="24"/>
        </w:rPr>
        <w:t>é</w:t>
      </w:r>
      <w:r w:rsidRPr="00B7218F">
        <w:rPr>
          <w:szCs w:val="24"/>
        </w:rPr>
        <w:t xml:space="preserve"> banky zásobovaly sadami veřejnost od 15. prosince 2006. Tyto sady byly téměř vyprodány.</w:t>
      </w:r>
      <w:r w:rsidRPr="00B7218F">
        <w:rPr>
          <w:color w:val="000000"/>
          <w:szCs w:val="24"/>
        </w:rPr>
        <w:t xml:space="preserve"> </w:t>
      </w:r>
      <w:r w:rsidRPr="00B7218F">
        <w:rPr>
          <w:szCs w:val="24"/>
        </w:rPr>
        <w:t>Druhotné předzásobení bylo ve srovnání s přechodem k euru v roce 2002 poměrně skromné.</w:t>
      </w:r>
      <w:r w:rsidRPr="00B7218F">
        <w:rPr>
          <w:color w:val="000000"/>
          <w:szCs w:val="24"/>
        </w:rPr>
        <w:t xml:space="preserve"> </w:t>
      </w:r>
      <w:r w:rsidRPr="00B7218F">
        <w:rPr>
          <w:szCs w:val="24"/>
        </w:rPr>
        <w:t xml:space="preserve">Mnoho slovinských podniků i občanů však </w:t>
      </w:r>
      <w:proofErr w:type="spellStart"/>
      <w:r w:rsidRPr="00B7218F">
        <w:rPr>
          <w:szCs w:val="24"/>
        </w:rPr>
        <w:t>eurohotovost</w:t>
      </w:r>
      <w:proofErr w:type="spellEnd"/>
      <w:r w:rsidRPr="00B7218F">
        <w:rPr>
          <w:szCs w:val="24"/>
        </w:rPr>
        <w:t xml:space="preserve"> získalo, nebo ji již vlastnilo, z jiných zdrojů.</w:t>
      </w:r>
      <w:r w:rsidRPr="00B7218F">
        <w:rPr>
          <w:color w:val="000000"/>
          <w:szCs w:val="24"/>
        </w:rPr>
        <w:t xml:space="preserve"> </w:t>
      </w:r>
      <w:r>
        <w:rPr>
          <w:rStyle w:val="Znakapoznpodarou"/>
          <w:color w:val="000000"/>
          <w:szCs w:val="24"/>
        </w:rPr>
        <w:footnoteReference w:id="46"/>
      </w:r>
      <w:r>
        <w:rPr>
          <w:rStyle w:val="Znakapoznpodarou"/>
          <w:color w:val="000000"/>
          <w:szCs w:val="24"/>
        </w:rPr>
        <w:footnoteReference w:id="47"/>
      </w:r>
    </w:p>
    <w:p w:rsidR="00FD7B45" w:rsidRDefault="00FD7B45" w:rsidP="00A80382">
      <w:pPr>
        <w:rPr>
          <w:szCs w:val="24"/>
        </w:rPr>
      </w:pPr>
    </w:p>
    <w:p w:rsidR="00FD7B45" w:rsidRPr="00043751" w:rsidRDefault="00FD7B45" w:rsidP="00A80382">
      <w:pPr>
        <w:rPr>
          <w:szCs w:val="24"/>
        </w:rPr>
      </w:pPr>
    </w:p>
    <w:p w:rsidR="00FD7B45" w:rsidRPr="00B7218F" w:rsidRDefault="00FD7B45" w:rsidP="00A80382">
      <w:pPr>
        <w:pStyle w:val="Nadpis3"/>
        <w:spacing w:before="0"/>
      </w:pPr>
      <w:bookmarkStart w:id="40" w:name="_Toc281759163"/>
      <w:bookmarkStart w:id="41" w:name="_Toc282027364"/>
      <w:r w:rsidRPr="00B7218F">
        <w:t>2.1.4 Období používání dvojího oběživa</w:t>
      </w:r>
      <w:bookmarkEnd w:id="40"/>
      <w:bookmarkEnd w:id="41"/>
    </w:p>
    <w:p w:rsidR="00FD7B45" w:rsidRPr="00B7218F" w:rsidRDefault="00FD7B45" w:rsidP="00A80382">
      <w:pPr>
        <w:rPr>
          <w:szCs w:val="24"/>
        </w:rPr>
      </w:pPr>
    </w:p>
    <w:p w:rsidR="00FD7B45" w:rsidRDefault="00FD7B45" w:rsidP="00A80382">
      <w:pPr>
        <w:rPr>
          <w:szCs w:val="24"/>
        </w:rPr>
      </w:pPr>
      <w:r w:rsidRPr="00B7218F">
        <w:rPr>
          <w:szCs w:val="24"/>
        </w:rPr>
        <w:t xml:space="preserve">Slovinská vláda se rozhodla pro co nejkratší období používání dvojího oběživa, které bylo dva týdny, přičemž původní plán z ledna 2005 předpokládal v úvahu pouze jeden týden.     I tak toto období bylo podstatně kratší než při přijímání eura z roku 2002, které se lišilo podle jednotlivých zemí. Období zde často přesáhlo až dva měsíce. </w:t>
      </w:r>
    </w:p>
    <w:p w:rsidR="00FD7B45" w:rsidRPr="00B7218F" w:rsidRDefault="00FD7B45" w:rsidP="00A80382">
      <w:pPr>
        <w:rPr>
          <w:szCs w:val="24"/>
        </w:rPr>
      </w:pPr>
    </w:p>
    <w:p w:rsidR="00FD7B45" w:rsidRPr="00B7218F" w:rsidRDefault="00FD7B45" w:rsidP="00A80382">
      <w:pPr>
        <w:rPr>
          <w:szCs w:val="24"/>
        </w:rPr>
      </w:pPr>
      <w:r w:rsidRPr="00B7218F">
        <w:rPr>
          <w:szCs w:val="24"/>
        </w:rPr>
        <w:lastRenderedPageBreak/>
        <w:t>I když komerční banky byly otevřeny od 3. led</w:t>
      </w:r>
      <w:r>
        <w:rPr>
          <w:szCs w:val="24"/>
        </w:rPr>
        <w:t xml:space="preserve">na 2007, některé z nich otevřel </w:t>
      </w:r>
      <w:r w:rsidRPr="00B7218F">
        <w:rPr>
          <w:szCs w:val="24"/>
        </w:rPr>
        <w:t>1. a 2. ledna pár svých poboček pouze pro operace týkající se směny hotovosti (celkem 52 v celé zemi).</w:t>
      </w:r>
      <w:r w:rsidRPr="00B7218F">
        <w:rPr>
          <w:color w:val="000000"/>
          <w:szCs w:val="24"/>
        </w:rPr>
        <w:t xml:space="preserve"> </w:t>
      </w:r>
      <w:r w:rsidRPr="00B7218F">
        <w:rPr>
          <w:szCs w:val="24"/>
        </w:rPr>
        <w:t>Kromě toho Slovinská banka otevřela svou vlastní přepážku.</w:t>
      </w:r>
    </w:p>
    <w:p w:rsidR="00FD7B45" w:rsidRPr="00B7218F" w:rsidRDefault="00FD7B45" w:rsidP="00A80382">
      <w:pPr>
        <w:rPr>
          <w:szCs w:val="24"/>
        </w:rPr>
      </w:pPr>
    </w:p>
    <w:p w:rsidR="00FD7B45" w:rsidRDefault="00FD7B45" w:rsidP="00A80382">
      <w:pPr>
        <w:rPr>
          <w:szCs w:val="24"/>
        </w:rPr>
      </w:pPr>
      <w:r w:rsidRPr="00B7218F">
        <w:rPr>
          <w:szCs w:val="24"/>
        </w:rPr>
        <w:t xml:space="preserve">V problematice přechodu na euro v peněžních automatech proces postupoval velmi rychle. V zemi se v té době nacházelo na 1 500 peněžních automatů a dvě třetiny z nich byly připraveny vydávat </w:t>
      </w:r>
      <w:proofErr w:type="spellStart"/>
      <w:r w:rsidRPr="00B7218F">
        <w:rPr>
          <w:szCs w:val="24"/>
        </w:rPr>
        <w:t>eurobankovky</w:t>
      </w:r>
      <w:proofErr w:type="spellEnd"/>
      <w:r w:rsidRPr="00B7218F">
        <w:rPr>
          <w:szCs w:val="24"/>
        </w:rPr>
        <w:t xml:space="preserve"> 1. ledna 2007 ve čtyři hodiny ráno. </w:t>
      </w:r>
      <w:r>
        <w:rPr>
          <w:szCs w:val="24"/>
        </w:rPr>
        <w:t>V</w:t>
      </w:r>
      <w:r w:rsidRPr="00B7218F">
        <w:rPr>
          <w:szCs w:val="24"/>
        </w:rPr>
        <w:t xml:space="preserve">íce než </w:t>
      </w:r>
      <w:proofErr w:type="gramStart"/>
      <w:r w:rsidRPr="00B7218F">
        <w:rPr>
          <w:szCs w:val="24"/>
        </w:rPr>
        <w:t>93 %</w:t>
      </w:r>
      <w:r>
        <w:rPr>
          <w:szCs w:val="24"/>
        </w:rPr>
        <w:t xml:space="preserve">         </w:t>
      </w:r>
      <w:r w:rsidRPr="00B7218F">
        <w:rPr>
          <w:szCs w:val="24"/>
        </w:rPr>
        <w:t xml:space="preserve"> z nich</w:t>
      </w:r>
      <w:proofErr w:type="gramEnd"/>
      <w:r w:rsidRPr="00B7218F">
        <w:rPr>
          <w:szCs w:val="24"/>
        </w:rPr>
        <w:t xml:space="preserve"> plně fungovalo v eurech na konci téhož dne.</w:t>
      </w:r>
      <w:r w:rsidRPr="00B7218F">
        <w:rPr>
          <w:color w:val="000000"/>
          <w:szCs w:val="24"/>
        </w:rPr>
        <w:t xml:space="preserve"> </w:t>
      </w:r>
      <w:r w:rsidRPr="00B7218F">
        <w:rPr>
          <w:szCs w:val="24"/>
        </w:rPr>
        <w:t>Převod všech peněžních automatů na provoz v eurech byl plně dokončen 3. ledna.</w:t>
      </w:r>
      <w:r w:rsidRPr="00B7218F">
        <w:rPr>
          <w:color w:val="000000"/>
          <w:szCs w:val="24"/>
        </w:rPr>
        <w:t xml:space="preserve"> </w:t>
      </w:r>
      <w:r w:rsidRPr="00B7218F">
        <w:rPr>
          <w:szCs w:val="24"/>
        </w:rPr>
        <w:t>Rychlost převodu peněžních automatů na provoz v eurech zhruba odpovídal situaci v roce 2002</w:t>
      </w:r>
      <w:r>
        <w:rPr>
          <w:rStyle w:val="Znakapoznpodarou"/>
          <w:szCs w:val="24"/>
        </w:rPr>
        <w:footnoteReference w:id="48"/>
      </w:r>
      <w:r w:rsidRPr="00B7218F">
        <w:rPr>
          <w:szCs w:val="24"/>
        </w:rPr>
        <w:t>.</w:t>
      </w:r>
    </w:p>
    <w:p w:rsidR="00FD7B45" w:rsidRPr="00B7218F" w:rsidRDefault="00FD7B45" w:rsidP="00A80382">
      <w:pPr>
        <w:rPr>
          <w:szCs w:val="24"/>
        </w:rPr>
      </w:pPr>
    </w:p>
    <w:p w:rsidR="00FD7B45" w:rsidRDefault="00FD7B45" w:rsidP="00A80382">
      <w:pPr>
        <w:rPr>
          <w:color w:val="000000"/>
          <w:szCs w:val="24"/>
        </w:rPr>
      </w:pPr>
      <w:r w:rsidRPr="00B7218F">
        <w:rPr>
          <w:szCs w:val="24"/>
        </w:rPr>
        <w:t>Velmi překvapující byl</w:t>
      </w:r>
      <w:r>
        <w:rPr>
          <w:szCs w:val="24"/>
        </w:rPr>
        <w:t xml:space="preserve"> nízký počet transakcí prostřednictvím peněžních automatů provedený</w:t>
      </w:r>
      <w:r w:rsidRPr="00B7218F">
        <w:rPr>
          <w:szCs w:val="24"/>
        </w:rPr>
        <w:t xml:space="preserve"> v prvních lednových dnech roku 2007. Tento počet byl překvapivě hluboko pod průměrem denních objemů transakcí. Tato situace byla velmi odlišná od situace z první vlny přechodu k euru v roce 2002, kdy došlo k obrovskému nárůstu</w:t>
      </w:r>
      <w:r>
        <w:rPr>
          <w:szCs w:val="24"/>
        </w:rPr>
        <w:t xml:space="preserve"> v počtu</w:t>
      </w:r>
      <w:r w:rsidRPr="00B7218F">
        <w:rPr>
          <w:szCs w:val="24"/>
        </w:rPr>
        <w:t xml:space="preserve"> denních operací a objemu vybrané hotovosti, neboť občané používali peněžní automaty na získávání svých prvních </w:t>
      </w:r>
      <w:proofErr w:type="spellStart"/>
      <w:r w:rsidRPr="00B7218F">
        <w:rPr>
          <w:szCs w:val="24"/>
        </w:rPr>
        <w:t>eurobankovek</w:t>
      </w:r>
      <w:proofErr w:type="spellEnd"/>
      <w:r w:rsidRPr="00B7218F">
        <w:rPr>
          <w:szCs w:val="24"/>
        </w:rPr>
        <w:t>.</w:t>
      </w:r>
      <w:r w:rsidRPr="00B7218F">
        <w:rPr>
          <w:color w:val="000000"/>
          <w:szCs w:val="24"/>
        </w:rPr>
        <w:t xml:space="preserve"> </w:t>
      </w:r>
      <w:r w:rsidRPr="00B7218F">
        <w:rPr>
          <w:szCs w:val="24"/>
        </w:rPr>
        <w:t>Tento stav může být částečně vysvětlen zvědavostí, jak budou nové bankovky vypadat.</w:t>
      </w:r>
      <w:r w:rsidRPr="00B7218F">
        <w:rPr>
          <w:color w:val="000000"/>
          <w:szCs w:val="24"/>
        </w:rPr>
        <w:t xml:space="preserve"> Je nutné zmínit, že t</w:t>
      </w:r>
      <w:r w:rsidRPr="00B7218F">
        <w:rPr>
          <w:szCs w:val="24"/>
        </w:rPr>
        <w:t>ento prvek zvědavosti ve Slovins</w:t>
      </w:r>
      <w:r>
        <w:rPr>
          <w:szCs w:val="24"/>
        </w:rPr>
        <w:t>ku prakticky neexistoval, neboť</w:t>
      </w:r>
      <w:r w:rsidRPr="00B7218F">
        <w:rPr>
          <w:szCs w:val="24"/>
        </w:rPr>
        <w:t xml:space="preserve"> obyvatelstvo </w:t>
      </w:r>
      <w:proofErr w:type="spellStart"/>
      <w:r w:rsidRPr="00B7218F">
        <w:rPr>
          <w:szCs w:val="24"/>
        </w:rPr>
        <w:t>eurohotovost</w:t>
      </w:r>
      <w:proofErr w:type="spellEnd"/>
      <w:r w:rsidRPr="00B7218F">
        <w:rPr>
          <w:szCs w:val="24"/>
        </w:rPr>
        <w:t xml:space="preserve"> ve velké míře znalo dlouho předtím, než ji země přijala za své platidlo.</w:t>
      </w:r>
      <w:r w:rsidRPr="00B7218F">
        <w:rPr>
          <w:color w:val="000000"/>
          <w:szCs w:val="24"/>
        </w:rPr>
        <w:t xml:space="preserve"> </w:t>
      </w:r>
      <w:r w:rsidRPr="00B7218F">
        <w:rPr>
          <w:szCs w:val="24"/>
        </w:rPr>
        <w:t xml:space="preserve">Obecně nebylo pro občany ani podniky obtížné </w:t>
      </w:r>
      <w:proofErr w:type="spellStart"/>
      <w:r w:rsidRPr="00B7218F">
        <w:rPr>
          <w:szCs w:val="24"/>
        </w:rPr>
        <w:t>eurohotovost</w:t>
      </w:r>
      <w:proofErr w:type="spellEnd"/>
      <w:r w:rsidRPr="00B7218F">
        <w:rPr>
          <w:szCs w:val="24"/>
        </w:rPr>
        <w:t xml:space="preserve"> získat už dlouho před dnem zavedení eura.</w:t>
      </w:r>
      <w:r w:rsidRPr="00B7218F">
        <w:rPr>
          <w:color w:val="000000"/>
          <w:szCs w:val="24"/>
        </w:rPr>
        <w:t xml:space="preserve"> </w:t>
      </w:r>
      <w:r>
        <w:rPr>
          <w:rStyle w:val="Znakapoznpodarou"/>
          <w:color w:val="000000"/>
          <w:szCs w:val="24"/>
        </w:rPr>
        <w:footnoteReference w:id="49"/>
      </w:r>
    </w:p>
    <w:p w:rsidR="00FD7B45" w:rsidRPr="00B7218F" w:rsidRDefault="00FD7B45" w:rsidP="00A80382">
      <w:pPr>
        <w:rPr>
          <w:color w:val="000000"/>
          <w:szCs w:val="24"/>
        </w:rPr>
      </w:pPr>
    </w:p>
    <w:p w:rsidR="00FD7B45" w:rsidRPr="00B7218F" w:rsidRDefault="00FD7B45" w:rsidP="00A80382">
      <w:pPr>
        <w:rPr>
          <w:szCs w:val="24"/>
        </w:rPr>
      </w:pPr>
      <w:r w:rsidRPr="00B7218F">
        <w:rPr>
          <w:szCs w:val="24"/>
        </w:rPr>
        <w:t>V platební síti terminálů na prodejních místech byl přechod k euru dokončen v brzkých ranních hodinách 1. ledna 2007.</w:t>
      </w:r>
      <w:r w:rsidRPr="00B7218F">
        <w:rPr>
          <w:color w:val="000000"/>
          <w:szCs w:val="24"/>
        </w:rPr>
        <w:t xml:space="preserve"> </w:t>
      </w:r>
      <w:r w:rsidRPr="00B7218F">
        <w:rPr>
          <w:szCs w:val="24"/>
        </w:rPr>
        <w:t xml:space="preserve">Počet operací na prodejních místech se od 3. </w:t>
      </w:r>
      <w:r>
        <w:rPr>
          <w:szCs w:val="24"/>
        </w:rPr>
        <w:t>l</w:t>
      </w:r>
      <w:r w:rsidRPr="00B7218F">
        <w:rPr>
          <w:szCs w:val="24"/>
        </w:rPr>
        <w:t>edna</w:t>
      </w:r>
      <w:r>
        <w:rPr>
          <w:szCs w:val="24"/>
        </w:rPr>
        <w:t xml:space="preserve"> 2007</w:t>
      </w:r>
      <w:r w:rsidRPr="00B7218F">
        <w:rPr>
          <w:szCs w:val="24"/>
        </w:rPr>
        <w:t xml:space="preserve">, kdy se otevřely obchody, do 6. ledna </w:t>
      </w:r>
      <w:r>
        <w:rPr>
          <w:szCs w:val="24"/>
        </w:rPr>
        <w:t xml:space="preserve">2007 </w:t>
      </w:r>
      <w:r w:rsidRPr="00B7218F">
        <w:rPr>
          <w:szCs w:val="24"/>
        </w:rPr>
        <w:t xml:space="preserve">rychle dostal na normální úroveň. </w:t>
      </w:r>
    </w:p>
    <w:p w:rsidR="00FD7B45" w:rsidRPr="00B7218F" w:rsidRDefault="00FD7B45" w:rsidP="00A80382">
      <w:pPr>
        <w:rPr>
          <w:szCs w:val="24"/>
        </w:rPr>
      </w:pPr>
    </w:p>
    <w:p w:rsidR="00FD7B45" w:rsidRPr="00B7218F" w:rsidRDefault="00FD7B45" w:rsidP="00A80382">
      <w:pPr>
        <w:rPr>
          <w:szCs w:val="24"/>
        </w:rPr>
      </w:pPr>
      <w:r w:rsidRPr="00B7218F">
        <w:rPr>
          <w:szCs w:val="24"/>
        </w:rPr>
        <w:t>Přechod Slovinska k euru dokazuje technickou proveditelnost v případě krátkého období používání oběživa. V tomto případě s</w:t>
      </w:r>
      <w:r>
        <w:rPr>
          <w:szCs w:val="24"/>
        </w:rPr>
        <w:t>e jednalo o dvoutýdenní období. Tento postup minimálně</w:t>
      </w:r>
      <w:r w:rsidRPr="00B7218F">
        <w:rPr>
          <w:szCs w:val="24"/>
        </w:rPr>
        <w:t xml:space="preserve"> zatěžuje maloobchodníky </w:t>
      </w:r>
      <w:r>
        <w:rPr>
          <w:szCs w:val="24"/>
        </w:rPr>
        <w:t>i ostatní</w:t>
      </w:r>
      <w:r w:rsidRPr="00B7218F">
        <w:rPr>
          <w:szCs w:val="24"/>
        </w:rPr>
        <w:t xml:space="preserve"> podniky. </w:t>
      </w:r>
    </w:p>
    <w:p w:rsidR="00FD7B45" w:rsidRPr="00B7218F" w:rsidRDefault="00FD7B45" w:rsidP="00A80382">
      <w:pPr>
        <w:pStyle w:val="Nadpis3"/>
        <w:spacing w:before="0"/>
      </w:pPr>
      <w:bookmarkStart w:id="42" w:name="_Toc281759164"/>
      <w:bookmarkStart w:id="43" w:name="_Toc282027365"/>
      <w:r w:rsidRPr="00B7218F">
        <w:lastRenderedPageBreak/>
        <w:t>2.1.5 Rychlé vracení národní měny</w:t>
      </w:r>
      <w:bookmarkEnd w:id="42"/>
      <w:bookmarkEnd w:id="43"/>
    </w:p>
    <w:p w:rsidR="00FD7B45" w:rsidRPr="00B7218F" w:rsidRDefault="00FD7B45" w:rsidP="00A80382">
      <w:pPr>
        <w:rPr>
          <w:szCs w:val="24"/>
        </w:rPr>
      </w:pPr>
    </w:p>
    <w:p w:rsidR="00FD7B45" w:rsidRPr="00B7218F" w:rsidRDefault="00FD7B45" w:rsidP="00A80382">
      <w:pPr>
        <w:rPr>
          <w:szCs w:val="24"/>
        </w:rPr>
      </w:pPr>
      <w:r w:rsidRPr="00B7218F">
        <w:rPr>
          <w:szCs w:val="24"/>
        </w:rPr>
        <w:t>Proces vracení hotovosti v tolarech začal na přelomu listopadu a prosince 2006. Některé banky svým zákazníkům nabízely od 1. prosince 2006 uložení eurohotovosti na jejich bankovní účty podle přepočítacího koeficientu a bez poplatků.</w:t>
      </w:r>
      <w:r w:rsidRPr="00B7218F">
        <w:rPr>
          <w:color w:val="000000"/>
          <w:szCs w:val="24"/>
        </w:rPr>
        <w:t xml:space="preserve"> Ke d</w:t>
      </w:r>
      <w:r w:rsidRPr="00B7218F">
        <w:rPr>
          <w:szCs w:val="24"/>
        </w:rPr>
        <w:t>ni 1. ledna 2007 bylo vráceno téměř 28 % celkové zbývají</w:t>
      </w:r>
      <w:r>
        <w:rPr>
          <w:szCs w:val="24"/>
        </w:rPr>
        <w:t xml:space="preserve">cí hodnoty tolarových bankovek. </w:t>
      </w:r>
      <w:r w:rsidRPr="00B7218F">
        <w:rPr>
          <w:szCs w:val="24"/>
        </w:rPr>
        <w:t>Co se týká</w:t>
      </w:r>
      <w:r>
        <w:rPr>
          <w:color w:val="000000"/>
          <w:szCs w:val="24"/>
        </w:rPr>
        <w:t xml:space="preserve"> </w:t>
      </w:r>
      <w:r w:rsidRPr="00B7218F">
        <w:rPr>
          <w:szCs w:val="24"/>
        </w:rPr>
        <w:t>navrácených tolarových mincí, tak jejich navrácená hodnota byla ve srovnání s jejich celkovou hodnotou v oběhu stále zanedbatelná.</w:t>
      </w:r>
    </w:p>
    <w:p w:rsidR="00FD7B45" w:rsidRPr="00B7218F" w:rsidRDefault="00FD7B45" w:rsidP="00A80382">
      <w:pPr>
        <w:rPr>
          <w:szCs w:val="24"/>
        </w:rPr>
      </w:pPr>
    </w:p>
    <w:p w:rsidR="00FD7B45" w:rsidRPr="00B7218F" w:rsidRDefault="00FD7B45" w:rsidP="00A80382">
      <w:pPr>
        <w:rPr>
          <w:szCs w:val="24"/>
        </w:rPr>
      </w:pPr>
      <w:r w:rsidRPr="00B7218F">
        <w:rPr>
          <w:szCs w:val="24"/>
        </w:rPr>
        <w:t>Vracení národní měny pokračovalo ustáleným tempem. Více než polovina zbývající hodnoty tolarových bankovek byla vrácena již 4. ledna 2007 a více než 80 % 11. ledna 2007.</w:t>
      </w:r>
      <w:r w:rsidRPr="00B7218F">
        <w:rPr>
          <w:color w:val="000000"/>
          <w:szCs w:val="24"/>
        </w:rPr>
        <w:t xml:space="preserve"> </w:t>
      </w:r>
      <w:r w:rsidRPr="00B7218F">
        <w:rPr>
          <w:szCs w:val="24"/>
        </w:rPr>
        <w:t>Na konci ledna zůstalo v oběhu pouze 8,5 % tolarových bankovek</w:t>
      </w:r>
      <w:r>
        <w:rPr>
          <w:rStyle w:val="Znakapoznpodarou"/>
          <w:szCs w:val="24"/>
        </w:rPr>
        <w:footnoteReference w:id="50"/>
      </w:r>
      <w:r w:rsidRPr="00B7218F">
        <w:rPr>
          <w:szCs w:val="24"/>
        </w:rPr>
        <w:t>.</w:t>
      </w:r>
      <w:r w:rsidRPr="00B7218F">
        <w:rPr>
          <w:color w:val="000000"/>
          <w:szCs w:val="24"/>
        </w:rPr>
        <w:t xml:space="preserve"> Při p</w:t>
      </w:r>
      <w:r w:rsidRPr="00B7218F">
        <w:rPr>
          <w:szCs w:val="24"/>
        </w:rPr>
        <w:t>orovnání se situací v eurozóně z roku 2002 byla situace</w:t>
      </w:r>
      <w:r>
        <w:rPr>
          <w:szCs w:val="24"/>
        </w:rPr>
        <w:t xml:space="preserve"> ve Slovinsku</w:t>
      </w:r>
      <w:r w:rsidRPr="00B7218F">
        <w:rPr>
          <w:szCs w:val="24"/>
        </w:rPr>
        <w:t xml:space="preserve"> velmi příznivá, neboť tehdy bylo do poloviny ledna vráceno pouze 40 % bankovek národní měny a do konce </w:t>
      </w:r>
      <w:proofErr w:type="gramStart"/>
      <w:r w:rsidRPr="00B7218F">
        <w:rPr>
          <w:szCs w:val="24"/>
        </w:rPr>
        <w:t>ledna</w:t>
      </w:r>
      <w:r>
        <w:rPr>
          <w:szCs w:val="24"/>
        </w:rPr>
        <w:t xml:space="preserve">       </w:t>
      </w:r>
      <w:r w:rsidRPr="00B7218F">
        <w:rPr>
          <w:szCs w:val="24"/>
        </w:rPr>
        <w:t xml:space="preserve"> 70</w:t>
      </w:r>
      <w:proofErr w:type="gramEnd"/>
      <w:r w:rsidRPr="00B7218F">
        <w:rPr>
          <w:szCs w:val="24"/>
        </w:rPr>
        <w:t xml:space="preserve"> %.</w:t>
      </w:r>
      <w:r w:rsidRPr="00B7218F">
        <w:rPr>
          <w:color w:val="000000"/>
          <w:szCs w:val="24"/>
        </w:rPr>
        <w:t xml:space="preserve"> U tolarových mincí bylo v</w:t>
      </w:r>
      <w:r w:rsidRPr="00B7218F">
        <w:rPr>
          <w:szCs w:val="24"/>
        </w:rPr>
        <w:t>racení pozvolnější, neboť na konci ledna jich bylo v oběhu stále velké množství, a to 71,5 % z celkové hodnoty</w:t>
      </w:r>
      <w:r>
        <w:rPr>
          <w:rStyle w:val="Znakapoznpodarou"/>
          <w:szCs w:val="24"/>
        </w:rPr>
        <w:footnoteReference w:id="51"/>
      </w:r>
      <w:r w:rsidRPr="00B7218F">
        <w:rPr>
          <w:szCs w:val="24"/>
        </w:rPr>
        <w:t xml:space="preserve">. </w:t>
      </w:r>
    </w:p>
    <w:p w:rsidR="00FD7B45" w:rsidRPr="00B7218F" w:rsidRDefault="00FD7B45" w:rsidP="00A80382">
      <w:pPr>
        <w:rPr>
          <w:szCs w:val="24"/>
        </w:rPr>
      </w:pPr>
    </w:p>
    <w:p w:rsidR="00FD7B45" w:rsidRPr="00B7218F" w:rsidRDefault="00FD7B45" w:rsidP="00A80382">
      <w:pPr>
        <w:rPr>
          <w:szCs w:val="24"/>
        </w:rPr>
      </w:pPr>
    </w:p>
    <w:p w:rsidR="00FD7B45" w:rsidRPr="00B7218F" w:rsidRDefault="00FD7B45" w:rsidP="00A80382">
      <w:pPr>
        <w:pStyle w:val="Nadpis2"/>
        <w:spacing w:before="0"/>
      </w:pPr>
      <w:bookmarkStart w:id="44" w:name="_Toc281759165"/>
      <w:bookmarkStart w:id="45" w:name="_Toc282027366"/>
      <w:r w:rsidRPr="00B7218F">
        <w:t>2.2 Převod finančních administrativních systémů</w:t>
      </w:r>
      <w:bookmarkEnd w:id="44"/>
      <w:bookmarkEnd w:id="45"/>
    </w:p>
    <w:p w:rsidR="00FD7B45" w:rsidRPr="00B7218F" w:rsidRDefault="00FD7B45" w:rsidP="00A80382">
      <w:pPr>
        <w:pStyle w:val="Odstavecseseznamem"/>
        <w:ind w:left="450"/>
      </w:pPr>
    </w:p>
    <w:p w:rsidR="00FD7B45" w:rsidRPr="00B7218F" w:rsidRDefault="00FD7B45" w:rsidP="00A80382">
      <w:pPr>
        <w:pStyle w:val="Odstavecseseznamem"/>
        <w:ind w:left="450"/>
      </w:pPr>
    </w:p>
    <w:p w:rsidR="00FD7B45" w:rsidRPr="00B7218F" w:rsidRDefault="00FD7B45" w:rsidP="00A80382">
      <w:pPr>
        <w:rPr>
          <w:szCs w:val="24"/>
        </w:rPr>
      </w:pPr>
      <w:r w:rsidRPr="00B7218F">
        <w:rPr>
          <w:szCs w:val="24"/>
        </w:rPr>
        <w:t>Zhruba 2,3 miliónu bankovních účtů soukromých a právnických osob bylo úspěšně převedeno na eura.</w:t>
      </w:r>
      <w:r w:rsidRPr="00B7218F">
        <w:rPr>
          <w:color w:val="000000"/>
          <w:szCs w:val="24"/>
        </w:rPr>
        <w:t xml:space="preserve"> </w:t>
      </w:r>
      <w:r w:rsidRPr="00B7218F">
        <w:rPr>
          <w:szCs w:val="24"/>
        </w:rPr>
        <w:t>Během prvních lednových dní daleko více lidí než obvykle kontrolovalo stav svého účtu v eurech prostřednictvím peněžních automatů.</w:t>
      </w:r>
      <w:r w:rsidRPr="00B7218F">
        <w:rPr>
          <w:color w:val="000000"/>
          <w:szCs w:val="24"/>
        </w:rPr>
        <w:t xml:space="preserve"> </w:t>
      </w:r>
    </w:p>
    <w:p w:rsidR="00FD7B45" w:rsidRPr="00B7218F" w:rsidRDefault="00FD7B45" w:rsidP="00A80382">
      <w:pPr>
        <w:rPr>
          <w:szCs w:val="24"/>
        </w:rPr>
      </w:pPr>
    </w:p>
    <w:p w:rsidR="00FD7B45" w:rsidRPr="00B7218F" w:rsidRDefault="00FD7B45" w:rsidP="00A80382">
      <w:pPr>
        <w:rPr>
          <w:szCs w:val="24"/>
        </w:rPr>
      </w:pPr>
      <w:r w:rsidRPr="00B7218F">
        <w:rPr>
          <w:szCs w:val="24"/>
        </w:rPr>
        <w:t>Během první vlny rozšiřování</w:t>
      </w:r>
      <w:r>
        <w:rPr>
          <w:szCs w:val="24"/>
        </w:rPr>
        <w:t xml:space="preserve"> jednotné měny v roce 2002</w:t>
      </w:r>
      <w:r w:rsidRPr="00B7218F">
        <w:rPr>
          <w:szCs w:val="24"/>
        </w:rPr>
        <w:t xml:space="preserve"> byl u převodu administrativních, finančních, účetních</w:t>
      </w:r>
      <w:r>
        <w:rPr>
          <w:szCs w:val="24"/>
        </w:rPr>
        <w:t xml:space="preserve"> </w:t>
      </w:r>
      <w:r w:rsidRPr="00B7218F">
        <w:rPr>
          <w:szCs w:val="24"/>
        </w:rPr>
        <w:t xml:space="preserve">a </w:t>
      </w:r>
      <w:r>
        <w:rPr>
          <w:szCs w:val="24"/>
        </w:rPr>
        <w:t>ostatních</w:t>
      </w:r>
      <w:r w:rsidRPr="00B7218F">
        <w:rPr>
          <w:szCs w:val="24"/>
        </w:rPr>
        <w:t xml:space="preserve"> systémů použit madridský scénář, který nebyl tak náročný jako scénář velkého třesku. Většina orgánů veřejné správy a soukromých společností </w:t>
      </w:r>
      <w:r w:rsidRPr="00B7218F">
        <w:rPr>
          <w:szCs w:val="24"/>
        </w:rPr>
        <w:lastRenderedPageBreak/>
        <w:t>z první vlny rozšiřování využila na převedení svých systémů na eura tříletého přechodného období mimo Řecka, které využilo pouze jednoleté období.</w:t>
      </w:r>
      <w:r w:rsidRPr="00B7218F">
        <w:rPr>
          <w:color w:val="000000"/>
          <w:szCs w:val="24"/>
        </w:rPr>
        <w:t xml:space="preserve"> Slovinská státní správa včetně podniků tuto možnost neměla, jelikož postupovala podle scénáře velkého třesku, který přechodné období neumožňuje. Díky tomu musely instituce fungovat do </w:t>
      </w:r>
      <w:proofErr w:type="gramStart"/>
      <w:r w:rsidRPr="00B7218F">
        <w:rPr>
          <w:color w:val="000000"/>
          <w:szCs w:val="24"/>
        </w:rPr>
        <w:t>31.12.2006</w:t>
      </w:r>
      <w:proofErr w:type="gramEnd"/>
      <w:r w:rsidRPr="00B7218F">
        <w:rPr>
          <w:color w:val="000000"/>
          <w:szCs w:val="24"/>
        </w:rPr>
        <w:t xml:space="preserve"> ve slovinských tolarech a od 1.1.2007 musely veškeré své systémy převést na euro. </w:t>
      </w:r>
      <w:r w:rsidRPr="00B7218F">
        <w:rPr>
          <w:szCs w:val="24"/>
        </w:rPr>
        <w:t>Slovinské společnosti a veřejná správa to díky přiměřené a včasné přípravě úspěšně zvládly</w:t>
      </w:r>
      <w:r>
        <w:rPr>
          <w:rStyle w:val="Znakapoznpodarou"/>
          <w:szCs w:val="24"/>
        </w:rPr>
        <w:footnoteReference w:id="52"/>
      </w:r>
      <w:r w:rsidRPr="00B7218F">
        <w:rPr>
          <w:szCs w:val="24"/>
        </w:rPr>
        <w:t xml:space="preserve">. </w:t>
      </w:r>
    </w:p>
    <w:p w:rsidR="00FD7B45" w:rsidRPr="00B7218F" w:rsidRDefault="00FD7B45" w:rsidP="00A80382">
      <w:pPr>
        <w:rPr>
          <w:szCs w:val="24"/>
        </w:rPr>
      </w:pPr>
    </w:p>
    <w:p w:rsidR="00FD7B45" w:rsidRPr="00B7218F" w:rsidRDefault="00FD7B45" w:rsidP="00A80382">
      <w:pPr>
        <w:rPr>
          <w:color w:val="000000"/>
          <w:szCs w:val="24"/>
        </w:rPr>
      </w:pPr>
      <w:r w:rsidRPr="00B7218F">
        <w:rPr>
          <w:szCs w:val="24"/>
        </w:rPr>
        <w:t>Podle informací shromážděných v únoru 2007</w:t>
      </w:r>
      <w:r w:rsidRPr="00B7218F">
        <w:rPr>
          <w:rStyle w:val="Znakapoznpodarou"/>
          <w:szCs w:val="24"/>
        </w:rPr>
        <w:footnoteReference w:id="53"/>
      </w:r>
      <w:r w:rsidRPr="00B7218F">
        <w:rPr>
          <w:szCs w:val="24"/>
        </w:rPr>
        <w:t xml:space="preserve"> ve </w:t>
      </w:r>
      <w:proofErr w:type="spellStart"/>
      <w:r w:rsidRPr="00B7218F">
        <w:rPr>
          <w:szCs w:val="24"/>
        </w:rPr>
        <w:t>Flash</w:t>
      </w:r>
      <w:proofErr w:type="spellEnd"/>
      <w:r w:rsidRPr="00B7218F">
        <w:rPr>
          <w:szCs w:val="24"/>
        </w:rPr>
        <w:t xml:space="preserve"> </w:t>
      </w:r>
      <w:proofErr w:type="spellStart"/>
      <w:r w:rsidRPr="00B7218F">
        <w:rPr>
          <w:szCs w:val="24"/>
        </w:rPr>
        <w:t>Eurobarometru</w:t>
      </w:r>
      <w:proofErr w:type="spellEnd"/>
      <w:r w:rsidRPr="00B7218F">
        <w:rPr>
          <w:szCs w:val="24"/>
        </w:rPr>
        <w:t xml:space="preserve"> č. </w:t>
      </w:r>
      <w:proofErr w:type="spellStart"/>
      <w:r w:rsidRPr="00B7218F">
        <w:rPr>
          <w:szCs w:val="24"/>
        </w:rPr>
        <w:t>201a</w:t>
      </w:r>
      <w:proofErr w:type="spellEnd"/>
      <w:r w:rsidRPr="00B7218F">
        <w:rPr>
          <w:szCs w:val="24"/>
        </w:rPr>
        <w:t xml:space="preserve"> zahájilo 31 % slovinských společností přípravu v první polovině roku 2006 nebo dříve a 64 % po červnu 2006. Více než 94 % slovinských podniků potvrdilo, že jejich účetní, fakturační a mzdové systémy byly 1. ledna 2007 na přechod k euru plně připraveny.</w:t>
      </w:r>
      <w:r w:rsidRPr="00B7218F">
        <w:rPr>
          <w:color w:val="000000"/>
          <w:szCs w:val="24"/>
        </w:rPr>
        <w:t xml:space="preserve"> </w:t>
      </w:r>
      <w:r w:rsidRPr="00B7218F">
        <w:rPr>
          <w:szCs w:val="24"/>
        </w:rPr>
        <w:t>Nebyly zaznamenány žádné zvláštní problémy.</w:t>
      </w:r>
      <w:r w:rsidRPr="00B7218F">
        <w:rPr>
          <w:color w:val="000000"/>
          <w:szCs w:val="24"/>
        </w:rPr>
        <w:t xml:space="preserve"> </w:t>
      </w:r>
    </w:p>
    <w:p w:rsidR="00FD7B45" w:rsidRPr="00B7218F" w:rsidRDefault="00FD7B45" w:rsidP="00A80382">
      <w:pPr>
        <w:rPr>
          <w:color w:val="FFFFFF"/>
          <w:szCs w:val="24"/>
        </w:rPr>
      </w:pPr>
      <w:r w:rsidRPr="00B7218F">
        <w:rPr>
          <w:color w:val="FFFFFF"/>
          <w:szCs w:val="24"/>
        </w:rPr>
        <w:t>.</w:t>
      </w:r>
    </w:p>
    <w:p w:rsidR="00FD7B45" w:rsidRDefault="00FD7B45" w:rsidP="00A80382">
      <w:pPr>
        <w:rPr>
          <w:color w:val="000000"/>
          <w:szCs w:val="24"/>
        </w:rPr>
      </w:pPr>
      <w:r w:rsidRPr="00B7218F">
        <w:rPr>
          <w:szCs w:val="24"/>
        </w:rPr>
        <w:t>Slovinský přechod k euru ukázal, že pro menší země je výhodné postupovat podle scénáře velkého třesku. Tento scénář je vhodný</w:t>
      </w:r>
      <w:r>
        <w:rPr>
          <w:szCs w:val="24"/>
        </w:rPr>
        <w:t xml:space="preserve"> i</w:t>
      </w:r>
      <w:r w:rsidRPr="00B7218F">
        <w:rPr>
          <w:szCs w:val="24"/>
        </w:rPr>
        <w:t xml:space="preserve"> pro všechny nové příchozí země, jelikož </w:t>
      </w:r>
      <w:proofErr w:type="spellStart"/>
      <w:r w:rsidRPr="00B7218F">
        <w:rPr>
          <w:szCs w:val="24"/>
        </w:rPr>
        <w:t>eurohotovost</w:t>
      </w:r>
      <w:proofErr w:type="spellEnd"/>
      <w:r w:rsidRPr="00B7218F">
        <w:rPr>
          <w:szCs w:val="24"/>
        </w:rPr>
        <w:t xml:space="preserve"> je v oběhu již od první vlny rozšiřování</w:t>
      </w:r>
      <w:r>
        <w:rPr>
          <w:szCs w:val="24"/>
        </w:rPr>
        <w:t>.</w:t>
      </w:r>
      <w:r w:rsidRPr="00B7218F">
        <w:rPr>
          <w:szCs w:val="24"/>
        </w:rPr>
        <w:t xml:space="preserve"> </w:t>
      </w:r>
      <w:r>
        <w:rPr>
          <w:szCs w:val="24"/>
        </w:rPr>
        <w:t xml:space="preserve">Současně </w:t>
      </w:r>
      <w:r w:rsidRPr="00B7218F">
        <w:rPr>
          <w:szCs w:val="24"/>
        </w:rPr>
        <w:t>se potvrdila výhoda toho</w:t>
      </w:r>
      <w:r>
        <w:rPr>
          <w:szCs w:val="24"/>
        </w:rPr>
        <w:t>to</w:t>
      </w:r>
      <w:r w:rsidRPr="00B7218F">
        <w:rPr>
          <w:szCs w:val="24"/>
        </w:rPr>
        <w:t xml:space="preserve"> scénáře v jeho jednoduchosti v oblasti komunikace a informací</w:t>
      </w:r>
      <w:r w:rsidRPr="00B7218F">
        <w:rPr>
          <w:color w:val="000000"/>
          <w:szCs w:val="24"/>
        </w:rPr>
        <w:t>.</w:t>
      </w:r>
    </w:p>
    <w:p w:rsidR="00FD7B45" w:rsidRDefault="00FD7B45" w:rsidP="00A80382">
      <w:pPr>
        <w:rPr>
          <w:szCs w:val="24"/>
        </w:rPr>
      </w:pPr>
    </w:p>
    <w:p w:rsidR="00FD7B45" w:rsidRPr="00B7218F" w:rsidRDefault="00FD7B45" w:rsidP="00A80382">
      <w:pPr>
        <w:rPr>
          <w:szCs w:val="24"/>
        </w:rPr>
      </w:pPr>
    </w:p>
    <w:p w:rsidR="00FD7B45" w:rsidRPr="00B7218F" w:rsidRDefault="00FD7B45" w:rsidP="00A80382">
      <w:pPr>
        <w:pStyle w:val="Nadpis2"/>
        <w:spacing w:before="0"/>
      </w:pPr>
      <w:bookmarkStart w:id="46" w:name="_Toc281759166"/>
      <w:bookmarkStart w:id="47" w:name="_Toc282027367"/>
      <w:r w:rsidRPr="00B7218F">
        <w:t>2.3 Vývoj cen</w:t>
      </w:r>
      <w:bookmarkEnd w:id="46"/>
      <w:bookmarkEnd w:id="47"/>
    </w:p>
    <w:p w:rsidR="00FD7B45" w:rsidRDefault="00FD7B45" w:rsidP="00A80382"/>
    <w:p w:rsidR="00FD7B45" w:rsidRPr="00B7218F" w:rsidRDefault="00FD7B45" w:rsidP="00A80382"/>
    <w:p w:rsidR="00FD7B45" w:rsidRPr="00B7218F" w:rsidRDefault="00FD7B45" w:rsidP="00A80382">
      <w:pPr>
        <w:pStyle w:val="Nadpis3"/>
        <w:spacing w:before="0"/>
      </w:pPr>
      <w:bookmarkStart w:id="48" w:name="_Toc281759167"/>
      <w:bookmarkStart w:id="49" w:name="_Toc282027368"/>
      <w:r w:rsidRPr="00B7218F">
        <w:t>2.3.1 Sledování cen během přechodu</w:t>
      </w:r>
      <w:bookmarkEnd w:id="48"/>
      <w:bookmarkEnd w:id="49"/>
    </w:p>
    <w:p w:rsidR="00FD7B45" w:rsidRPr="00B7218F" w:rsidRDefault="00FD7B45" w:rsidP="00A80382">
      <w:pPr>
        <w:rPr>
          <w:szCs w:val="24"/>
        </w:rPr>
      </w:pPr>
    </w:p>
    <w:p w:rsidR="00FD7B45" w:rsidRPr="00B7218F" w:rsidRDefault="00FD7B45" w:rsidP="00A80382">
      <w:pPr>
        <w:rPr>
          <w:szCs w:val="24"/>
        </w:rPr>
      </w:pPr>
      <w:r w:rsidRPr="00B7218F">
        <w:rPr>
          <w:szCs w:val="24"/>
        </w:rPr>
        <w:t>Uvádění cen v obou měnách začalo být realizováno v březnu 2006 a podle zákona praxe pokračovala až do poloviny roku 2007. Ceny byly monitorovány sdružením</w:t>
      </w:r>
      <w:r w:rsidRPr="00B7218F">
        <w:rPr>
          <w:color w:val="000000"/>
          <w:szCs w:val="24"/>
        </w:rPr>
        <w:t xml:space="preserve"> </w:t>
      </w:r>
      <w:r w:rsidRPr="00B7218F">
        <w:rPr>
          <w:szCs w:val="24"/>
        </w:rPr>
        <w:t xml:space="preserve">spotřebitelů, které využívalo i informací od spotřebitelů. Sdružení bylo veřejností </w:t>
      </w:r>
      <w:proofErr w:type="gramStart"/>
      <w:r w:rsidRPr="00B7218F">
        <w:rPr>
          <w:szCs w:val="24"/>
        </w:rPr>
        <w:t xml:space="preserve">informováno </w:t>
      </w:r>
      <w:r>
        <w:rPr>
          <w:szCs w:val="24"/>
        </w:rPr>
        <w:t xml:space="preserve">             </w:t>
      </w:r>
      <w:r w:rsidRPr="00B7218F">
        <w:rPr>
          <w:szCs w:val="24"/>
        </w:rPr>
        <w:t>o výrazném</w:t>
      </w:r>
      <w:proofErr w:type="gramEnd"/>
      <w:r w:rsidRPr="00B7218F">
        <w:rPr>
          <w:szCs w:val="24"/>
        </w:rPr>
        <w:t xml:space="preserve"> nárůstu cen, a to na základě porovnání starých účtů a faktur (v tolarech) </w:t>
      </w:r>
      <w:r w:rsidRPr="00B7218F">
        <w:rPr>
          <w:szCs w:val="24"/>
        </w:rPr>
        <w:lastRenderedPageBreak/>
        <w:t>s novými (v eurech).</w:t>
      </w:r>
      <w:r w:rsidRPr="00B7218F">
        <w:rPr>
          <w:color w:val="000000"/>
          <w:szCs w:val="24"/>
        </w:rPr>
        <w:t xml:space="preserve"> </w:t>
      </w:r>
      <w:r>
        <w:rPr>
          <w:szCs w:val="24"/>
        </w:rPr>
        <w:t>Z</w:t>
      </w:r>
      <w:r w:rsidRPr="00B7218F">
        <w:rPr>
          <w:szCs w:val="24"/>
        </w:rPr>
        <w:t>ásadní nárůsty cen, které byly po ověření potvrzeny, se pravidelně oznámily veřejnosti.</w:t>
      </w:r>
      <w:r w:rsidRPr="00B7218F">
        <w:rPr>
          <w:color w:val="000000"/>
          <w:szCs w:val="24"/>
        </w:rPr>
        <w:t xml:space="preserve"> </w:t>
      </w:r>
      <w:r w:rsidRPr="00B7218F">
        <w:rPr>
          <w:szCs w:val="24"/>
        </w:rPr>
        <w:t>Takové poskytování informací spotřebitelům pomáhalo okamžitě zaznamenat nárůst cen, což přispívalo k omezení možných zneužití.</w:t>
      </w:r>
      <w:r w:rsidRPr="00B7218F">
        <w:rPr>
          <w:color w:val="000000"/>
          <w:szCs w:val="24"/>
        </w:rPr>
        <w:t xml:space="preserve"> </w:t>
      </w:r>
    </w:p>
    <w:p w:rsidR="00FD7B45" w:rsidRPr="00B7218F" w:rsidRDefault="00FD7B45" w:rsidP="00A80382">
      <w:pPr>
        <w:rPr>
          <w:szCs w:val="24"/>
        </w:rPr>
      </w:pPr>
    </w:p>
    <w:p w:rsidR="00FD7B45" w:rsidRPr="00B7218F" w:rsidRDefault="00FD7B45" w:rsidP="00A80382">
      <w:pPr>
        <w:rPr>
          <w:szCs w:val="24"/>
        </w:rPr>
      </w:pPr>
      <w:r w:rsidRPr="00B7218F">
        <w:rPr>
          <w:szCs w:val="24"/>
        </w:rPr>
        <w:t xml:space="preserve">Slovinské sdružení spotřebitelů upozornilo na situaci, že během roku 2006 </w:t>
      </w:r>
      <w:proofErr w:type="gramStart"/>
      <w:r w:rsidRPr="00B7218F">
        <w:rPr>
          <w:szCs w:val="24"/>
        </w:rPr>
        <w:t>došlo</w:t>
      </w:r>
      <w:r>
        <w:rPr>
          <w:szCs w:val="24"/>
        </w:rPr>
        <w:t xml:space="preserve">               </w:t>
      </w:r>
      <w:r w:rsidRPr="00B7218F">
        <w:rPr>
          <w:szCs w:val="24"/>
        </w:rPr>
        <w:t xml:space="preserve"> k výraznému</w:t>
      </w:r>
      <w:proofErr w:type="gramEnd"/>
      <w:r w:rsidRPr="00B7218F">
        <w:rPr>
          <w:szCs w:val="24"/>
        </w:rPr>
        <w:t xml:space="preserve"> nárůstu poplatků za bankovní služby.</w:t>
      </w:r>
      <w:r w:rsidRPr="00B7218F">
        <w:rPr>
          <w:color w:val="000000"/>
          <w:szCs w:val="24"/>
        </w:rPr>
        <w:t xml:space="preserve"> </w:t>
      </w:r>
      <w:r w:rsidRPr="00B7218F">
        <w:rPr>
          <w:szCs w:val="24"/>
        </w:rPr>
        <w:t xml:space="preserve">Sdružení dále uvádí, že banky už od začátku roku 2006 zvýšily ceny některých svých služeb např. zvýšení poplatků za </w:t>
      </w:r>
      <w:proofErr w:type="gramStart"/>
      <w:r w:rsidRPr="00B7218F">
        <w:rPr>
          <w:szCs w:val="24"/>
        </w:rPr>
        <w:t>výběr</w:t>
      </w:r>
      <w:r>
        <w:rPr>
          <w:szCs w:val="24"/>
        </w:rPr>
        <w:t xml:space="preserve">     </w:t>
      </w:r>
      <w:r w:rsidRPr="00B7218F">
        <w:rPr>
          <w:szCs w:val="24"/>
        </w:rPr>
        <w:t>z peněžních</w:t>
      </w:r>
      <w:proofErr w:type="gramEnd"/>
      <w:r w:rsidRPr="00B7218F">
        <w:rPr>
          <w:szCs w:val="24"/>
        </w:rPr>
        <w:t xml:space="preserve"> automatů. </w:t>
      </w:r>
      <w:r>
        <w:rPr>
          <w:szCs w:val="24"/>
        </w:rPr>
        <w:t>D</w:t>
      </w:r>
      <w:r w:rsidRPr="00B7218F">
        <w:rPr>
          <w:szCs w:val="24"/>
        </w:rPr>
        <w:t>ošlo</w:t>
      </w:r>
      <w:r>
        <w:rPr>
          <w:szCs w:val="24"/>
        </w:rPr>
        <w:t xml:space="preserve"> i</w:t>
      </w:r>
      <w:r w:rsidRPr="00B7218F">
        <w:rPr>
          <w:szCs w:val="24"/>
        </w:rPr>
        <w:t xml:space="preserve"> k zvyšování cen </w:t>
      </w:r>
      <w:r w:rsidRPr="00B7218F">
        <w:rPr>
          <w:color w:val="000000"/>
          <w:szCs w:val="24"/>
        </w:rPr>
        <w:t xml:space="preserve">u platebních služeb pro spotřebitele např.: </w:t>
      </w:r>
      <w:r w:rsidRPr="00B7218F">
        <w:rPr>
          <w:szCs w:val="24"/>
        </w:rPr>
        <w:t>vedení účtu, elektronické bankovnictví atd. Malé podniky si stěžovaly na růst cen u vkladů na účet v hotovosti</w:t>
      </w:r>
      <w:r>
        <w:rPr>
          <w:rStyle w:val="Znakapoznpodarou"/>
          <w:szCs w:val="24"/>
        </w:rPr>
        <w:footnoteReference w:id="54"/>
      </w:r>
      <w:r w:rsidRPr="00B7218F">
        <w:rPr>
          <w:szCs w:val="24"/>
        </w:rPr>
        <w:t xml:space="preserve">. </w:t>
      </w:r>
    </w:p>
    <w:p w:rsidR="00FD7B45" w:rsidRDefault="00FD7B45" w:rsidP="00A80382">
      <w:pPr>
        <w:rPr>
          <w:szCs w:val="24"/>
        </w:rPr>
      </w:pPr>
    </w:p>
    <w:p w:rsidR="00FD7B45" w:rsidRPr="00B7218F" w:rsidRDefault="00FD7B45" w:rsidP="00A80382">
      <w:pPr>
        <w:rPr>
          <w:szCs w:val="24"/>
        </w:rPr>
      </w:pPr>
    </w:p>
    <w:p w:rsidR="00FD7B45" w:rsidRPr="00B7218F" w:rsidRDefault="00FD7B45" w:rsidP="00A80382">
      <w:pPr>
        <w:pStyle w:val="Nadpis3"/>
        <w:spacing w:before="0"/>
      </w:pPr>
      <w:bookmarkStart w:id="50" w:name="_Toc281759168"/>
      <w:bookmarkStart w:id="51" w:name="_Toc282027369"/>
      <w:r w:rsidRPr="00B7218F">
        <w:t>2.3.2 Vývoj cen od prosince 2006 do února 2007</w:t>
      </w:r>
      <w:bookmarkEnd w:id="50"/>
      <w:bookmarkEnd w:id="51"/>
    </w:p>
    <w:p w:rsidR="00FD7B45" w:rsidRPr="00B7218F" w:rsidRDefault="00FD7B45" w:rsidP="00A80382">
      <w:pPr>
        <w:rPr>
          <w:szCs w:val="24"/>
        </w:rPr>
      </w:pPr>
    </w:p>
    <w:p w:rsidR="00FD7B45" w:rsidRDefault="00FD7B45" w:rsidP="00A80382">
      <w:pPr>
        <w:rPr>
          <w:szCs w:val="24"/>
        </w:rPr>
      </w:pPr>
      <w:r w:rsidRPr="00B7218F">
        <w:rPr>
          <w:szCs w:val="24"/>
        </w:rPr>
        <w:t xml:space="preserve">Prosincová míra </w:t>
      </w:r>
      <w:proofErr w:type="spellStart"/>
      <w:r w:rsidRPr="00B7218F">
        <w:rPr>
          <w:szCs w:val="24"/>
        </w:rPr>
        <w:t>HISC</w:t>
      </w:r>
      <w:proofErr w:type="spellEnd"/>
      <w:r w:rsidRPr="00B7218F">
        <w:rPr>
          <w:szCs w:val="24"/>
        </w:rPr>
        <w:t xml:space="preserve"> (harmonizovaný index spotřebitelských cen) byla ve Slovinsku 3</w:t>
      </w:r>
      <w:r>
        <w:rPr>
          <w:szCs w:val="24"/>
        </w:rPr>
        <w:t xml:space="preserve"> </w:t>
      </w:r>
      <w:r w:rsidRPr="00B7218F">
        <w:rPr>
          <w:szCs w:val="24"/>
        </w:rPr>
        <w:t>%. Během ledna 2007 došlo k jejímu snížen</w:t>
      </w:r>
      <w:r>
        <w:rPr>
          <w:szCs w:val="24"/>
        </w:rPr>
        <w:t>í</w:t>
      </w:r>
      <w:r w:rsidRPr="00B7218F">
        <w:rPr>
          <w:szCs w:val="24"/>
        </w:rPr>
        <w:t xml:space="preserve"> na úroveň 2,8</w:t>
      </w:r>
      <w:r>
        <w:rPr>
          <w:szCs w:val="24"/>
        </w:rPr>
        <w:t xml:space="preserve"> </w:t>
      </w:r>
      <w:r w:rsidRPr="00B7218F">
        <w:rPr>
          <w:szCs w:val="24"/>
        </w:rPr>
        <w:t>%. I zde byl vykázán meziměsíční pokles o -0,5</w:t>
      </w:r>
      <w:r>
        <w:rPr>
          <w:szCs w:val="24"/>
        </w:rPr>
        <w:t xml:space="preserve"> </w:t>
      </w:r>
      <w:r w:rsidRPr="00B7218F">
        <w:rPr>
          <w:szCs w:val="24"/>
        </w:rPr>
        <w:t>% oproti předchozím rokům, a to z důvodů vlivu sezónního výprodeje.</w:t>
      </w:r>
    </w:p>
    <w:p w:rsidR="00FD7B45" w:rsidRPr="00B7218F" w:rsidRDefault="00FD7B45" w:rsidP="00A80382">
      <w:pPr>
        <w:rPr>
          <w:szCs w:val="24"/>
        </w:rPr>
      </w:pPr>
    </w:p>
    <w:p w:rsidR="00FD7B45" w:rsidRPr="00B7218F" w:rsidRDefault="00FD7B45" w:rsidP="00A80382">
      <w:pPr>
        <w:rPr>
          <w:szCs w:val="24"/>
        </w:rPr>
      </w:pPr>
      <w:r w:rsidRPr="00B7218F">
        <w:rPr>
          <w:szCs w:val="24"/>
        </w:rPr>
        <w:t>Lednový pokles z roku 2007 byl mírnější než pokles ve stejném měsíci v předchozích letech, což bylo podle Statistického úřadu Slovinské republiky (</w:t>
      </w:r>
      <w:proofErr w:type="spellStart"/>
      <w:r w:rsidRPr="00B7218F">
        <w:rPr>
          <w:szCs w:val="24"/>
        </w:rPr>
        <w:t>SÚSR</w:t>
      </w:r>
      <w:proofErr w:type="spellEnd"/>
      <w:r w:rsidRPr="00B7218F">
        <w:rPr>
          <w:szCs w:val="24"/>
        </w:rPr>
        <w:t xml:space="preserve">) především důsledkem změn u cen energie. Roční míra inflace </w:t>
      </w:r>
      <w:proofErr w:type="spellStart"/>
      <w:r w:rsidRPr="00B7218F">
        <w:rPr>
          <w:szCs w:val="24"/>
        </w:rPr>
        <w:t>HISC</w:t>
      </w:r>
      <w:proofErr w:type="spellEnd"/>
      <w:r w:rsidRPr="00B7218F">
        <w:rPr>
          <w:szCs w:val="24"/>
        </w:rPr>
        <w:t xml:space="preserve"> v únoru 2007 dále poklesla, a to na 2,3 %.</w:t>
      </w:r>
    </w:p>
    <w:p w:rsidR="00FD7B45" w:rsidRPr="00B7218F" w:rsidRDefault="00FD7B45" w:rsidP="00A80382">
      <w:pPr>
        <w:rPr>
          <w:szCs w:val="24"/>
        </w:rPr>
      </w:pPr>
    </w:p>
    <w:p w:rsidR="00FD7B45" w:rsidRPr="00B7218F" w:rsidRDefault="00FD7B45" w:rsidP="00A80382">
      <w:pPr>
        <w:rPr>
          <w:color w:val="000000"/>
          <w:szCs w:val="24"/>
        </w:rPr>
      </w:pPr>
      <w:proofErr w:type="spellStart"/>
      <w:r w:rsidRPr="00B7218F">
        <w:rPr>
          <w:szCs w:val="24"/>
        </w:rPr>
        <w:t>SÚSR</w:t>
      </w:r>
      <w:proofErr w:type="spellEnd"/>
      <w:r w:rsidRPr="00B7218F">
        <w:rPr>
          <w:szCs w:val="24"/>
        </w:rPr>
        <w:t xml:space="preserve"> v lednu 2007 zveřejnil svou první analýzu dopadu přechodu na ceny. Bylo zaznamenáno několik neobvyklých nárůstů cen v restauracích, barech a </w:t>
      </w:r>
      <w:proofErr w:type="gramStart"/>
      <w:r w:rsidRPr="00B7218F">
        <w:rPr>
          <w:szCs w:val="24"/>
        </w:rPr>
        <w:t xml:space="preserve">kavárnách </w:t>
      </w:r>
      <w:r>
        <w:rPr>
          <w:szCs w:val="24"/>
        </w:rPr>
        <w:t xml:space="preserve">             </w:t>
      </w:r>
      <w:r w:rsidRPr="00B7218F">
        <w:rPr>
          <w:szCs w:val="24"/>
        </w:rPr>
        <w:t>a v některých</w:t>
      </w:r>
      <w:proofErr w:type="gramEnd"/>
      <w:r w:rsidRPr="00B7218F">
        <w:rPr>
          <w:szCs w:val="24"/>
        </w:rPr>
        <w:t xml:space="preserve"> jiných výdajových skupinách (osobní služby, obuvnické služby, oprava domácích spotřebičů, opravářské a dopravní služby).</w:t>
      </w:r>
      <w:r w:rsidRPr="00B7218F">
        <w:rPr>
          <w:color w:val="000000"/>
          <w:szCs w:val="24"/>
        </w:rPr>
        <w:t xml:space="preserve"> </w:t>
      </w:r>
      <w:r w:rsidRPr="00B7218F">
        <w:rPr>
          <w:szCs w:val="24"/>
        </w:rPr>
        <w:t xml:space="preserve">V prosinci 2006 byl tento dopad odhadnut až na 0,12 procentního bodu.  </w:t>
      </w:r>
      <w:r w:rsidRPr="00B7218F">
        <w:rPr>
          <w:color w:val="000000"/>
          <w:szCs w:val="24"/>
        </w:rPr>
        <w:t>V</w:t>
      </w:r>
      <w:r>
        <w:rPr>
          <w:color w:val="000000"/>
          <w:szCs w:val="24"/>
        </w:rPr>
        <w:t> </w:t>
      </w:r>
      <w:r w:rsidRPr="00B7218F">
        <w:rPr>
          <w:color w:val="000000"/>
          <w:szCs w:val="24"/>
        </w:rPr>
        <w:t>lednu</w:t>
      </w:r>
      <w:r>
        <w:rPr>
          <w:color w:val="000000"/>
          <w:szCs w:val="24"/>
        </w:rPr>
        <w:t xml:space="preserve"> 2007</w:t>
      </w:r>
      <w:r w:rsidRPr="00B7218F">
        <w:rPr>
          <w:color w:val="000000"/>
          <w:szCs w:val="24"/>
        </w:rPr>
        <w:t xml:space="preserve"> téhož roku</w:t>
      </w:r>
      <w:r w:rsidRPr="00B7218F">
        <w:rPr>
          <w:szCs w:val="24"/>
        </w:rPr>
        <w:t xml:space="preserve"> </w:t>
      </w:r>
      <w:proofErr w:type="spellStart"/>
      <w:r w:rsidRPr="00B7218F">
        <w:rPr>
          <w:szCs w:val="24"/>
        </w:rPr>
        <w:t>SÚSR</w:t>
      </w:r>
      <w:proofErr w:type="spellEnd"/>
      <w:r w:rsidRPr="00B7218F">
        <w:rPr>
          <w:color w:val="000000"/>
          <w:szCs w:val="24"/>
        </w:rPr>
        <w:t xml:space="preserve"> </w:t>
      </w:r>
      <w:r w:rsidRPr="00B7218F">
        <w:rPr>
          <w:szCs w:val="24"/>
        </w:rPr>
        <w:t xml:space="preserve">upozornil na </w:t>
      </w:r>
      <w:r w:rsidRPr="00B7218F">
        <w:rPr>
          <w:szCs w:val="24"/>
        </w:rPr>
        <w:lastRenderedPageBreak/>
        <w:t xml:space="preserve">některé další neobvyklé nárůsty cen u týchž nákupů a dále u nákupu </w:t>
      </w:r>
      <w:proofErr w:type="gramStart"/>
      <w:r w:rsidRPr="00B7218F">
        <w:rPr>
          <w:szCs w:val="24"/>
        </w:rPr>
        <w:t>rekreačních</w:t>
      </w:r>
      <w:r>
        <w:rPr>
          <w:szCs w:val="24"/>
        </w:rPr>
        <w:t xml:space="preserve">                  </w:t>
      </w:r>
      <w:r w:rsidRPr="00B7218F">
        <w:rPr>
          <w:szCs w:val="24"/>
        </w:rPr>
        <w:t xml:space="preserve"> a sportovních</w:t>
      </w:r>
      <w:proofErr w:type="gramEnd"/>
      <w:r w:rsidRPr="00B7218F">
        <w:rPr>
          <w:szCs w:val="24"/>
        </w:rPr>
        <w:t xml:space="preserve"> služeb</w:t>
      </w:r>
      <w:r>
        <w:rPr>
          <w:rStyle w:val="Znakapoznpodarou"/>
          <w:szCs w:val="24"/>
        </w:rPr>
        <w:footnoteReference w:id="55"/>
      </w:r>
      <w:r w:rsidRPr="00B7218F">
        <w:rPr>
          <w:szCs w:val="24"/>
        </w:rPr>
        <w:t>.</w:t>
      </w:r>
      <w:r w:rsidRPr="00B7218F">
        <w:rPr>
          <w:color w:val="000000"/>
          <w:szCs w:val="24"/>
        </w:rPr>
        <w:t xml:space="preserve"> </w:t>
      </w:r>
    </w:p>
    <w:p w:rsidR="00FD7B45" w:rsidRPr="00B7218F" w:rsidRDefault="00FD7B45" w:rsidP="00A80382">
      <w:pPr>
        <w:rPr>
          <w:szCs w:val="24"/>
        </w:rPr>
      </w:pPr>
    </w:p>
    <w:p w:rsidR="00FD7B45" w:rsidRPr="00B7218F" w:rsidRDefault="00FD7B45" w:rsidP="00A80382">
      <w:pPr>
        <w:rPr>
          <w:szCs w:val="24"/>
        </w:rPr>
      </w:pPr>
      <w:proofErr w:type="spellStart"/>
      <w:r w:rsidRPr="00B7218F">
        <w:rPr>
          <w:szCs w:val="24"/>
        </w:rPr>
        <w:t>Eurostat</w:t>
      </w:r>
      <w:proofErr w:type="spellEnd"/>
      <w:r w:rsidRPr="00B7218F">
        <w:rPr>
          <w:szCs w:val="24"/>
        </w:rPr>
        <w:t xml:space="preserve"> došel k závěru, že celkový dopad přechodu k euru na inflaci spotřebitelských cen by pravděpodobně mohl dosáhnout řádově 0,3 procentního bodu, a to na základě předběžných informací poskytnutých </w:t>
      </w:r>
      <w:proofErr w:type="spellStart"/>
      <w:proofErr w:type="gramStart"/>
      <w:r w:rsidRPr="00B7218F">
        <w:rPr>
          <w:szCs w:val="24"/>
        </w:rPr>
        <w:t>SÚSR</w:t>
      </w:r>
      <w:proofErr w:type="spellEnd"/>
      <w:r w:rsidRPr="00B7218F">
        <w:rPr>
          <w:szCs w:val="24"/>
        </w:rPr>
        <w:t>.</w:t>
      </w:r>
      <w:r w:rsidRPr="00B7218F">
        <w:rPr>
          <w:color w:val="000000"/>
          <w:szCs w:val="24"/>
        </w:rPr>
        <w:t xml:space="preserve"> </w:t>
      </w:r>
      <w:r w:rsidRPr="00B7218F">
        <w:rPr>
          <w:szCs w:val="24"/>
        </w:rPr>
        <w:t>,</w:t>
      </w:r>
      <w:r>
        <w:rPr>
          <w:szCs w:val="24"/>
        </w:rPr>
        <w:t>Na</w:t>
      </w:r>
      <w:proofErr w:type="gramEnd"/>
      <w:r>
        <w:rPr>
          <w:szCs w:val="24"/>
        </w:rPr>
        <w:t xml:space="preserve"> základě poklesu roční inflace u všech položek </w:t>
      </w:r>
      <w:proofErr w:type="spellStart"/>
      <w:r>
        <w:rPr>
          <w:szCs w:val="24"/>
        </w:rPr>
        <w:t>HISC</w:t>
      </w:r>
      <w:proofErr w:type="spellEnd"/>
      <w:r>
        <w:rPr>
          <w:szCs w:val="24"/>
        </w:rPr>
        <w:t xml:space="preserve"> na 2,8 % v lednu a dalšího poklesu v únoru 2007 je možné předpokládat,</w:t>
      </w:r>
      <w:r w:rsidRPr="00B7218F">
        <w:rPr>
          <w:szCs w:val="24"/>
        </w:rPr>
        <w:t xml:space="preserve"> že účinky dopadu byly sice zjevné, ale nebyly na základě měření všech položek </w:t>
      </w:r>
      <w:proofErr w:type="spellStart"/>
      <w:r w:rsidRPr="00B7218F">
        <w:rPr>
          <w:szCs w:val="24"/>
        </w:rPr>
        <w:t>HISC</w:t>
      </w:r>
      <w:proofErr w:type="spellEnd"/>
      <w:r w:rsidRPr="00B7218F">
        <w:rPr>
          <w:szCs w:val="24"/>
        </w:rPr>
        <w:t xml:space="preserve"> natolik závažné, aby vyvolaly inflaci spotřebitelských cen.</w:t>
      </w:r>
      <w:r w:rsidRPr="00B7218F">
        <w:rPr>
          <w:color w:val="000000"/>
          <w:szCs w:val="24"/>
        </w:rPr>
        <w:t xml:space="preserve"> </w:t>
      </w:r>
      <w:r w:rsidRPr="00B7218F">
        <w:rPr>
          <w:szCs w:val="24"/>
        </w:rPr>
        <w:t>Tato pozorování se zdála být v souladu se zkušenostmi</w:t>
      </w:r>
      <w:r>
        <w:rPr>
          <w:szCs w:val="24"/>
        </w:rPr>
        <w:t xml:space="preserve"> </w:t>
      </w:r>
      <w:r w:rsidRPr="00B7218F">
        <w:rPr>
          <w:szCs w:val="24"/>
        </w:rPr>
        <w:t>z přechodu k euru během první vlny</w:t>
      </w:r>
      <w:r w:rsidRPr="00B7218F">
        <w:rPr>
          <w:rStyle w:val="Znakapoznpodarou"/>
          <w:szCs w:val="24"/>
        </w:rPr>
        <w:footnoteReference w:id="56"/>
      </w:r>
      <w:r w:rsidRPr="00B7218F">
        <w:rPr>
          <w:szCs w:val="24"/>
        </w:rPr>
        <w:t>.</w:t>
      </w:r>
      <w:r w:rsidRPr="00B7218F">
        <w:rPr>
          <w:color w:val="000000"/>
          <w:szCs w:val="24"/>
        </w:rPr>
        <w:t xml:space="preserve"> </w:t>
      </w:r>
      <w:r w:rsidRPr="00B7218F">
        <w:rPr>
          <w:szCs w:val="24"/>
        </w:rPr>
        <w:t>Slovinský Ústav pro makroekonomickou analýzu</w:t>
      </w:r>
      <w:r>
        <w:rPr>
          <w:szCs w:val="24"/>
        </w:rPr>
        <w:t xml:space="preserve"> </w:t>
      </w:r>
      <w:r w:rsidRPr="00B7218F">
        <w:rPr>
          <w:szCs w:val="24"/>
        </w:rPr>
        <w:t>a rozvoj také provedl analýzu dopadů přechodu k euru na inflaci.</w:t>
      </w:r>
      <w:r w:rsidRPr="00B7218F">
        <w:rPr>
          <w:color w:val="000000"/>
          <w:szCs w:val="24"/>
        </w:rPr>
        <w:t xml:space="preserve"> </w:t>
      </w:r>
      <w:r w:rsidRPr="00B7218F">
        <w:rPr>
          <w:szCs w:val="24"/>
        </w:rPr>
        <w:t>Jeho předběžným závěrem bylo, že celkový vliv na index spotřebitelských cen (CPI) činil 0,24</w:t>
      </w:r>
      <w:r>
        <w:rPr>
          <w:szCs w:val="24"/>
        </w:rPr>
        <w:t xml:space="preserve"> procentního bodu. Na konci roku 2009 </w:t>
      </w:r>
      <w:proofErr w:type="gramStart"/>
      <w:r>
        <w:rPr>
          <w:szCs w:val="24"/>
        </w:rPr>
        <w:t>CPI činil</w:t>
      </w:r>
      <w:proofErr w:type="gramEnd"/>
      <w:r>
        <w:rPr>
          <w:szCs w:val="24"/>
        </w:rPr>
        <w:t xml:space="preserve"> 0,09 procentního bodu</w:t>
      </w:r>
      <w:r>
        <w:rPr>
          <w:rStyle w:val="Znakapoznpodarou"/>
          <w:szCs w:val="24"/>
        </w:rPr>
        <w:footnoteReference w:id="57"/>
      </w:r>
      <w:r>
        <w:rPr>
          <w:szCs w:val="24"/>
        </w:rPr>
        <w:t>.</w:t>
      </w:r>
    </w:p>
    <w:p w:rsidR="00FD7B45" w:rsidRDefault="00FD7B45" w:rsidP="00A80382">
      <w:pPr>
        <w:rPr>
          <w:szCs w:val="24"/>
        </w:rPr>
      </w:pPr>
    </w:p>
    <w:p w:rsidR="00FD7B45" w:rsidRPr="00B7218F" w:rsidRDefault="00FD7B45" w:rsidP="00A80382">
      <w:pPr>
        <w:rPr>
          <w:szCs w:val="24"/>
        </w:rPr>
      </w:pPr>
    </w:p>
    <w:p w:rsidR="00FD7B45" w:rsidRPr="00B7218F" w:rsidRDefault="00FD7B45" w:rsidP="00A80382">
      <w:pPr>
        <w:pStyle w:val="Nadpis3"/>
        <w:spacing w:before="0"/>
      </w:pPr>
      <w:bookmarkStart w:id="52" w:name="_Toc281759169"/>
      <w:bookmarkStart w:id="53" w:name="_Toc282027370"/>
      <w:r w:rsidRPr="00B7218F">
        <w:t>2.3.3 Vnímání cen</w:t>
      </w:r>
      <w:bookmarkEnd w:id="52"/>
      <w:bookmarkEnd w:id="53"/>
    </w:p>
    <w:p w:rsidR="00FD7B45" w:rsidRPr="00B7218F" w:rsidRDefault="00FD7B45" w:rsidP="00A80382">
      <w:pPr>
        <w:rPr>
          <w:szCs w:val="24"/>
        </w:rPr>
      </w:pPr>
    </w:p>
    <w:p w:rsidR="00FD7B45" w:rsidRPr="00B7218F" w:rsidRDefault="00FD7B45" w:rsidP="00A80382">
      <w:pPr>
        <w:rPr>
          <w:szCs w:val="24"/>
        </w:rPr>
      </w:pPr>
      <w:r w:rsidRPr="00B7218F">
        <w:rPr>
          <w:szCs w:val="24"/>
        </w:rPr>
        <w:t>Slovinsk</w:t>
      </w:r>
      <w:r>
        <w:rPr>
          <w:szCs w:val="24"/>
        </w:rPr>
        <w:t>o</w:t>
      </w:r>
      <w:r w:rsidRPr="00B7218F">
        <w:rPr>
          <w:szCs w:val="24"/>
        </w:rPr>
        <w:t xml:space="preserve"> v rámci přechodu na euro zaznamenalo jistou p</w:t>
      </w:r>
      <w:r>
        <w:rPr>
          <w:szCs w:val="24"/>
        </w:rPr>
        <w:t xml:space="preserve">odobnost ve vnímání cen z první </w:t>
      </w:r>
      <w:r w:rsidRPr="00B7218F">
        <w:rPr>
          <w:szCs w:val="24"/>
        </w:rPr>
        <w:t xml:space="preserve">vlny rozšiřování, neboť vnímaná inflace se v lednu 2007 značně zvýšila a dále </w:t>
      </w:r>
      <w:proofErr w:type="gramStart"/>
      <w:r w:rsidRPr="00B7218F">
        <w:rPr>
          <w:szCs w:val="24"/>
        </w:rPr>
        <w:t xml:space="preserve">rostla </w:t>
      </w:r>
      <w:r>
        <w:rPr>
          <w:szCs w:val="24"/>
        </w:rPr>
        <w:t xml:space="preserve">           </w:t>
      </w:r>
      <w:r w:rsidRPr="00B7218F">
        <w:rPr>
          <w:szCs w:val="24"/>
        </w:rPr>
        <w:t>i v únoru</w:t>
      </w:r>
      <w:proofErr w:type="gramEnd"/>
      <w:r w:rsidRPr="00B7218F">
        <w:rPr>
          <w:szCs w:val="24"/>
        </w:rPr>
        <w:t>, a to navzdory skutečnosti, že celkově ceny během těchto dvou měsíců poklesly.</w:t>
      </w:r>
      <w:r w:rsidRPr="00B7218F">
        <w:rPr>
          <w:color w:val="000000"/>
          <w:szCs w:val="24"/>
        </w:rPr>
        <w:t xml:space="preserve"> </w:t>
      </w:r>
      <w:r w:rsidRPr="00B7218F">
        <w:rPr>
          <w:szCs w:val="24"/>
        </w:rPr>
        <w:t>V březnu vnímání inflace lehce kleslo.</w:t>
      </w:r>
      <w:r w:rsidRPr="00B7218F">
        <w:rPr>
          <w:color w:val="000000"/>
          <w:szCs w:val="24"/>
        </w:rPr>
        <w:t xml:space="preserve"> Tato doba byla příliš krátká, aby se z ní daly vyvozovat určité závěry.</w:t>
      </w:r>
      <w:r w:rsidRPr="00B7218F">
        <w:rPr>
          <w:szCs w:val="24"/>
        </w:rPr>
        <w:t xml:space="preserve"> Tento pokles naznačoval, že intenzívní snaha slovinských </w:t>
      </w:r>
      <w:proofErr w:type="gramStart"/>
      <w:r w:rsidRPr="00B7218F">
        <w:rPr>
          <w:szCs w:val="24"/>
        </w:rPr>
        <w:t>úřadů</w:t>
      </w:r>
      <w:r>
        <w:rPr>
          <w:szCs w:val="24"/>
        </w:rPr>
        <w:t xml:space="preserve">   </w:t>
      </w:r>
      <w:r w:rsidRPr="00B7218F">
        <w:rPr>
          <w:szCs w:val="24"/>
        </w:rPr>
        <w:t>o komunikaci</w:t>
      </w:r>
      <w:proofErr w:type="gramEnd"/>
      <w:r w:rsidRPr="00B7218F">
        <w:rPr>
          <w:szCs w:val="24"/>
        </w:rPr>
        <w:t xml:space="preserve"> je efektivní.</w:t>
      </w:r>
    </w:p>
    <w:p w:rsidR="00FD7B45" w:rsidRDefault="00FD7B45" w:rsidP="00A80382">
      <w:pPr>
        <w:rPr>
          <w:color w:val="000000"/>
          <w:szCs w:val="24"/>
        </w:rPr>
      </w:pPr>
    </w:p>
    <w:p w:rsidR="00FD7B45" w:rsidRDefault="00FD7B45" w:rsidP="00A80382">
      <w:pPr>
        <w:rPr>
          <w:color w:val="000000"/>
          <w:szCs w:val="24"/>
        </w:rPr>
      </w:pPr>
    </w:p>
    <w:p w:rsidR="00FD7B45" w:rsidRPr="00B7218F" w:rsidRDefault="00FD7B45" w:rsidP="00A80382">
      <w:pPr>
        <w:rPr>
          <w:color w:val="000000"/>
          <w:szCs w:val="24"/>
        </w:rPr>
      </w:pPr>
    </w:p>
    <w:p w:rsidR="00FD7B45" w:rsidRPr="00B7218F" w:rsidRDefault="00FD7B45" w:rsidP="00A80382">
      <w:pPr>
        <w:pStyle w:val="Nadpis2"/>
        <w:spacing w:before="0"/>
      </w:pPr>
      <w:bookmarkStart w:id="54" w:name="_Toc281759170"/>
      <w:bookmarkStart w:id="55" w:name="_Toc282027371"/>
      <w:r w:rsidRPr="00B7218F">
        <w:lastRenderedPageBreak/>
        <w:t>2.4 Reakce veřejnosti na přechod k euru</w:t>
      </w:r>
      <w:bookmarkEnd w:id="54"/>
      <w:bookmarkEnd w:id="55"/>
      <w:r w:rsidRPr="00B7218F">
        <w:t xml:space="preserve"> </w:t>
      </w:r>
    </w:p>
    <w:p w:rsidR="00FD7B45" w:rsidRPr="00B7218F" w:rsidRDefault="00FD7B45" w:rsidP="00A80382">
      <w:pPr>
        <w:rPr>
          <w:szCs w:val="24"/>
        </w:rPr>
      </w:pPr>
    </w:p>
    <w:p w:rsidR="00FD7B45" w:rsidRPr="00B7218F" w:rsidRDefault="00FD7B45" w:rsidP="00A80382">
      <w:pPr>
        <w:rPr>
          <w:szCs w:val="24"/>
        </w:rPr>
      </w:pPr>
    </w:p>
    <w:p w:rsidR="00FD7B45" w:rsidRPr="00B7218F" w:rsidRDefault="00FD7B45" w:rsidP="00A80382">
      <w:pPr>
        <w:rPr>
          <w:szCs w:val="24"/>
        </w:rPr>
      </w:pPr>
      <w:r w:rsidRPr="00B7218F">
        <w:rPr>
          <w:szCs w:val="24"/>
        </w:rPr>
        <w:t>Z výsledku průzkumu, který si komise nechala vyhotovit ke konci ledna 2007, plyne, že velká většina slovinských občanů (95 %</w:t>
      </w:r>
      <w:r>
        <w:rPr>
          <w:szCs w:val="24"/>
        </w:rPr>
        <w:t>)</w:t>
      </w:r>
      <w:r w:rsidRPr="00B7218F">
        <w:rPr>
          <w:szCs w:val="24"/>
        </w:rPr>
        <w:t xml:space="preserve"> </w:t>
      </w:r>
      <w:r>
        <w:rPr>
          <w:szCs w:val="24"/>
        </w:rPr>
        <w:t>byla</w:t>
      </w:r>
      <w:r w:rsidRPr="00B7218F">
        <w:rPr>
          <w:szCs w:val="24"/>
        </w:rPr>
        <w:t xml:space="preserve"> s hladkostí a efektivností přechodu k euru spokojená. Výsledky tohoto průzkumu byly uveřejněny ve </w:t>
      </w:r>
      <w:proofErr w:type="spellStart"/>
      <w:r w:rsidRPr="00B7218F">
        <w:rPr>
          <w:szCs w:val="24"/>
        </w:rPr>
        <w:t>Flash</w:t>
      </w:r>
      <w:proofErr w:type="spellEnd"/>
      <w:r w:rsidRPr="00B7218F">
        <w:rPr>
          <w:szCs w:val="24"/>
        </w:rPr>
        <w:t xml:space="preserve"> </w:t>
      </w:r>
      <w:proofErr w:type="spellStart"/>
      <w:r w:rsidRPr="00B7218F">
        <w:rPr>
          <w:szCs w:val="24"/>
        </w:rPr>
        <w:t>Eurobarometru</w:t>
      </w:r>
      <w:proofErr w:type="spellEnd"/>
      <w:r w:rsidRPr="00B7218F">
        <w:rPr>
          <w:szCs w:val="24"/>
        </w:rPr>
        <w:t xml:space="preserve"> č. 205. Ve srovnání s první vlnou rozšiřování to byl skvělý výsledek, neboť jen pár zemí dosáhlo úrovně 90 % a průměr se blížil 80 %</w:t>
      </w:r>
      <w:r>
        <w:rPr>
          <w:rStyle w:val="Znakapoznpodarou"/>
          <w:szCs w:val="24"/>
        </w:rPr>
        <w:footnoteReference w:id="58"/>
      </w:r>
      <w:r w:rsidRPr="00B7218F">
        <w:rPr>
          <w:szCs w:val="24"/>
        </w:rPr>
        <w:t xml:space="preserve">. </w:t>
      </w:r>
    </w:p>
    <w:p w:rsidR="00FD7B45" w:rsidRPr="00B7218F" w:rsidRDefault="00FD7B45" w:rsidP="00A80382">
      <w:pPr>
        <w:rPr>
          <w:szCs w:val="24"/>
        </w:rPr>
      </w:pPr>
    </w:p>
    <w:p w:rsidR="00FD7B45" w:rsidRPr="00B7218F" w:rsidRDefault="00FD7B45" w:rsidP="00A80382">
      <w:pPr>
        <w:rPr>
          <w:szCs w:val="24"/>
        </w:rPr>
      </w:pPr>
      <w:r w:rsidRPr="00B7218F">
        <w:rPr>
          <w:szCs w:val="24"/>
        </w:rPr>
        <w:t xml:space="preserve">Pokud </w:t>
      </w:r>
      <w:proofErr w:type="gramStart"/>
      <w:r w:rsidRPr="00B7218F">
        <w:rPr>
          <w:szCs w:val="24"/>
        </w:rPr>
        <w:t>jde</w:t>
      </w:r>
      <w:proofErr w:type="gramEnd"/>
      <w:r w:rsidRPr="00B7218F">
        <w:rPr>
          <w:szCs w:val="24"/>
        </w:rPr>
        <w:t xml:space="preserve"> o výměnu hotovosti 97 % respondentů </w:t>
      </w:r>
      <w:proofErr w:type="gramStart"/>
      <w:r w:rsidRPr="00B7218F">
        <w:rPr>
          <w:szCs w:val="24"/>
        </w:rPr>
        <w:t>nezaznamenalo</w:t>
      </w:r>
      <w:proofErr w:type="gramEnd"/>
      <w:r w:rsidRPr="00B7218F">
        <w:rPr>
          <w:szCs w:val="24"/>
        </w:rPr>
        <w:t xml:space="preserve"> v prvním lednovém týdnu při výměně hotovosti v tolarech za </w:t>
      </w:r>
      <w:proofErr w:type="spellStart"/>
      <w:r w:rsidRPr="00B7218F">
        <w:rPr>
          <w:szCs w:val="24"/>
        </w:rPr>
        <w:t>eurohotovost</w:t>
      </w:r>
      <w:proofErr w:type="spellEnd"/>
      <w:r w:rsidRPr="00B7218F">
        <w:rPr>
          <w:szCs w:val="24"/>
        </w:rPr>
        <w:t xml:space="preserve"> žádné problémy. Uvádění dvojích cen respondenti hodnotily také kladně a to z</w:t>
      </w:r>
      <w:r>
        <w:rPr>
          <w:szCs w:val="24"/>
        </w:rPr>
        <w:t> </w:t>
      </w:r>
      <w:r w:rsidRPr="00B7218F">
        <w:rPr>
          <w:szCs w:val="24"/>
        </w:rPr>
        <w:t>84</w:t>
      </w:r>
      <w:r>
        <w:rPr>
          <w:szCs w:val="24"/>
        </w:rPr>
        <w:t xml:space="preserve"> </w:t>
      </w:r>
      <w:r w:rsidRPr="00B7218F">
        <w:rPr>
          <w:szCs w:val="24"/>
        </w:rPr>
        <w:t>%. Jeho správné používání hodnotilo velmi kladně 94</w:t>
      </w:r>
      <w:r>
        <w:rPr>
          <w:szCs w:val="24"/>
        </w:rPr>
        <w:t xml:space="preserve"> </w:t>
      </w:r>
      <w:r w:rsidRPr="00B7218F">
        <w:rPr>
          <w:szCs w:val="24"/>
        </w:rPr>
        <w:t xml:space="preserve">% z dotazovaných osob. </w:t>
      </w:r>
    </w:p>
    <w:p w:rsidR="00FD7B45" w:rsidRPr="00B7218F" w:rsidRDefault="00FD7B45" w:rsidP="00A80382">
      <w:pPr>
        <w:rPr>
          <w:szCs w:val="24"/>
        </w:rPr>
      </w:pPr>
    </w:p>
    <w:p w:rsidR="00FD7B45" w:rsidRPr="00B7218F" w:rsidRDefault="00FD7B45" w:rsidP="00A80382">
      <w:pPr>
        <w:rPr>
          <w:szCs w:val="24"/>
        </w:rPr>
      </w:pPr>
      <w:r w:rsidRPr="00B7218F">
        <w:rPr>
          <w:szCs w:val="24"/>
        </w:rPr>
        <w:t xml:space="preserve">V oblasti převodu cen nebyly výsledky výzkumu tak zřetelné – malá většina (56 %) respondentů považovala převod cen za spravedlivý, zatímco 44 % respondentů </w:t>
      </w:r>
      <w:r>
        <w:rPr>
          <w:szCs w:val="24"/>
        </w:rPr>
        <w:t>mělo</w:t>
      </w:r>
      <w:r w:rsidRPr="00B7218F">
        <w:rPr>
          <w:szCs w:val="24"/>
        </w:rPr>
        <w:t xml:space="preserve"> názor opačný. Pouze menšina (38 %) respondentů </w:t>
      </w:r>
      <w:r>
        <w:rPr>
          <w:szCs w:val="24"/>
        </w:rPr>
        <w:t>byla</w:t>
      </w:r>
      <w:r w:rsidRPr="00B7218F">
        <w:rPr>
          <w:szCs w:val="24"/>
        </w:rPr>
        <w:t xml:space="preserve"> ochotna věřit ve spravedlivé „zaokrouhlování“ cen během přechodu k euru a po něm, a 62 % věřila v opak.</w:t>
      </w:r>
    </w:p>
    <w:p w:rsidR="00FD7B45" w:rsidRPr="00B7218F" w:rsidRDefault="00FD7B45" w:rsidP="00A80382">
      <w:pPr>
        <w:rPr>
          <w:szCs w:val="24"/>
        </w:rPr>
      </w:pPr>
    </w:p>
    <w:p w:rsidR="00FD7B45" w:rsidRPr="00B7218F" w:rsidRDefault="00FD7B45" w:rsidP="00A80382">
      <w:pPr>
        <w:rPr>
          <w:szCs w:val="24"/>
        </w:rPr>
      </w:pPr>
      <w:r w:rsidRPr="00B7218F">
        <w:rPr>
          <w:szCs w:val="24"/>
        </w:rPr>
        <w:t>V oblasti informovanosti 92</w:t>
      </w:r>
      <w:r>
        <w:rPr>
          <w:szCs w:val="24"/>
        </w:rPr>
        <w:t xml:space="preserve"> </w:t>
      </w:r>
      <w:r w:rsidRPr="00B7218F">
        <w:rPr>
          <w:szCs w:val="24"/>
        </w:rPr>
        <w:t>% místních dotazovaných obyvatel mělo pocit, že byl</w:t>
      </w:r>
      <w:r>
        <w:rPr>
          <w:szCs w:val="24"/>
        </w:rPr>
        <w:t xml:space="preserve">i </w:t>
      </w:r>
      <w:r w:rsidRPr="00B7218F">
        <w:rPr>
          <w:szCs w:val="24"/>
        </w:rPr>
        <w:t>informováni o přechodu k euro dobře a dokonce 36 % mělo pocit, že byli informováni velmi</w:t>
      </w:r>
      <w:r>
        <w:rPr>
          <w:szCs w:val="24"/>
        </w:rPr>
        <w:t xml:space="preserve"> </w:t>
      </w:r>
      <w:r w:rsidRPr="00B7218F">
        <w:rPr>
          <w:szCs w:val="24"/>
        </w:rPr>
        <w:t>dobře. Poměrně spokojeno či velmi spokojeno s poskytováním informací vnitrostátními orgány bylo 91 % dotazovaných. Tato velmi vysoká pozitivní čísla potvrzují vysoký stupeň spokojenosti s poskytovanými informacemi (99,2 %)</w:t>
      </w:r>
      <w:r>
        <w:rPr>
          <w:szCs w:val="24"/>
        </w:rPr>
        <w:t xml:space="preserve">.  Výsledek </w:t>
      </w:r>
      <w:proofErr w:type="gramStart"/>
      <w:r w:rsidRPr="00B7218F">
        <w:rPr>
          <w:szCs w:val="24"/>
        </w:rPr>
        <w:t>vyplynul</w:t>
      </w:r>
      <w:r>
        <w:rPr>
          <w:szCs w:val="24"/>
        </w:rPr>
        <w:t xml:space="preserve">    z </w:t>
      </w:r>
      <w:r w:rsidRPr="00B7218F">
        <w:rPr>
          <w:szCs w:val="24"/>
        </w:rPr>
        <w:t>průzkumu</w:t>
      </w:r>
      <w:proofErr w:type="gramEnd"/>
      <w:r w:rsidRPr="00B7218F">
        <w:rPr>
          <w:szCs w:val="24"/>
        </w:rPr>
        <w:t xml:space="preserve"> </w:t>
      </w:r>
      <w:proofErr w:type="spellStart"/>
      <w:r w:rsidRPr="00B7218F">
        <w:rPr>
          <w:szCs w:val="24"/>
        </w:rPr>
        <w:t>Eurobarometru</w:t>
      </w:r>
      <w:proofErr w:type="spellEnd"/>
      <w:r w:rsidRPr="00B7218F">
        <w:rPr>
          <w:szCs w:val="24"/>
        </w:rPr>
        <w:t xml:space="preserve"> provedeného v únoru 2006 ve slovinských podnicích.</w:t>
      </w:r>
    </w:p>
    <w:p w:rsidR="00FD7B45" w:rsidRPr="00B7218F" w:rsidRDefault="00FD7B45" w:rsidP="00A80382">
      <w:pPr>
        <w:rPr>
          <w:szCs w:val="24"/>
        </w:rPr>
      </w:pPr>
    </w:p>
    <w:p w:rsidR="00FD7B45" w:rsidRPr="00B7218F" w:rsidRDefault="00FD7B45" w:rsidP="00A80382">
      <w:pPr>
        <w:rPr>
          <w:szCs w:val="24"/>
        </w:rPr>
      </w:pPr>
      <w:r w:rsidRPr="00B7218F">
        <w:rPr>
          <w:szCs w:val="24"/>
        </w:rPr>
        <w:t xml:space="preserve">Důležitou roli pro zajištění bezproblémového přechodu k euru hrají </w:t>
      </w:r>
      <w:proofErr w:type="gramStart"/>
      <w:r w:rsidRPr="00B7218F">
        <w:rPr>
          <w:szCs w:val="24"/>
        </w:rPr>
        <w:t>komunikace</w:t>
      </w:r>
      <w:r>
        <w:rPr>
          <w:szCs w:val="24"/>
        </w:rPr>
        <w:t xml:space="preserve">                </w:t>
      </w:r>
      <w:r w:rsidRPr="00B7218F">
        <w:rPr>
          <w:szCs w:val="24"/>
        </w:rPr>
        <w:t xml:space="preserve"> a informace</w:t>
      </w:r>
      <w:proofErr w:type="gramEnd"/>
      <w:r w:rsidRPr="00B7218F">
        <w:rPr>
          <w:szCs w:val="24"/>
        </w:rPr>
        <w:t>. Což opětovně potvrdil stav veřejného mínění.</w:t>
      </w:r>
      <w:r w:rsidRPr="00B7218F">
        <w:rPr>
          <w:b/>
          <w:szCs w:val="24"/>
        </w:rPr>
        <w:t xml:space="preserve"> </w:t>
      </w:r>
      <w:r w:rsidRPr="00B7218F">
        <w:rPr>
          <w:szCs w:val="24"/>
        </w:rPr>
        <w:t xml:space="preserve">Pokud jsou občané a podniky plně informováni o praktických důsledcích zavedení eura, pociťují při zavádění jednotné </w:t>
      </w:r>
      <w:r w:rsidRPr="00B7218F">
        <w:rPr>
          <w:szCs w:val="24"/>
        </w:rPr>
        <w:lastRenderedPageBreak/>
        <w:t>měny vyšší důvěru a zdá se, že mají méně potíží. Naopak nedostatek informací zpravidla vede k obavám a neporozuměním.</w:t>
      </w:r>
    </w:p>
    <w:p w:rsidR="00FD7B45" w:rsidRDefault="00FD7B45" w:rsidP="00A80382"/>
    <w:p w:rsidR="00FD7B45" w:rsidRPr="00B7218F" w:rsidRDefault="00FD7B45" w:rsidP="00A80382">
      <w:pPr>
        <w:pStyle w:val="Nadpis2"/>
        <w:spacing w:before="0"/>
        <w:rPr>
          <w:lang w:eastAsia="cs-CZ"/>
        </w:rPr>
      </w:pPr>
      <w:bookmarkStart w:id="56" w:name="_Toc281759171"/>
      <w:bookmarkStart w:id="57" w:name="_Toc282027372"/>
      <w:r w:rsidRPr="00B7218F">
        <w:rPr>
          <w:lang w:eastAsia="cs-CZ"/>
        </w:rPr>
        <w:t>2.5 Plnění konvergenčních kritérií – konvergenční zprávy</w:t>
      </w:r>
      <w:bookmarkEnd w:id="56"/>
      <w:bookmarkEnd w:id="57"/>
    </w:p>
    <w:p w:rsidR="00FD7B45" w:rsidRPr="00B7218F" w:rsidRDefault="00FD7B45" w:rsidP="00A80382">
      <w:pPr>
        <w:rPr>
          <w:lang w:eastAsia="cs-CZ"/>
        </w:rPr>
      </w:pPr>
    </w:p>
    <w:p w:rsidR="00FD7B45" w:rsidRPr="00B7218F" w:rsidRDefault="00FD7B45" w:rsidP="00A80382">
      <w:pPr>
        <w:rPr>
          <w:lang w:eastAsia="cs-CZ"/>
        </w:rPr>
      </w:pPr>
    </w:p>
    <w:p w:rsidR="00FD7B45" w:rsidRPr="00B7218F" w:rsidRDefault="00FD7B45" w:rsidP="00A80382">
      <w:pPr>
        <w:pStyle w:val="Nadpis3"/>
        <w:spacing w:before="0"/>
        <w:rPr>
          <w:lang w:eastAsia="cs-CZ"/>
        </w:rPr>
      </w:pPr>
      <w:bookmarkStart w:id="58" w:name="_Toc281759172"/>
      <w:bookmarkStart w:id="59" w:name="_Toc282027373"/>
      <w:r w:rsidRPr="00B7218F">
        <w:rPr>
          <w:lang w:eastAsia="cs-CZ"/>
        </w:rPr>
        <w:t>2.5.1 Vyhodnocení konvergenční zpráv za rok 2004 a 2006</w:t>
      </w:r>
      <w:bookmarkEnd w:id="58"/>
      <w:bookmarkEnd w:id="59"/>
    </w:p>
    <w:p w:rsidR="00FD7B45" w:rsidRPr="00B7218F" w:rsidRDefault="00FD7B45" w:rsidP="00A80382">
      <w:pPr>
        <w:autoSpaceDE w:val="0"/>
        <w:autoSpaceDN w:val="0"/>
        <w:adjustRightInd w:val="0"/>
        <w:spacing w:line="240" w:lineRule="auto"/>
        <w:rPr>
          <w:color w:val="000000"/>
          <w:szCs w:val="24"/>
        </w:rPr>
      </w:pPr>
    </w:p>
    <w:p w:rsidR="00FD7B45" w:rsidRPr="00B7218F" w:rsidRDefault="00FD7B45" w:rsidP="00A80382">
      <w:r w:rsidRPr="00B7218F">
        <w:t>Základem pro udržení vysokého stupně konvergence bylo realizování zdravé fiskální konsolidace a umírněné mzdové politiky s pokročilými strukturálními změnami. Důležité bylo zvýšení flexibility trhu práce a pokračování v ekonomické liberalizaci, což mělo vést k zvýšení konkurence na trhu zboží a to mělo pomoci vytvořit prostředí, které by vedlo k cenové stabilitě a vyššímu potenciálnímu růstu.</w:t>
      </w:r>
    </w:p>
    <w:p w:rsidR="00FD7B45" w:rsidRPr="00B7218F" w:rsidRDefault="00FD7B45" w:rsidP="00A80382"/>
    <w:p w:rsidR="00FD7B45" w:rsidRPr="00B7218F" w:rsidRDefault="00FD7B45" w:rsidP="00A80382">
      <w:pPr>
        <w:rPr>
          <w:color w:val="000000"/>
          <w:szCs w:val="24"/>
        </w:rPr>
      </w:pPr>
      <w:r w:rsidRPr="00B7218F">
        <w:rPr>
          <w:color w:val="000000"/>
          <w:szCs w:val="24"/>
        </w:rPr>
        <w:t xml:space="preserve">V období od vstupu do ERM II Banka </w:t>
      </w:r>
      <w:proofErr w:type="spellStart"/>
      <w:r w:rsidRPr="00B7218F">
        <w:rPr>
          <w:color w:val="000000"/>
          <w:szCs w:val="24"/>
        </w:rPr>
        <w:t>Slovenije</w:t>
      </w:r>
      <w:proofErr w:type="spellEnd"/>
      <w:r w:rsidRPr="00B7218F">
        <w:rPr>
          <w:color w:val="000000"/>
          <w:szCs w:val="24"/>
        </w:rPr>
        <w:t xml:space="preserve"> využívá svoji </w:t>
      </w:r>
      <w:proofErr w:type="spellStart"/>
      <w:r w:rsidRPr="00B7218F">
        <w:rPr>
          <w:color w:val="000000"/>
          <w:szCs w:val="24"/>
        </w:rPr>
        <w:t>facilitu</w:t>
      </w:r>
      <w:proofErr w:type="spellEnd"/>
      <w:r w:rsidRPr="00B7218F">
        <w:rPr>
          <w:color w:val="000000"/>
          <w:szCs w:val="24"/>
        </w:rPr>
        <w:t xml:space="preserve"> měnových </w:t>
      </w:r>
      <w:proofErr w:type="gramStart"/>
      <w:r w:rsidRPr="00B7218F">
        <w:rPr>
          <w:color w:val="000000"/>
          <w:szCs w:val="24"/>
        </w:rPr>
        <w:t xml:space="preserve">swapů </w:t>
      </w:r>
      <w:r>
        <w:rPr>
          <w:color w:val="000000"/>
          <w:szCs w:val="24"/>
        </w:rPr>
        <w:t xml:space="preserve">    </w:t>
      </w:r>
      <w:r w:rsidRPr="00B7218F">
        <w:rPr>
          <w:color w:val="000000"/>
          <w:szCs w:val="24"/>
        </w:rPr>
        <w:t>k udržení</w:t>
      </w:r>
      <w:proofErr w:type="gramEnd"/>
      <w:r w:rsidRPr="00B7218F">
        <w:rPr>
          <w:color w:val="000000"/>
          <w:szCs w:val="24"/>
        </w:rPr>
        <w:t xml:space="preserve"> stabilního kurzu tolaru k euru a zároveň udržuje domácí úrokové sazby nad úrovní sazeb v eurozóně. Tato politika, která vedla ke krátkodobě vysokému úrokovému diferenciálu vůči eurozóně, podpořila proces dezinflace.</w:t>
      </w:r>
    </w:p>
    <w:p w:rsidR="00FD7B45" w:rsidRDefault="00FD7B45" w:rsidP="00A80382">
      <w:pPr>
        <w:rPr>
          <w:b/>
        </w:rPr>
      </w:pPr>
    </w:p>
    <w:p w:rsidR="00FD7B45" w:rsidRDefault="00FD7B45" w:rsidP="00A80382">
      <w:pPr>
        <w:rPr>
          <w:b/>
        </w:rPr>
      </w:pPr>
    </w:p>
    <w:p w:rsidR="00FD7B45" w:rsidRPr="00B7218F" w:rsidRDefault="00FD7B45" w:rsidP="00A80382">
      <w:pPr>
        <w:rPr>
          <w:b/>
        </w:rPr>
      </w:pPr>
      <w:r w:rsidRPr="00B7218F">
        <w:rPr>
          <w:b/>
        </w:rPr>
        <w:t>Cenová stabilita</w:t>
      </w:r>
    </w:p>
    <w:p w:rsidR="00FD7B45" w:rsidRPr="00B7218F" w:rsidRDefault="00FD7B45" w:rsidP="00A80382">
      <w:pPr>
        <w:autoSpaceDE w:val="0"/>
        <w:autoSpaceDN w:val="0"/>
        <w:adjustRightInd w:val="0"/>
        <w:spacing w:line="240" w:lineRule="auto"/>
        <w:rPr>
          <w:color w:val="000000"/>
          <w:szCs w:val="24"/>
        </w:rPr>
      </w:pPr>
    </w:p>
    <w:p w:rsidR="00FD7B45" w:rsidRPr="00B7218F" w:rsidRDefault="00FD7B45" w:rsidP="00A80382">
      <w:r w:rsidRPr="00B7218F">
        <w:t xml:space="preserve">Slovinsko v referenčním období dosáhlo míry inflace měřené </w:t>
      </w:r>
      <w:proofErr w:type="spellStart"/>
      <w:r w:rsidRPr="00B7218F">
        <w:t>HICP</w:t>
      </w:r>
      <w:proofErr w:type="spellEnd"/>
      <w:r w:rsidRPr="00B7218F">
        <w:t xml:space="preserve"> ve výši 4,1</w:t>
      </w:r>
      <w:r>
        <w:t xml:space="preserve"> </w:t>
      </w:r>
      <w:r w:rsidRPr="00B7218F">
        <w:t>%. Tato výše byla značně nad požadovanou hodnotou, která je ukotvena ve Smlouvě o fungování Evropské unie. Požadovaná hodnota je stanovena v maximální výši 1,5 procentního bodu nad průměrnou inflací tří členských států s nejlepšími výsledky v oblasti cenové stability. Z dlouhodobější retrospektivy inflace spotřebitelských cen postupným tempem klesala a to až do roku 1999, kdy tato tendence byla přerušena. Nikoliv na delší dobu, neboť o rok později sestupné tendence opět nastoupily</w:t>
      </w:r>
      <w:r>
        <w:rPr>
          <w:rStyle w:val="Znakapoznpodarou"/>
        </w:rPr>
        <w:footnoteReference w:id="59"/>
      </w:r>
      <w:r w:rsidRPr="00B7218F">
        <w:t xml:space="preserve">. </w:t>
      </w:r>
    </w:p>
    <w:p w:rsidR="00FD7B45" w:rsidRPr="00B7218F" w:rsidRDefault="00FD7B45" w:rsidP="00A80382"/>
    <w:p w:rsidR="00FD7B45" w:rsidRDefault="00FD7B45" w:rsidP="00A80382">
      <w:r w:rsidRPr="00B7218F">
        <w:lastRenderedPageBreak/>
        <w:t>Mnoho důležitých rozhodnutí, které se týkaly volby strategie, byly odraženy v inflačním vývoji. Příkladem lze uvést zavedení nového rámce měnové politiky z roku 2001. Mzdový růst, který je měřen nominální kompenzací na jednoho pracovníka se do roku 1999 zpomaloval, avšak v roce 2000 došlo k jeho značnému zrychlení, aby v roce 2003 opět zpomalil. K volatilitě inflačních měr značně přispěly dovozní ceny a to společně se změnami regulovaných cen a nepřímých daní</w:t>
      </w:r>
      <w:r>
        <w:rPr>
          <w:rStyle w:val="Znakapoznpodarou"/>
        </w:rPr>
        <w:footnoteReference w:id="60"/>
      </w:r>
      <w:r w:rsidRPr="00B7218F">
        <w:t>.</w:t>
      </w:r>
    </w:p>
    <w:p w:rsidR="00FD7B45" w:rsidRPr="00B7218F" w:rsidRDefault="00FD7B45" w:rsidP="00A80382"/>
    <w:p w:rsidR="00FD7B45" w:rsidRPr="00B7218F" w:rsidRDefault="00FD7B45" w:rsidP="00A80382">
      <w:pPr>
        <w:rPr>
          <w:szCs w:val="24"/>
        </w:rPr>
      </w:pPr>
      <w:r w:rsidRPr="00B7218F">
        <w:t>Většina prognóz stanovených na rok 2004 očekávala míru inflace v rozmezí 3,6</w:t>
      </w:r>
      <w:r>
        <w:t xml:space="preserve"> </w:t>
      </w:r>
      <w:r w:rsidRPr="00B7218F">
        <w:t>% – 3,8</w:t>
      </w:r>
      <w:r>
        <w:t xml:space="preserve"> </w:t>
      </w:r>
      <w:r w:rsidRPr="00B7218F">
        <w:t>% a na rok 2005 se míra inflace očekávala v rozmezí 3,2</w:t>
      </w:r>
      <w:r>
        <w:t xml:space="preserve"> </w:t>
      </w:r>
      <w:r w:rsidRPr="00B7218F">
        <w:t>% – 3,3</w:t>
      </w:r>
      <w:r>
        <w:t xml:space="preserve"> </w:t>
      </w:r>
      <w:r w:rsidRPr="00B7218F">
        <w:t>%. S tímto obdobím bylo spojováno riziko růstu inflace spojované zejména s rostoucí domácí poptávkou a dalším zvyšováním regulovaných cen. V konvergenční zprávě z roku 2004 se uvádí: „</w:t>
      </w:r>
      <w:r w:rsidRPr="00B7218F">
        <w:rPr>
          <w:i/>
        </w:rPr>
        <w:t xml:space="preserve">Tvorba prostředí vedoucího k cenové stabilitě </w:t>
      </w:r>
      <w:r w:rsidRPr="00B7218F">
        <w:rPr>
          <w:i/>
          <w:szCs w:val="24"/>
        </w:rPr>
        <w:t>ve</w:t>
      </w:r>
      <w:r w:rsidRPr="00B7218F">
        <w:rPr>
          <w:i/>
          <w:color w:val="000000"/>
          <w:szCs w:val="24"/>
        </w:rPr>
        <w:t xml:space="preserve"> </w:t>
      </w:r>
      <w:r w:rsidRPr="00B7218F">
        <w:rPr>
          <w:i/>
          <w:szCs w:val="24"/>
        </w:rPr>
        <w:t>Slovinsku bude záviset, kromě jiného, na</w:t>
      </w:r>
      <w:r w:rsidRPr="00B7218F">
        <w:rPr>
          <w:i/>
          <w:color w:val="000000"/>
          <w:szCs w:val="24"/>
        </w:rPr>
        <w:t xml:space="preserve"> </w:t>
      </w:r>
      <w:r w:rsidRPr="00B7218F">
        <w:rPr>
          <w:i/>
          <w:szCs w:val="24"/>
        </w:rPr>
        <w:t>realizaci příslušné měnové a fiskální politiky,</w:t>
      </w:r>
      <w:r w:rsidRPr="00B7218F">
        <w:rPr>
          <w:i/>
          <w:color w:val="000000"/>
          <w:szCs w:val="24"/>
        </w:rPr>
        <w:t xml:space="preserve"> </w:t>
      </w:r>
      <w:r w:rsidRPr="00B7218F">
        <w:rPr>
          <w:i/>
          <w:szCs w:val="24"/>
        </w:rPr>
        <w:t>která bude hrát hlavní roli v řízení inflačních</w:t>
      </w:r>
      <w:r w:rsidRPr="00B7218F">
        <w:rPr>
          <w:i/>
          <w:color w:val="000000"/>
          <w:szCs w:val="24"/>
        </w:rPr>
        <w:t xml:space="preserve"> </w:t>
      </w:r>
      <w:r w:rsidRPr="00B7218F">
        <w:rPr>
          <w:i/>
          <w:szCs w:val="24"/>
        </w:rPr>
        <w:t>tlaků vyvolaných poptávkou. Dále bude</w:t>
      </w:r>
      <w:r w:rsidRPr="00B7218F">
        <w:rPr>
          <w:i/>
          <w:color w:val="000000"/>
          <w:szCs w:val="24"/>
        </w:rPr>
        <w:t xml:space="preserve"> </w:t>
      </w:r>
      <w:r w:rsidRPr="00B7218F">
        <w:rPr>
          <w:i/>
          <w:szCs w:val="24"/>
        </w:rPr>
        <w:t>nezbytné urychlení dalších strukturálních</w:t>
      </w:r>
      <w:r w:rsidRPr="00B7218F">
        <w:rPr>
          <w:i/>
          <w:color w:val="000000"/>
          <w:szCs w:val="24"/>
        </w:rPr>
        <w:t xml:space="preserve"> </w:t>
      </w:r>
      <w:r w:rsidRPr="00B7218F">
        <w:rPr>
          <w:i/>
          <w:szCs w:val="24"/>
        </w:rPr>
        <w:t xml:space="preserve">reforem, jako je další </w:t>
      </w:r>
      <w:proofErr w:type="spellStart"/>
      <w:r w:rsidRPr="00B7218F">
        <w:rPr>
          <w:i/>
          <w:szCs w:val="24"/>
        </w:rPr>
        <w:t>deindexace</w:t>
      </w:r>
      <w:proofErr w:type="spellEnd"/>
      <w:r w:rsidRPr="00B7218F">
        <w:rPr>
          <w:i/>
          <w:szCs w:val="24"/>
        </w:rPr>
        <w:t>, zejména</w:t>
      </w:r>
      <w:r w:rsidRPr="00B7218F">
        <w:rPr>
          <w:i/>
          <w:color w:val="000000"/>
          <w:szCs w:val="24"/>
        </w:rPr>
        <w:t xml:space="preserve"> </w:t>
      </w:r>
      <w:r w:rsidRPr="00B7218F">
        <w:rPr>
          <w:i/>
          <w:szCs w:val="24"/>
        </w:rPr>
        <w:t>mezd a některých sociálních transferů. Bude</w:t>
      </w:r>
      <w:r w:rsidRPr="00B7218F">
        <w:rPr>
          <w:i/>
          <w:color w:val="000000"/>
          <w:szCs w:val="24"/>
        </w:rPr>
        <w:t xml:space="preserve"> </w:t>
      </w:r>
      <w:r w:rsidRPr="00B7218F">
        <w:rPr>
          <w:i/>
          <w:szCs w:val="24"/>
        </w:rPr>
        <w:t>důležité zvýšit flexibilitu trhu práce a zajistit</w:t>
      </w:r>
      <w:r w:rsidRPr="00B7218F">
        <w:rPr>
          <w:i/>
          <w:color w:val="000000"/>
          <w:szCs w:val="24"/>
        </w:rPr>
        <w:t xml:space="preserve"> </w:t>
      </w:r>
      <w:r w:rsidRPr="00B7218F">
        <w:rPr>
          <w:i/>
          <w:szCs w:val="24"/>
        </w:rPr>
        <w:t>soulad růstu mezd a růstu produktivity práce.</w:t>
      </w:r>
      <w:r w:rsidRPr="00B7218F">
        <w:rPr>
          <w:i/>
          <w:color w:val="000000"/>
          <w:szCs w:val="24"/>
        </w:rPr>
        <w:t xml:space="preserve"> </w:t>
      </w:r>
      <w:r w:rsidRPr="00B7218F">
        <w:rPr>
          <w:i/>
          <w:szCs w:val="24"/>
        </w:rPr>
        <w:t>Je třeba brát v úvahu také vývoj v</w:t>
      </w:r>
      <w:r w:rsidRPr="00B7218F">
        <w:rPr>
          <w:i/>
          <w:color w:val="000000"/>
          <w:szCs w:val="24"/>
        </w:rPr>
        <w:t xml:space="preserve"> </w:t>
      </w:r>
      <w:r w:rsidRPr="00B7218F">
        <w:rPr>
          <w:i/>
          <w:szCs w:val="24"/>
        </w:rPr>
        <w:t>konkurenčních zemích. Pro zvýšení</w:t>
      </w:r>
      <w:r w:rsidRPr="00B7218F">
        <w:rPr>
          <w:i/>
          <w:color w:val="000000"/>
          <w:szCs w:val="24"/>
        </w:rPr>
        <w:t xml:space="preserve"> </w:t>
      </w:r>
      <w:r w:rsidRPr="00B7218F">
        <w:rPr>
          <w:i/>
          <w:szCs w:val="24"/>
        </w:rPr>
        <w:t>konkurence na trhu výrobků bude stejně</w:t>
      </w:r>
      <w:r w:rsidRPr="00B7218F">
        <w:rPr>
          <w:i/>
          <w:color w:val="000000"/>
          <w:szCs w:val="24"/>
        </w:rPr>
        <w:t xml:space="preserve"> </w:t>
      </w:r>
      <w:r w:rsidRPr="00B7218F">
        <w:rPr>
          <w:i/>
          <w:szCs w:val="24"/>
        </w:rPr>
        <w:t>důležité pokračování hospodářské liberalizace.“</w:t>
      </w:r>
      <w:r w:rsidRPr="00B7218F">
        <w:rPr>
          <w:rStyle w:val="Znakapoznpodarou"/>
          <w:i/>
          <w:szCs w:val="24"/>
        </w:rPr>
        <w:footnoteReference w:id="61"/>
      </w:r>
      <w:r w:rsidRPr="00B7218F">
        <w:rPr>
          <w:i/>
          <w:szCs w:val="24"/>
        </w:rPr>
        <w:t>.</w:t>
      </w:r>
      <w:r w:rsidRPr="00B7218F">
        <w:rPr>
          <w:szCs w:val="24"/>
        </w:rPr>
        <w:t xml:space="preserve"> Byl vznesen předpoklad, že proces dohánění bude mít taky pravděpodobný vliv na inflaci v příštích letech, ale jeho dosah vlivu lze přesně velmi těžko odhadnout.</w:t>
      </w:r>
    </w:p>
    <w:p w:rsidR="00FD7B45" w:rsidRPr="00B7218F" w:rsidRDefault="00FD7B45" w:rsidP="00A80382">
      <w:pPr>
        <w:rPr>
          <w:szCs w:val="24"/>
        </w:rPr>
      </w:pPr>
    </w:p>
    <w:p w:rsidR="00FD7B45" w:rsidRPr="00B7218F" w:rsidRDefault="00FD7B45" w:rsidP="00A80382">
      <w:pPr>
        <w:rPr>
          <w:szCs w:val="24"/>
        </w:rPr>
      </w:pPr>
      <w:r w:rsidRPr="00B7218F">
        <w:t xml:space="preserve">V průběhu referenčního období za rok 2005 dosahovala ve Slovinsku průměrná míra inflace měřená </w:t>
      </w:r>
      <w:proofErr w:type="spellStart"/>
      <w:r w:rsidRPr="00B7218F">
        <w:t>HICP</w:t>
      </w:r>
      <w:proofErr w:type="spellEnd"/>
      <w:r w:rsidRPr="00B7218F">
        <w:t xml:space="preserve"> 2,5 %. Podle tehdejších odhadů průměrná míra inflace měla v nadcházejících měsících zůstat stabilní. </w:t>
      </w:r>
      <w:r w:rsidRPr="00B7218F">
        <w:rPr>
          <w:szCs w:val="24"/>
        </w:rPr>
        <w:t xml:space="preserve">V roce 2006 stoupla v lednu na 2,6 % a následně poklesla na 2,0 % v březnu. Harmonizace spotřebních daní z tabáku patřila mezi faktory, které mohly zapříčinit vzestup inflace až o 0,5 </w:t>
      </w:r>
      <w:proofErr w:type="spellStart"/>
      <w:proofErr w:type="gramStart"/>
      <w:r w:rsidRPr="00B7218F">
        <w:rPr>
          <w:szCs w:val="24"/>
        </w:rPr>
        <w:t>p.b</w:t>
      </w:r>
      <w:proofErr w:type="spellEnd"/>
      <w:r w:rsidRPr="00B7218F">
        <w:rPr>
          <w:szCs w:val="24"/>
        </w:rPr>
        <w:t>.</w:t>
      </w:r>
      <w:r>
        <w:rPr>
          <w:szCs w:val="24"/>
        </w:rPr>
        <w:t>.</w:t>
      </w:r>
      <w:proofErr w:type="gramEnd"/>
      <w:r w:rsidRPr="00B7218F">
        <w:rPr>
          <w:szCs w:val="24"/>
        </w:rPr>
        <w:t xml:space="preserve"> Tato harmonizace byla předpokládaná, že bude provedena ve třech etapách do roku 2008. Další možností bylo zvýšení sazby DPH, které by zvýšilo inflaci o 0,7 </w:t>
      </w:r>
      <w:proofErr w:type="spellStart"/>
      <w:proofErr w:type="gramStart"/>
      <w:r w:rsidRPr="00B7218F">
        <w:rPr>
          <w:szCs w:val="24"/>
        </w:rPr>
        <w:t>p.b</w:t>
      </w:r>
      <w:proofErr w:type="spellEnd"/>
      <w:r w:rsidRPr="00B7218F">
        <w:rPr>
          <w:szCs w:val="24"/>
        </w:rPr>
        <w:t>..</w:t>
      </w:r>
      <w:proofErr w:type="gramEnd"/>
      <w:r w:rsidRPr="00B7218F">
        <w:rPr>
          <w:szCs w:val="24"/>
        </w:rPr>
        <w:t xml:space="preserve"> Existují </w:t>
      </w:r>
      <w:proofErr w:type="spellStart"/>
      <w:r w:rsidRPr="00B7218F">
        <w:rPr>
          <w:szCs w:val="24"/>
        </w:rPr>
        <w:t>proinflační</w:t>
      </w:r>
      <w:proofErr w:type="spellEnd"/>
      <w:r w:rsidRPr="00B7218F">
        <w:rPr>
          <w:szCs w:val="24"/>
        </w:rPr>
        <w:t xml:space="preserve"> rizika, která jsou spojena s relativně silnou domácí poptávkou, a to v souvislosti se zrychlujícím se růstem objemu úvěrů a v důsledku konvergence úrokových sazeb. Dále se jedná o rizika související se </w:t>
      </w:r>
      <w:r w:rsidRPr="00B7218F">
        <w:rPr>
          <w:szCs w:val="24"/>
        </w:rPr>
        <w:lastRenderedPageBreak/>
        <w:t xml:space="preserve">zvyšováním regulovaných cen.  Také existovala rizika vyplývající z růstu </w:t>
      </w:r>
      <w:proofErr w:type="gramStart"/>
      <w:r w:rsidRPr="00B7218F">
        <w:rPr>
          <w:szCs w:val="24"/>
        </w:rPr>
        <w:t>mezd</w:t>
      </w:r>
      <w:r>
        <w:rPr>
          <w:szCs w:val="24"/>
        </w:rPr>
        <w:t xml:space="preserve">                  </w:t>
      </w:r>
      <w:r w:rsidRPr="00B7218F">
        <w:rPr>
          <w:szCs w:val="24"/>
        </w:rPr>
        <w:t>a případných</w:t>
      </w:r>
      <w:proofErr w:type="gramEnd"/>
      <w:r w:rsidRPr="00B7218F">
        <w:rPr>
          <w:szCs w:val="24"/>
        </w:rPr>
        <w:t xml:space="preserve"> sekundárních dopadů nedávného zvyšování cen energií</w:t>
      </w:r>
      <w:r>
        <w:rPr>
          <w:rStyle w:val="Znakapoznpodarou"/>
          <w:szCs w:val="24"/>
        </w:rPr>
        <w:footnoteReference w:id="62"/>
      </w:r>
      <w:r w:rsidRPr="00B7218F">
        <w:rPr>
          <w:szCs w:val="24"/>
        </w:rPr>
        <w:t xml:space="preserve">. </w:t>
      </w:r>
    </w:p>
    <w:p w:rsidR="00FD7B45" w:rsidRDefault="00FD7B45" w:rsidP="00A80382">
      <w:pPr>
        <w:rPr>
          <w:szCs w:val="24"/>
        </w:rPr>
      </w:pPr>
    </w:p>
    <w:p w:rsidR="00FD7B45" w:rsidRPr="00B7218F" w:rsidRDefault="00FD7B45" w:rsidP="00A80382">
      <w:pPr>
        <w:rPr>
          <w:szCs w:val="24"/>
        </w:rPr>
      </w:pPr>
    </w:p>
    <w:p w:rsidR="00FD7B45" w:rsidRPr="00B7218F" w:rsidRDefault="00FD7B45" w:rsidP="00A80382">
      <w:pPr>
        <w:rPr>
          <w:b/>
        </w:rPr>
      </w:pPr>
      <w:r w:rsidRPr="00B7218F">
        <w:rPr>
          <w:b/>
        </w:rPr>
        <w:t>Kritérium směnného kurzu</w:t>
      </w:r>
    </w:p>
    <w:p w:rsidR="00FD7B45" w:rsidRPr="00B7218F" w:rsidRDefault="00FD7B45" w:rsidP="00A80382">
      <w:pPr>
        <w:autoSpaceDE w:val="0"/>
        <w:autoSpaceDN w:val="0"/>
        <w:adjustRightInd w:val="0"/>
        <w:spacing w:line="240" w:lineRule="auto"/>
        <w:rPr>
          <w:szCs w:val="24"/>
        </w:rPr>
      </w:pPr>
    </w:p>
    <w:p w:rsidR="00FD7B45" w:rsidRPr="00B7218F" w:rsidRDefault="00FD7B45" w:rsidP="00A80382">
      <w:r w:rsidRPr="00B7218F">
        <w:t xml:space="preserve">Slovinsko vstoupilo do směnného kurzu ERM II 28. </w:t>
      </w:r>
      <w:r>
        <w:t>č</w:t>
      </w:r>
      <w:r w:rsidRPr="00B7218F">
        <w:t xml:space="preserve">ervna 2004 </w:t>
      </w:r>
      <w:r w:rsidRPr="00B7218F">
        <w:rPr>
          <w:sz w:val="28"/>
        </w:rPr>
        <w:t>(</w:t>
      </w:r>
      <w:r w:rsidRPr="00B7218F">
        <w:rPr>
          <w:szCs w:val="24"/>
        </w:rPr>
        <w:t xml:space="preserve">tj. méně než dva roky před šetřením prováděným </w:t>
      </w:r>
      <w:proofErr w:type="spellStart"/>
      <w:r w:rsidRPr="00B7218F">
        <w:rPr>
          <w:szCs w:val="24"/>
        </w:rPr>
        <w:t>ECB</w:t>
      </w:r>
      <w:proofErr w:type="spellEnd"/>
      <w:r w:rsidRPr="00B7218F">
        <w:rPr>
          <w:szCs w:val="24"/>
        </w:rPr>
        <w:t>)</w:t>
      </w:r>
      <w:r w:rsidRPr="00B7218F">
        <w:t xml:space="preserve"> s centrální paritou 239,64 tolaru za euro, což se v daném období blížilo tržní úrovni.</w:t>
      </w:r>
      <w:r w:rsidRPr="00B7218F">
        <w:rPr>
          <w:szCs w:val="24"/>
        </w:rPr>
        <w:t xml:space="preserve"> </w:t>
      </w:r>
      <w:r w:rsidRPr="00B7218F">
        <w:t>Je důležité říci, že tolar před vstupem do ERM II postupně k euru zeslaboval. Slovinská politika byla v systému směnného kurzu zaměřena na dosažení stabilního devizového kurzu tolaru vůči euru. Následkem tohoto cíle bylo, že tolar se pohyboval blízko své centrální parity. Od politiky oslabování tolaru vůči euru Slovinsko opustilo po vstupu do ERM II. Domácí krátkodobé úrokové sazby zůstávaly na vyšší úrovni než u ostatních zemí v eurozóně.</w:t>
      </w:r>
      <w:r>
        <w:rPr>
          <w:rStyle w:val="Znakapoznpodarou"/>
        </w:rPr>
        <w:footnoteReference w:id="63"/>
      </w:r>
      <w:r w:rsidRPr="00B7218F">
        <w:t xml:space="preserve"> </w:t>
      </w:r>
    </w:p>
    <w:p w:rsidR="00FD7B45" w:rsidRPr="00B7218F" w:rsidRDefault="00FD7B45" w:rsidP="00A80382">
      <w:pPr>
        <w:rPr>
          <w:szCs w:val="24"/>
        </w:rPr>
      </w:pPr>
    </w:p>
    <w:p w:rsidR="00FD7B45" w:rsidRDefault="00FD7B45" w:rsidP="00A80382">
      <w:r w:rsidRPr="00B7218F">
        <w:rPr>
          <w:szCs w:val="24"/>
        </w:rPr>
        <w:t xml:space="preserve">Banka </w:t>
      </w:r>
      <w:proofErr w:type="spellStart"/>
      <w:r w:rsidRPr="00B7218F">
        <w:rPr>
          <w:szCs w:val="24"/>
        </w:rPr>
        <w:t>Slovenije</w:t>
      </w:r>
      <w:proofErr w:type="spellEnd"/>
      <w:r w:rsidRPr="00B7218F">
        <w:rPr>
          <w:szCs w:val="24"/>
        </w:rPr>
        <w:t xml:space="preserve"> udržovala volatilitu své měny na velmi nízké úrovni prostřednictvím své </w:t>
      </w:r>
      <w:proofErr w:type="spellStart"/>
      <w:r w:rsidRPr="00B7218F">
        <w:rPr>
          <w:szCs w:val="24"/>
        </w:rPr>
        <w:t>facility</w:t>
      </w:r>
      <w:proofErr w:type="spellEnd"/>
      <w:r w:rsidRPr="00B7218F">
        <w:rPr>
          <w:szCs w:val="24"/>
        </w:rPr>
        <w:t xml:space="preserve"> měnových swapů. Příležitostně realizovala přímé nákupy cizích měn s cílem snížit kumulovanou částku splatných swapů, což implikovalo celkově významné čisté nákupy cizích měn za účelem absorbování potenciálních tlaků na posílení měny. </w:t>
      </w:r>
    </w:p>
    <w:p w:rsidR="00FD7B45" w:rsidRDefault="00FD7B45" w:rsidP="00A80382"/>
    <w:p w:rsidR="00FD7B45" w:rsidRPr="00B7218F" w:rsidRDefault="00FD7B45" w:rsidP="00A80382"/>
    <w:p w:rsidR="00FD7B45" w:rsidRPr="00B7218F" w:rsidRDefault="00FD7B45" w:rsidP="00A80382">
      <w:pPr>
        <w:rPr>
          <w:b/>
        </w:rPr>
      </w:pPr>
      <w:r w:rsidRPr="00B7218F">
        <w:rPr>
          <w:b/>
        </w:rPr>
        <w:t>Kritérium udržitelnosti veřejných financí</w:t>
      </w:r>
    </w:p>
    <w:p w:rsidR="00FD7B45" w:rsidRPr="00B7218F" w:rsidRDefault="00FD7B45" w:rsidP="00A80382"/>
    <w:p w:rsidR="00FD7B45" w:rsidRPr="00B7218F" w:rsidRDefault="00FD7B45" w:rsidP="00A80382">
      <w:r w:rsidRPr="00B7218F">
        <w:t>Slovinsko v roce 2003 vykazovalo, vládní deficit 2 % k HDP. Hodnota vládního deficitu se pohyboval</w:t>
      </w:r>
      <w:r>
        <w:t>a</w:t>
      </w:r>
      <w:r w:rsidRPr="00B7218F">
        <w:t xml:space="preserve"> pod doporučenou hodnotou. Na rok 2004 byla prognózována hodnota deficitu 2,3 % HDP. Přitom skutečná hodnota čila 1,9 % HDP</w:t>
      </w:r>
      <w:r w:rsidRPr="00B7218F">
        <w:rPr>
          <w:rStyle w:val="Znakapoznpodarou"/>
        </w:rPr>
        <w:footnoteReference w:id="64"/>
      </w:r>
      <w:r w:rsidRPr="00B7218F">
        <w:t xml:space="preserve">. </w:t>
      </w:r>
      <w:r>
        <w:t>V</w:t>
      </w:r>
      <w:r w:rsidRPr="00B7218F">
        <w:t xml:space="preserve">ývoj udržitelnosti financí jak z pohledu vládního </w:t>
      </w:r>
      <w:r>
        <w:t xml:space="preserve">deficitu tak i veřejného dluhu </w:t>
      </w:r>
      <w:r w:rsidRPr="00B7218F">
        <w:t xml:space="preserve">za období let 2001 až 2005. </w:t>
      </w:r>
      <w:r>
        <w:t>V</w:t>
      </w:r>
      <w:r w:rsidRPr="00B7218F">
        <w:t xml:space="preserve">ládní deficit od roku 2001 snižoval a to z hodnoty 2,8 % z roku 2001 k hodnotě 1,9 % z února roku 2005. O veřejném dluhu to neplatí, jelikož se v daném období oproti vládnímu dluhu </w:t>
      </w:r>
      <w:r w:rsidRPr="00B7218F">
        <w:lastRenderedPageBreak/>
        <w:t>zvyšoval. V roce 2001 jeho hodnota dosahovala 28,1</w:t>
      </w:r>
      <w:r>
        <w:t xml:space="preserve"> </w:t>
      </w:r>
      <w:r w:rsidRPr="00B7218F">
        <w:t>% a v únoru 2005 byla výše dluhu 30,1 % HDP, když původně byla předpokládaná hodnota 30,8 %</w:t>
      </w:r>
      <w:r w:rsidRPr="00B7218F">
        <w:rPr>
          <w:rStyle w:val="Znakapoznpodarou"/>
        </w:rPr>
        <w:footnoteReference w:id="65"/>
      </w:r>
      <w:r w:rsidRPr="00B7218F">
        <w:t>. Tento nárůst byl stále pod referenční hodnotou daného kritéria (max. 60</w:t>
      </w:r>
      <w:r>
        <w:t xml:space="preserve"> </w:t>
      </w:r>
      <w:r w:rsidRPr="00B7218F">
        <w:t>%) nutného pro přijetí eura.</w:t>
      </w:r>
    </w:p>
    <w:p w:rsidR="00FD7B45" w:rsidRPr="00B7218F" w:rsidRDefault="00FD7B45" w:rsidP="00A80382"/>
    <w:p w:rsidR="00FD7B45" w:rsidRPr="00B7218F" w:rsidRDefault="00FD7B45" w:rsidP="00A80382">
      <w:r w:rsidRPr="00B7218F">
        <w:t xml:space="preserve">Slovinsku bylo doporučeno pokračování ve fiskální konsolidaci, tak aby splnilo střednědobý cíl, který je v Konvergenčním programu Slovinska stanoven jako schodek ve výši 1 % HDP. </w:t>
      </w:r>
    </w:p>
    <w:p w:rsidR="00FD7B45" w:rsidRDefault="00FD7B45" w:rsidP="00A80382">
      <w:pPr>
        <w:autoSpaceDE w:val="0"/>
        <w:autoSpaceDN w:val="0"/>
        <w:adjustRightInd w:val="0"/>
        <w:spacing w:line="240" w:lineRule="auto"/>
        <w:rPr>
          <w:szCs w:val="24"/>
        </w:rPr>
      </w:pPr>
    </w:p>
    <w:p w:rsidR="00FD7B45" w:rsidRPr="00B7218F" w:rsidRDefault="00FD7B45" w:rsidP="00A80382">
      <w:pPr>
        <w:autoSpaceDE w:val="0"/>
        <w:autoSpaceDN w:val="0"/>
        <w:adjustRightInd w:val="0"/>
        <w:spacing w:line="240" w:lineRule="auto"/>
        <w:rPr>
          <w:szCs w:val="24"/>
        </w:rPr>
      </w:pPr>
    </w:p>
    <w:p w:rsidR="00FD7B45" w:rsidRPr="00B7218F" w:rsidRDefault="00FD7B45" w:rsidP="00A80382">
      <w:pPr>
        <w:autoSpaceDE w:val="0"/>
        <w:autoSpaceDN w:val="0"/>
        <w:adjustRightInd w:val="0"/>
        <w:spacing w:line="240" w:lineRule="auto"/>
        <w:rPr>
          <w:szCs w:val="24"/>
        </w:rPr>
      </w:pPr>
    </w:p>
    <w:p w:rsidR="00FD7B45" w:rsidRPr="00B7218F" w:rsidRDefault="00A02874" w:rsidP="00A80382">
      <w:pPr>
        <w:rPr>
          <w:b/>
        </w:rPr>
      </w:pPr>
      <w:hyperlink r:id="rId11" w:anchor="4" w:history="1">
        <w:r w:rsidR="00FD7B45" w:rsidRPr="00B7218F">
          <w:rPr>
            <w:b/>
          </w:rPr>
          <w:t>Kritérium dlouhodobých úrokových sazeb</w:t>
        </w:r>
      </w:hyperlink>
    </w:p>
    <w:p w:rsidR="00FD7B45" w:rsidRPr="00B7218F" w:rsidRDefault="00FD7B45" w:rsidP="00A80382"/>
    <w:p w:rsidR="00FD7B45" w:rsidRPr="00B7218F" w:rsidRDefault="00FD7B45" w:rsidP="00A80382">
      <w:pPr>
        <w:rPr>
          <w:szCs w:val="24"/>
        </w:rPr>
      </w:pPr>
      <w:r w:rsidRPr="00B7218F">
        <w:t xml:space="preserve">Průměrná úroveň dlouhodobých úrokových sazeb před rokem 2004 byla 5,2 %, tj. pod referenční hodnotou kritéria úrokových sazeb. Dlouhodobé úrokové sazby na Slovinsku se značně přiblížily k průměrnému výnosu dluhopisů v eurozóně, což bylo odrazem zejména důvěry v dezinflační strategii prováděnou Banka </w:t>
      </w:r>
      <w:proofErr w:type="spellStart"/>
      <w:r w:rsidRPr="00B7218F">
        <w:t>Slovenije</w:t>
      </w:r>
      <w:proofErr w:type="spellEnd"/>
      <w:r w:rsidRPr="00B7218F">
        <w:t xml:space="preserve"> a v ekonomický a fiskální vývoj Slovinska. Za rok 2005 a 2006 průměrná hodnota byla 3,8 %</w:t>
      </w:r>
      <w:r>
        <w:t>,</w:t>
      </w:r>
      <w:r w:rsidRPr="00B7218F">
        <w:t xml:space="preserve"> co</w:t>
      </w:r>
      <w:r>
        <w:t>ž</w:t>
      </w:r>
      <w:r w:rsidRPr="00B7218F">
        <w:t xml:space="preserve"> bylo </w:t>
      </w:r>
      <w:r w:rsidRPr="00B7218F">
        <w:rPr>
          <w:szCs w:val="24"/>
        </w:rPr>
        <w:t>výrazně pod referenční hodnotou kritéria úrokových sazeb</w:t>
      </w:r>
      <w:r>
        <w:rPr>
          <w:rStyle w:val="Znakapoznpodarou"/>
          <w:szCs w:val="24"/>
        </w:rPr>
        <w:footnoteReference w:id="66"/>
      </w:r>
      <w:r w:rsidRPr="00B7218F">
        <w:rPr>
          <w:szCs w:val="24"/>
        </w:rPr>
        <w:t>.</w:t>
      </w:r>
    </w:p>
    <w:p w:rsidR="00FD7B45" w:rsidRPr="00B7218F" w:rsidRDefault="00FD7B45" w:rsidP="00A80382">
      <w:pPr>
        <w:rPr>
          <w:szCs w:val="24"/>
        </w:rPr>
      </w:pPr>
    </w:p>
    <w:p w:rsidR="00FD7B45" w:rsidRPr="00B7218F" w:rsidRDefault="00FD7B45" w:rsidP="00A80382">
      <w:r w:rsidRPr="00B7218F">
        <w:t xml:space="preserve">Slovinsko muselo realizovat zdravou fiskální konsolidaci, která by také omezila potenciální poptávkové tlaky v ekonomice, a umírněnou mzdovou politiku, která bude odrážet růst produktivity práce a vývoj v konkurenčních zemích. Dále bylo zemi doporučeno, aby pokračovala se strukturálními reformami. Prostředí vedoucí k cenové stabilitě může být vytvořeno zejména díky zvýšení flexibility trhu práce prostřednictvím </w:t>
      </w:r>
      <w:proofErr w:type="spellStart"/>
      <w:r w:rsidRPr="00B7218F">
        <w:t>deindexace</w:t>
      </w:r>
      <w:proofErr w:type="spellEnd"/>
      <w:r w:rsidRPr="00B7218F">
        <w:t xml:space="preserve"> a pokračování ekonomické liberalizace vedoucí k vyšší konkurenci na trzích zboží a služeb. Po nedávné novelizaci zákona o slovinské centrální bance byl její </w:t>
      </w:r>
      <w:proofErr w:type="gramStart"/>
      <w:r w:rsidRPr="00B7218F">
        <w:t>statut</w:t>
      </w:r>
      <w:r>
        <w:t xml:space="preserve">       </w:t>
      </w:r>
      <w:r w:rsidRPr="00B7218F">
        <w:t>v souladu</w:t>
      </w:r>
      <w:proofErr w:type="gramEnd"/>
      <w:r w:rsidRPr="00B7218F">
        <w:t xml:space="preserve"> s požadavky Smlouvy a Statutu pro třetí etapu Hospodářské a měnové unie.</w:t>
      </w:r>
    </w:p>
    <w:p w:rsidR="00FD7B45" w:rsidRDefault="00FD7B45" w:rsidP="00A80382"/>
    <w:p w:rsidR="00FD7B45" w:rsidRDefault="00FD7B45" w:rsidP="00A80382">
      <w:r>
        <w:t xml:space="preserve">Na začátku této kapitoly bylo uvedeno, že se budou charakterizovat praktické přípravy pro zavedení eura. Mezi tyto praktické přípravy patří obeznámení veřejností s eurem, výměna </w:t>
      </w:r>
      <w:r>
        <w:lastRenderedPageBreak/>
        <w:t>hotového oběživa, předzásobení a druhotné předzásobení před dnem zavedení eura, období používání dvojího oběživa a rychlé vrácení národní měny. Po praktických přípravách byly charakterizovány převody finančních administrativních systémů. Během této operace bylo převedeno zhruba 2,3 mil. bankovních účtů a to jak fyzických tak i právnických osob</w:t>
      </w:r>
      <w:r>
        <w:rPr>
          <w:rStyle w:val="Znakapoznpodarou"/>
        </w:rPr>
        <w:footnoteReference w:id="67"/>
      </w:r>
      <w:r>
        <w:t xml:space="preserve">. </w:t>
      </w:r>
    </w:p>
    <w:p w:rsidR="00FD7B45" w:rsidRDefault="00FD7B45" w:rsidP="00A80382"/>
    <w:p w:rsidR="00FD7B45" w:rsidRPr="00B7218F" w:rsidRDefault="00FD7B45" w:rsidP="00A80382">
      <w:r>
        <w:t>Důležitou součástí bylo také sledování vývoje cen a to zejména v období během přechodu na euro.  Vývoj cen je také spjat s vnímáním cen, kde Slovinsko během ledna a února 2007 zaznamenalo určitou podobnost s první vlnou rozšiřování. V březnu a dubnu došlo k určitému poklesu.</w:t>
      </w:r>
      <w:r w:rsidRPr="00C84728">
        <w:rPr>
          <w:szCs w:val="24"/>
        </w:rPr>
        <w:t xml:space="preserve"> </w:t>
      </w:r>
      <w:r>
        <w:rPr>
          <w:szCs w:val="24"/>
        </w:rPr>
        <w:t xml:space="preserve">Tento pokles by mohl naznačovat, že intenzívní snaha slovinských úřadů o komunikaci byla efektivní.  Také bylo důležité, aby se sledovala reakce veřejnosti na daný přechod. Dle zpráv z výzkumů, které si nechala zhotovit evropská komise, bylo zřejmé, že slovinská veřejnost na přechod k euru reagovala velice kladně. Procentuálně </w:t>
      </w:r>
      <w:proofErr w:type="gramStart"/>
      <w:r>
        <w:rPr>
          <w:szCs w:val="24"/>
        </w:rPr>
        <w:t>vyjádřeno</w:t>
      </w:r>
      <w:proofErr w:type="gramEnd"/>
      <w:r>
        <w:rPr>
          <w:szCs w:val="24"/>
        </w:rPr>
        <w:t xml:space="preserve"> přibližně 95 % obyvatel </w:t>
      </w:r>
      <w:proofErr w:type="gramStart"/>
      <w:r>
        <w:rPr>
          <w:szCs w:val="24"/>
        </w:rPr>
        <w:t>byla</w:t>
      </w:r>
      <w:proofErr w:type="gramEnd"/>
      <w:r>
        <w:rPr>
          <w:szCs w:val="24"/>
        </w:rPr>
        <w:t xml:space="preserve"> s efektivností přechodu spokojena. Poslední podkapitolou, která byla v teoretické části charakterizována, je vyhodnocení konvergenčních zpráv, na základě kterých se rozhoduje o povolení či odmítnutí přijetí eura. V těchto zprávách byly analyzovány vývoje všech konvergenčních </w:t>
      </w:r>
      <w:proofErr w:type="gramStart"/>
      <w:r>
        <w:rPr>
          <w:szCs w:val="24"/>
        </w:rPr>
        <w:t>kritérií                   i fiskálních</w:t>
      </w:r>
      <w:proofErr w:type="gramEnd"/>
      <w:r>
        <w:rPr>
          <w:szCs w:val="24"/>
        </w:rPr>
        <w:t>. Na základě těchto zpráv se Slovinsko rozhodlo pro převzetí společné měny euro</w:t>
      </w:r>
      <w:r>
        <w:rPr>
          <w:rStyle w:val="Znakapoznpodarou"/>
          <w:szCs w:val="24"/>
        </w:rPr>
        <w:footnoteReference w:id="68"/>
      </w:r>
      <w:r>
        <w:rPr>
          <w:rStyle w:val="Znakapoznpodarou"/>
          <w:szCs w:val="24"/>
        </w:rPr>
        <w:footnoteReference w:id="69"/>
      </w:r>
      <w:r>
        <w:rPr>
          <w:szCs w:val="24"/>
        </w:rPr>
        <w:t>.</w:t>
      </w:r>
    </w:p>
    <w:p w:rsidR="00FD7B45" w:rsidRDefault="00FD7B45" w:rsidP="00A80382"/>
    <w:p w:rsidR="00FD7B45" w:rsidRDefault="00FD7B45" w:rsidP="00A80382"/>
    <w:p w:rsidR="00FD7B45" w:rsidRDefault="00FD7B45" w:rsidP="00A80382"/>
    <w:p w:rsidR="00FD7B45" w:rsidRDefault="00FD7B45" w:rsidP="00A80382"/>
    <w:p w:rsidR="00FD7B45" w:rsidRDefault="00FD7B45" w:rsidP="00A80382"/>
    <w:p w:rsidR="00FD7B45" w:rsidRDefault="00FD7B45" w:rsidP="00A80382"/>
    <w:p w:rsidR="00FD7B45" w:rsidRDefault="00FD7B45" w:rsidP="00A80382"/>
    <w:p w:rsidR="00FD7B45" w:rsidRDefault="00FD7B45" w:rsidP="00A80382"/>
    <w:p w:rsidR="00FD7B45" w:rsidRDefault="00FD7B45" w:rsidP="00814C22">
      <w:pPr>
        <w:pStyle w:val="Nadpis1"/>
        <w:spacing w:before="0"/>
        <w:rPr>
          <w:caps/>
          <w:lang w:eastAsia="cs-CZ"/>
        </w:rPr>
      </w:pPr>
      <w:bookmarkStart w:id="60" w:name="_Toc282027374"/>
      <w:r w:rsidRPr="00B7218F">
        <w:rPr>
          <w:caps/>
          <w:lang w:eastAsia="cs-CZ"/>
        </w:rPr>
        <w:lastRenderedPageBreak/>
        <w:t>Praktická část</w:t>
      </w:r>
      <w:bookmarkEnd w:id="60"/>
    </w:p>
    <w:p w:rsidR="00FD7B45" w:rsidRDefault="00FD7B45" w:rsidP="00E108FC">
      <w:pPr>
        <w:rPr>
          <w:lang w:eastAsia="cs-CZ"/>
        </w:rPr>
      </w:pPr>
    </w:p>
    <w:p w:rsidR="00FD7B45" w:rsidRDefault="00FD7B45" w:rsidP="00BF1E38">
      <w:pPr>
        <w:rPr>
          <w:lang w:eastAsia="cs-CZ"/>
        </w:rPr>
      </w:pPr>
      <w:r>
        <w:rPr>
          <w:lang w:eastAsia="cs-CZ"/>
        </w:rPr>
        <w:t xml:space="preserve">Praktická část této diplomové práce se bude skládat z jedné kapitoly, ve které bude popsán růst celkového hrubého domácího produktu. Cílem této práce je </w:t>
      </w:r>
      <w:proofErr w:type="gramStart"/>
      <w:r>
        <w:rPr>
          <w:lang w:eastAsia="cs-CZ"/>
        </w:rPr>
        <w:t>prokázat,  zda</w:t>
      </w:r>
      <w:proofErr w:type="gramEnd"/>
      <w:r>
        <w:rPr>
          <w:lang w:eastAsia="cs-CZ"/>
        </w:rPr>
        <w:t xml:space="preserve"> a v jaké výši je vývoj hrubého domácího produktu závislý na vývoji jednotlivých složek agregátního důchodu. Druhým cílem je  </w:t>
      </w:r>
      <w:proofErr w:type="spellStart"/>
      <w:r>
        <w:rPr>
          <w:lang w:eastAsia="cs-CZ"/>
        </w:rPr>
        <w:t>vefikace</w:t>
      </w:r>
      <w:proofErr w:type="spellEnd"/>
      <w:r>
        <w:rPr>
          <w:lang w:eastAsia="cs-CZ"/>
        </w:rPr>
        <w:t xml:space="preserve"> hypotézy, zda zavedení eura v zemi mělo výrazný vliv na vývoj domácí ekonomiky. </w:t>
      </w:r>
    </w:p>
    <w:p w:rsidR="00FD7B45" w:rsidRDefault="00FD7B45" w:rsidP="00BF1E38">
      <w:pPr>
        <w:rPr>
          <w:lang w:eastAsia="cs-CZ"/>
        </w:rPr>
      </w:pPr>
    </w:p>
    <w:p w:rsidR="00FD7B45" w:rsidRDefault="00FD7B45" w:rsidP="00BF1E38">
      <w:pPr>
        <w:rPr>
          <w:lang w:eastAsia="cs-CZ"/>
        </w:rPr>
      </w:pPr>
      <w:r>
        <w:rPr>
          <w:lang w:eastAsia="cs-CZ"/>
        </w:rPr>
        <w:t xml:space="preserve">Nejprve v této kapitole bude analyzován meziroční vývoj hrubého domácího produktu (dále jen HDP), na který naváže analyzování závislosti jeho jednotlivých složek. U složky, která bude mít nejsilnější závislost, bude také provedena analýza, která by měla určit, jaké faktory na danou složku nejvíce působí. Posléze tato složka bude </w:t>
      </w:r>
      <w:proofErr w:type="gramStart"/>
      <w:r>
        <w:rPr>
          <w:lang w:eastAsia="cs-CZ"/>
        </w:rPr>
        <w:t>podrobněji     charakterizována</w:t>
      </w:r>
      <w:proofErr w:type="gramEnd"/>
      <w:r>
        <w:rPr>
          <w:lang w:eastAsia="cs-CZ"/>
        </w:rPr>
        <w:t xml:space="preserve"> v časovém období  2005 – 2009. </w:t>
      </w:r>
    </w:p>
    <w:p w:rsidR="00FD7B45" w:rsidRDefault="00FD7B45" w:rsidP="00BF1E38">
      <w:pPr>
        <w:rPr>
          <w:lang w:eastAsia="cs-CZ"/>
        </w:rPr>
      </w:pPr>
    </w:p>
    <w:p w:rsidR="00FD7B45" w:rsidRDefault="00FD7B45" w:rsidP="00BF1E38">
      <w:pPr>
        <w:rPr>
          <w:lang w:eastAsia="cs-CZ"/>
        </w:rPr>
      </w:pPr>
      <w:r>
        <w:rPr>
          <w:lang w:eastAsia="cs-CZ"/>
        </w:rPr>
        <w:t xml:space="preserve">Mimo složky, u </w:t>
      </w:r>
      <w:proofErr w:type="gramStart"/>
      <w:r>
        <w:rPr>
          <w:lang w:eastAsia="cs-CZ"/>
        </w:rPr>
        <w:t>které</w:t>
      </w:r>
      <w:proofErr w:type="gramEnd"/>
      <w:r>
        <w:rPr>
          <w:lang w:eastAsia="cs-CZ"/>
        </w:rPr>
        <w:t xml:space="preserve"> bude zjištěna nejsilnější závislost, budou také charakterizovány         i ostatní složky, které se podílely na tvorbě  celkového HDP. V závěru této kapitoly budou jednotlivé složky shrnuty a doplněny o ostatní faktory, které mohou ovlivnit vývoj slovinské ekonomiky. </w:t>
      </w: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Default="00FD7B45" w:rsidP="00E108FC">
      <w:pPr>
        <w:rPr>
          <w:lang w:eastAsia="cs-CZ"/>
        </w:rPr>
      </w:pPr>
    </w:p>
    <w:p w:rsidR="00FD7B45" w:rsidRPr="00B7218F" w:rsidRDefault="00FD7B45" w:rsidP="00814C22">
      <w:pPr>
        <w:pStyle w:val="Nadpis1"/>
        <w:spacing w:before="0"/>
        <w:rPr>
          <w:caps/>
        </w:rPr>
      </w:pPr>
      <w:bookmarkStart w:id="61" w:name="_Toc282027375"/>
      <w:r w:rsidRPr="00B7218F">
        <w:rPr>
          <w:caps/>
        </w:rPr>
        <w:lastRenderedPageBreak/>
        <w:t>3 Ekonomický vývoj HDP Slovinska před a po přijetí eura</w:t>
      </w:r>
      <w:bookmarkEnd w:id="61"/>
    </w:p>
    <w:p w:rsidR="00FD7B45" w:rsidRPr="00B7218F" w:rsidRDefault="00FD7B45" w:rsidP="00611E8B"/>
    <w:p w:rsidR="00FD7B45" w:rsidRPr="00B7218F" w:rsidRDefault="00FD7B45" w:rsidP="00BF1E38">
      <w:r w:rsidRPr="00B7218F">
        <w:t xml:space="preserve">Hrubý domácí produkt (HDP) je jedním z hlavních ukazatelů ekonomického vývoje v zemi. V praktické části této práce se bude analyzovat jeho vývoj před a po zavedení společné měny. Během jednotlivých analýz se bude zkoumat vliv jednotlivých komponent na jeho vývoj. Komponentami jsou myšlené spotřeba domácností, investice a vládní výdaje. </w:t>
      </w:r>
      <w:proofErr w:type="gramStart"/>
      <w:r w:rsidRPr="00B7218F">
        <w:t xml:space="preserve">Pro </w:t>
      </w:r>
      <w:r>
        <w:t xml:space="preserve"> potřeby</w:t>
      </w:r>
      <w:proofErr w:type="gramEnd"/>
      <w:r w:rsidRPr="00B7218F">
        <w:t xml:space="preserve"> této práce se abstrahuje od platební bilance, budou se zkoumat pouze domácí složky ekonomiky, kter</w:t>
      </w:r>
      <w:r>
        <w:t>é</w:t>
      </w:r>
      <w:r w:rsidRPr="00B7218F">
        <w:t xml:space="preserve"> lze odvodit z rovnice Y=AD, AD=C+I+G. </w:t>
      </w:r>
      <w:proofErr w:type="gramStart"/>
      <w:r w:rsidRPr="00B7218F">
        <w:t xml:space="preserve">Přičemž </w:t>
      </w:r>
      <w:r>
        <w:t xml:space="preserve">        </w:t>
      </w:r>
      <w:r w:rsidRPr="00B7218F">
        <w:t>Y značí</w:t>
      </w:r>
      <w:proofErr w:type="gramEnd"/>
      <w:r w:rsidRPr="00B7218F">
        <w:t xml:space="preserve"> rovnovážnou produkci </w:t>
      </w:r>
      <w:r>
        <w:t xml:space="preserve"> měřenou ukazatelem</w:t>
      </w:r>
      <w:r w:rsidRPr="00B7218F">
        <w:t xml:space="preserve"> HDP, AD znační agregátní poptávku na domácím trhu.  Složkami agregátní poptávky jsou spotřeba (C), investice (I) a vládní výdaje (G)</w:t>
      </w:r>
      <w:r>
        <w:rPr>
          <w:rStyle w:val="Znakapoznpodarou"/>
        </w:rPr>
        <w:footnoteReference w:id="70"/>
      </w:r>
      <w:r w:rsidRPr="00B7218F">
        <w:t>.</w:t>
      </w:r>
    </w:p>
    <w:p w:rsidR="00FD7B45" w:rsidRPr="00B7218F" w:rsidRDefault="00FD7B45" w:rsidP="00BF1E38"/>
    <w:p w:rsidR="00FD7B45" w:rsidRPr="00B7218F" w:rsidRDefault="00FD7B45" w:rsidP="00BF1E38">
      <w:r w:rsidRPr="00B7218F">
        <w:t xml:space="preserve">Při studii vývoje ekonomického ukazatele se bude vycházet z reálných </w:t>
      </w:r>
      <w:proofErr w:type="gramStart"/>
      <w:r w:rsidRPr="00B7218F">
        <w:t xml:space="preserve">veličin, </w:t>
      </w:r>
      <w:r>
        <w:t xml:space="preserve"> takže</w:t>
      </w:r>
      <w:proofErr w:type="gramEnd"/>
      <w:r w:rsidRPr="00B7218F">
        <w:t xml:space="preserve"> všechny vstupní komponenty v běžných cenách budou očištěny o vliv inflace. V tomto případě se jedná o očištění vlivu Indexu spotřebitelských cen (CPI) v meziročních změnách.</w:t>
      </w:r>
    </w:p>
    <w:p w:rsidR="00FD7B45" w:rsidRPr="00B7218F" w:rsidRDefault="00FD7B45" w:rsidP="00D47570"/>
    <w:p w:rsidR="00FD7B45" w:rsidRPr="00B7218F" w:rsidRDefault="00FD7B45" w:rsidP="00BF1E38"/>
    <w:p w:rsidR="00FD7B45" w:rsidRPr="00B7218F" w:rsidRDefault="00FD7B45" w:rsidP="00BF1E38">
      <w:pPr>
        <w:pStyle w:val="Nadpis2"/>
        <w:spacing w:before="0"/>
      </w:pPr>
      <w:bookmarkStart w:id="62" w:name="_Toc281759175"/>
      <w:bookmarkStart w:id="63" w:name="_Toc282027376"/>
      <w:r w:rsidRPr="00B7218F">
        <w:t>3.1 Meziroční vývoj HDP</w:t>
      </w:r>
      <w:bookmarkEnd w:id="62"/>
      <w:bookmarkEnd w:id="63"/>
      <w:r w:rsidRPr="00B7218F">
        <w:t xml:space="preserve"> </w:t>
      </w: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V</w:t>
      </w:r>
      <w:r>
        <w:rPr>
          <w:lang w:eastAsia="cs-CZ"/>
        </w:rPr>
        <w:t>e</w:t>
      </w:r>
      <w:r w:rsidRPr="00B7218F">
        <w:rPr>
          <w:lang w:eastAsia="cs-CZ"/>
        </w:rPr>
        <w:t xml:space="preserve"> sledovaném období tj. od roku 2005 do roku 2009 </w:t>
      </w:r>
      <w:r>
        <w:rPr>
          <w:lang w:eastAsia="cs-CZ"/>
        </w:rPr>
        <w:t xml:space="preserve">mělo </w:t>
      </w:r>
      <w:proofErr w:type="gramStart"/>
      <w:r w:rsidRPr="00B7218F">
        <w:rPr>
          <w:lang w:eastAsia="cs-CZ"/>
        </w:rPr>
        <w:t>HDP  rostoucí</w:t>
      </w:r>
      <w:proofErr w:type="gramEnd"/>
      <w:r w:rsidRPr="00B7218F">
        <w:rPr>
          <w:lang w:eastAsia="cs-CZ"/>
        </w:rPr>
        <w:t xml:space="preserve"> trend jak v období před zavedením eura tak i po zavedení společné měny. V roce </w:t>
      </w:r>
      <w:proofErr w:type="gramStart"/>
      <w:r w:rsidRPr="00B7218F">
        <w:rPr>
          <w:lang w:eastAsia="cs-CZ"/>
        </w:rPr>
        <w:t xml:space="preserve">2007  </w:t>
      </w:r>
      <w:r>
        <w:rPr>
          <w:lang w:eastAsia="cs-CZ"/>
        </w:rPr>
        <w:t>po</w:t>
      </w:r>
      <w:proofErr w:type="gramEnd"/>
      <w:r>
        <w:rPr>
          <w:lang w:eastAsia="cs-CZ"/>
        </w:rPr>
        <w:t xml:space="preserve"> </w:t>
      </w:r>
      <w:r w:rsidRPr="00B7218F">
        <w:rPr>
          <w:lang w:eastAsia="cs-CZ"/>
        </w:rPr>
        <w:t>zaveden</w:t>
      </w:r>
      <w:r>
        <w:rPr>
          <w:lang w:eastAsia="cs-CZ"/>
        </w:rPr>
        <w:t>í</w:t>
      </w:r>
      <w:r w:rsidRPr="00B7218F">
        <w:rPr>
          <w:lang w:eastAsia="cs-CZ"/>
        </w:rPr>
        <w:t xml:space="preserve"> jednotn</w:t>
      </w:r>
      <w:r>
        <w:rPr>
          <w:lang w:eastAsia="cs-CZ"/>
        </w:rPr>
        <w:t>é</w:t>
      </w:r>
      <w:r w:rsidRPr="00B7218F">
        <w:rPr>
          <w:lang w:eastAsia="cs-CZ"/>
        </w:rPr>
        <w:t xml:space="preserve"> měn</w:t>
      </w:r>
      <w:r>
        <w:rPr>
          <w:lang w:eastAsia="cs-CZ"/>
        </w:rPr>
        <w:t xml:space="preserve">y byl růst </w:t>
      </w:r>
      <w:r w:rsidRPr="00B7218F">
        <w:rPr>
          <w:lang w:eastAsia="cs-CZ"/>
        </w:rPr>
        <w:t xml:space="preserve">HDP </w:t>
      </w:r>
      <w:r>
        <w:rPr>
          <w:lang w:eastAsia="cs-CZ"/>
        </w:rPr>
        <w:t>znatelně</w:t>
      </w:r>
      <w:r w:rsidRPr="00B7218F">
        <w:rPr>
          <w:lang w:eastAsia="cs-CZ"/>
        </w:rPr>
        <w:t xml:space="preserve"> větší než v předešlém roce. V roce 2008 došlo k mírnému růstu. V roce 2009 došlo k poklesu reálného důchodu</w:t>
      </w:r>
      <w:r>
        <w:rPr>
          <w:rStyle w:val="Znakapoznpodarou"/>
          <w:lang w:eastAsia="cs-CZ"/>
        </w:rPr>
        <w:footnoteReference w:id="71"/>
      </w:r>
      <w:r w:rsidRPr="00B7218F">
        <w:rPr>
          <w:lang w:eastAsia="cs-CZ"/>
        </w:rPr>
        <w:t>.</w:t>
      </w:r>
    </w:p>
    <w:p w:rsidR="00FD7B45" w:rsidRPr="00B7218F" w:rsidRDefault="00FD7B45" w:rsidP="00BF1E38">
      <w:pPr>
        <w:rPr>
          <w:lang w:eastAsia="cs-CZ"/>
        </w:rPr>
      </w:pPr>
    </w:p>
    <w:p w:rsidR="00FD7B45" w:rsidRPr="00B7218F" w:rsidRDefault="00FD7B45" w:rsidP="00BF1E38">
      <w:pPr>
        <w:rPr>
          <w:lang w:eastAsia="cs-CZ"/>
        </w:rPr>
      </w:pPr>
    </w:p>
    <w:p w:rsidR="00FD7B45" w:rsidRPr="009E2981" w:rsidRDefault="00A02874" w:rsidP="00BF1E38">
      <w:pPr>
        <w:rPr>
          <w:b/>
          <w:lang w:eastAsia="cs-CZ"/>
        </w:rPr>
      </w:pPr>
      <w:r w:rsidRPr="00A02874">
        <w:rPr>
          <w:b/>
          <w:noProof/>
          <w:lang w:eastAsia="cs-CZ"/>
        </w:rPr>
        <w:lastRenderedPageBreak/>
        <w:pict>
          <v:shape id="Graf 11" o:spid="_x0000_i1029" type="#_x0000_t75" style="width:390pt;height:216.7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">
            <v:imagedata r:id="rId12" o:title=""/>
            <o:lock v:ext="edit" aspectratio="f"/>
          </v:shape>
        </w:pict>
      </w:r>
    </w:p>
    <w:p w:rsidR="00FD7B45" w:rsidRPr="00B7218F" w:rsidRDefault="00FD7B45" w:rsidP="00BF1E38">
      <w:pPr>
        <w:pStyle w:val="Podtitul"/>
        <w:rPr>
          <w:lang w:eastAsia="cs-CZ"/>
        </w:rPr>
      </w:pPr>
      <w:r w:rsidRPr="00B7218F">
        <w:t>Zdroj Vlastní konstrukce : Statistický Slovinský úřad[online],Nár</w:t>
      </w:r>
      <w:r>
        <w:t>o</w:t>
      </w:r>
      <w:r w:rsidRPr="00B7218F">
        <w:t xml:space="preserve">dní </w:t>
      </w:r>
      <w:r>
        <w:t>ú</w:t>
      </w:r>
      <w:r w:rsidRPr="00B7218F">
        <w:t xml:space="preserve">čty, </w:t>
      </w:r>
      <w:r>
        <w:t xml:space="preserve">2010, </w:t>
      </w:r>
      <w:r w:rsidRPr="00B7218F">
        <w:t xml:space="preserve">[cit. </w:t>
      </w:r>
      <w:proofErr w:type="gramStart"/>
      <w:r w:rsidRPr="00B7218F">
        <w:t>2010-10</w:t>
      </w:r>
      <w:proofErr w:type="gramEnd"/>
      <w:r w:rsidRPr="00B7218F">
        <w:t xml:space="preserve">-30]. Dostupný z  </w:t>
      </w:r>
      <w:hyperlink r:id="rId13" w:history="1">
        <w:r w:rsidRPr="00B7218F">
          <w:rPr>
            <w:rStyle w:val="Hypertextovodkaz"/>
            <w:szCs w:val="20"/>
          </w:rPr>
          <w:t>http://www.stat.si/pxweb/Database/Ekonomsko/Ekonomsko.asp</w:t>
        </w:r>
      </w:hyperlink>
    </w:p>
    <w:p w:rsidR="00FD7B45" w:rsidRPr="00B7218F" w:rsidRDefault="00FD7B45" w:rsidP="00BF1E38">
      <w:pPr>
        <w:pStyle w:val="Nadpis4"/>
        <w:rPr>
          <w:lang w:eastAsia="cs-CZ"/>
        </w:rPr>
      </w:pPr>
      <w:bookmarkStart w:id="64" w:name="_Toc281759195"/>
      <w:bookmarkStart w:id="65" w:name="_Toc282027251"/>
      <w:proofErr w:type="gramStart"/>
      <w:r w:rsidRPr="00B7218F">
        <w:rPr>
          <w:lang w:eastAsia="cs-CZ"/>
        </w:rPr>
        <w:t>Obr.4:</w:t>
      </w:r>
      <w:proofErr w:type="gramEnd"/>
      <w:r w:rsidRPr="00B7218F">
        <w:rPr>
          <w:lang w:eastAsia="cs-CZ"/>
        </w:rPr>
        <w:t xml:space="preserve"> Vývoj ročního růstu HDP v mil. EUR</w:t>
      </w:r>
      <w:bookmarkEnd w:id="64"/>
      <w:bookmarkEnd w:id="65"/>
    </w:p>
    <w:p w:rsidR="00FD7B45" w:rsidRDefault="00FD7B45" w:rsidP="00BF1E38">
      <w:pPr>
        <w:rPr>
          <w:lang w:eastAsia="cs-CZ"/>
        </w:rPr>
      </w:pPr>
    </w:p>
    <w:p w:rsidR="00FD7B45" w:rsidRPr="00B7218F" w:rsidRDefault="00FD7B45" w:rsidP="00BF1E38">
      <w:pPr>
        <w:rPr>
          <w:lang w:eastAsia="cs-CZ"/>
        </w:rPr>
      </w:pPr>
      <w:r w:rsidRPr="00B7218F">
        <w:rPr>
          <w:lang w:eastAsia="cs-CZ"/>
        </w:rPr>
        <w:t>Lepší pohled na vývoj HDP ukazuje graf Vývoje ročního růstu HDP v %</w:t>
      </w:r>
      <w:r>
        <w:rPr>
          <w:lang w:eastAsia="cs-CZ"/>
        </w:rPr>
        <w:t xml:space="preserve"> (viz obrázek č. 4)</w:t>
      </w:r>
      <w:r w:rsidRPr="00B7218F">
        <w:rPr>
          <w:lang w:eastAsia="cs-CZ"/>
        </w:rPr>
        <w:t>. I v tomto případě jsou veškeré hodnoty reálné, tedy nominální hodnoty jsou</w:t>
      </w:r>
      <w:r>
        <w:rPr>
          <w:lang w:eastAsia="cs-CZ"/>
        </w:rPr>
        <w:t xml:space="preserve"> </w:t>
      </w:r>
      <w:r w:rsidRPr="00B7218F">
        <w:rPr>
          <w:lang w:eastAsia="cs-CZ"/>
        </w:rPr>
        <w:t xml:space="preserve">očištěné o vliv cen. Procentní vývoj lépe vystihuje skutečnou meziroční míru růstu. </w:t>
      </w:r>
    </w:p>
    <w:p w:rsidR="00FD7B45" w:rsidRPr="00B7218F" w:rsidRDefault="00FD7B45" w:rsidP="00BF1E38">
      <w:pPr>
        <w:rPr>
          <w:lang w:eastAsia="cs-CZ"/>
        </w:rPr>
      </w:pPr>
      <w:r w:rsidRPr="00B7218F">
        <w:rPr>
          <w:lang w:eastAsia="cs-CZ"/>
        </w:rPr>
        <w:t xml:space="preserve"> </w:t>
      </w:r>
    </w:p>
    <w:p w:rsidR="00FD7B45" w:rsidRPr="00B7218F" w:rsidRDefault="00FD7B45" w:rsidP="00BF1E38">
      <w:pPr>
        <w:rPr>
          <w:lang w:eastAsia="cs-CZ"/>
        </w:rPr>
      </w:pPr>
      <w:r w:rsidRPr="00B7218F">
        <w:rPr>
          <w:lang w:eastAsia="cs-CZ"/>
        </w:rPr>
        <w:t xml:space="preserve">V roce 2005 byla peněžní hodnota HDP 28 048 mil. EUR. </w:t>
      </w:r>
      <w:proofErr w:type="gramStart"/>
      <w:r w:rsidRPr="00B7218F">
        <w:rPr>
          <w:lang w:eastAsia="cs-CZ"/>
        </w:rPr>
        <w:t>Násled</w:t>
      </w:r>
      <w:r>
        <w:rPr>
          <w:lang w:eastAsia="cs-CZ"/>
        </w:rPr>
        <w:t>ují</w:t>
      </w:r>
      <w:proofErr w:type="gramEnd"/>
      <w:r>
        <w:rPr>
          <w:lang w:eastAsia="cs-CZ"/>
        </w:rPr>
        <w:t xml:space="preserve"> rok </w:t>
      </w:r>
      <w:proofErr w:type="gramStart"/>
      <w:r w:rsidRPr="00B7218F">
        <w:rPr>
          <w:lang w:eastAsia="cs-CZ"/>
        </w:rPr>
        <w:t>činila</w:t>
      </w:r>
      <w:proofErr w:type="gramEnd"/>
      <w:r w:rsidRPr="00B7218F">
        <w:rPr>
          <w:lang w:eastAsia="cs-CZ"/>
        </w:rPr>
        <w:t xml:space="preserve"> hodnota HDP 30 293 </w:t>
      </w:r>
      <w:r>
        <w:rPr>
          <w:lang w:eastAsia="cs-CZ"/>
        </w:rPr>
        <w:t>mil. EUR, což představuje procentuální růst 8 %</w:t>
      </w:r>
      <w:r w:rsidRPr="00B7218F">
        <w:rPr>
          <w:lang w:eastAsia="cs-CZ"/>
        </w:rPr>
        <w:t xml:space="preserve">. Tento nárůst nebyl zanedbatelný. Daleko rozsáhlejší nárůst byl zaznamenán v následujícím roce 2007, kde procentuální nárůst byl ve výši 10,15 %. V peněžní hodnotě to znamená, že HDP činilo 33 367 </w:t>
      </w:r>
      <w:r>
        <w:rPr>
          <w:lang w:eastAsia="cs-CZ"/>
        </w:rPr>
        <w:t>mil. EUR</w:t>
      </w:r>
      <w:r w:rsidRPr="00B7218F">
        <w:rPr>
          <w:lang w:eastAsia="cs-CZ"/>
        </w:rPr>
        <w:t>. Příčiny tohoto růstu jsou analyzovány v následujících kapitolách. Tento rok je významný, jelikož na začátku tohoto roku bylo zavedeno euro</w:t>
      </w:r>
      <w:r>
        <w:rPr>
          <w:rStyle w:val="Znakapoznpodarou"/>
          <w:lang w:eastAsia="cs-CZ"/>
        </w:rPr>
        <w:footnoteReference w:id="72"/>
      </w:r>
      <w:r w:rsidRPr="00B7218F">
        <w:rPr>
          <w:lang w:eastAsia="cs-CZ"/>
        </w:rPr>
        <w:t>.</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V roce 2008 nastal v růstu obrat. Oproti roku 2007 došlo k poklesu růstu na úroveň roční procentuální změny</w:t>
      </w:r>
      <w:r>
        <w:rPr>
          <w:lang w:eastAsia="cs-CZ"/>
        </w:rPr>
        <w:t xml:space="preserve"> ve výši</w:t>
      </w:r>
      <w:r w:rsidRPr="00B7218F">
        <w:rPr>
          <w:lang w:eastAsia="cs-CZ"/>
        </w:rPr>
        <w:t xml:space="preserve"> 5,77 %. V peněžní hodnotě to znamená, že velikost HDP činila 35 293 </w:t>
      </w:r>
      <w:r>
        <w:rPr>
          <w:lang w:eastAsia="cs-CZ"/>
        </w:rPr>
        <w:t>mil. EUR</w:t>
      </w:r>
      <w:r w:rsidRPr="00B7218F">
        <w:rPr>
          <w:lang w:eastAsia="cs-CZ"/>
        </w:rPr>
        <w:t xml:space="preserve">. Předpokládaný vliv měla na tento stav začínající hospodářská krize, </w:t>
      </w:r>
      <w:proofErr w:type="gramStart"/>
      <w:r w:rsidRPr="00B7218F">
        <w:rPr>
          <w:lang w:eastAsia="cs-CZ"/>
        </w:rPr>
        <w:t>jenž</w:t>
      </w:r>
      <w:proofErr w:type="gramEnd"/>
      <w:r w:rsidRPr="00B7218F">
        <w:rPr>
          <w:lang w:eastAsia="cs-CZ"/>
        </w:rPr>
        <w:t xml:space="preserve"> </w:t>
      </w:r>
      <w:r w:rsidRPr="00B7218F">
        <w:rPr>
          <w:lang w:eastAsia="cs-CZ"/>
        </w:rPr>
        <w:lastRenderedPageBreak/>
        <w:t xml:space="preserve">se znatelněji </w:t>
      </w:r>
      <w:proofErr w:type="gramStart"/>
      <w:r w:rsidRPr="00B7218F">
        <w:rPr>
          <w:lang w:eastAsia="cs-CZ"/>
        </w:rPr>
        <w:t>projevila</w:t>
      </w:r>
      <w:proofErr w:type="gramEnd"/>
      <w:r w:rsidRPr="00B7218F">
        <w:rPr>
          <w:lang w:eastAsia="cs-CZ"/>
        </w:rPr>
        <w:t xml:space="preserve"> v roce 2009</w:t>
      </w:r>
      <w:r>
        <w:rPr>
          <w:lang w:eastAsia="cs-CZ"/>
        </w:rPr>
        <w:t>,</w:t>
      </w:r>
      <w:r w:rsidRPr="00B7218F">
        <w:rPr>
          <w:lang w:eastAsia="cs-CZ"/>
        </w:rPr>
        <w:t xml:space="preserve"> kd</w:t>
      </w:r>
      <w:r>
        <w:rPr>
          <w:lang w:eastAsia="cs-CZ"/>
        </w:rPr>
        <w:t>y</w:t>
      </w:r>
      <w:r w:rsidRPr="00B7218F">
        <w:rPr>
          <w:lang w:eastAsia="cs-CZ"/>
        </w:rPr>
        <w:t xml:space="preserve"> HDP </w:t>
      </w:r>
      <w:r>
        <w:rPr>
          <w:lang w:eastAsia="cs-CZ"/>
        </w:rPr>
        <w:t xml:space="preserve">v </w:t>
      </w:r>
      <w:r w:rsidRPr="00B7218F">
        <w:rPr>
          <w:lang w:eastAsia="cs-CZ"/>
        </w:rPr>
        <w:t xml:space="preserve">peněžní hodnotě </w:t>
      </w:r>
      <w:r>
        <w:rPr>
          <w:lang w:eastAsia="cs-CZ"/>
        </w:rPr>
        <w:t>činilo</w:t>
      </w:r>
      <w:r w:rsidRPr="00B7218F">
        <w:rPr>
          <w:lang w:eastAsia="cs-CZ"/>
        </w:rPr>
        <w:t xml:space="preserve"> 35 069 mil. EUR </w:t>
      </w:r>
      <w:r>
        <w:rPr>
          <w:lang w:eastAsia="cs-CZ"/>
        </w:rPr>
        <w:t xml:space="preserve">          </w:t>
      </w:r>
      <w:r w:rsidRPr="00B7218F">
        <w:rPr>
          <w:lang w:eastAsia="cs-CZ"/>
        </w:rPr>
        <w:t>a procentní změna byla -0,64 %.</w:t>
      </w:r>
      <w:r>
        <w:rPr>
          <w:rStyle w:val="Znakapoznpodarou"/>
          <w:lang w:eastAsia="cs-CZ"/>
        </w:rPr>
        <w:footnoteReference w:id="73"/>
      </w:r>
    </w:p>
    <w:p w:rsidR="00FD7B45" w:rsidRPr="00B7218F" w:rsidRDefault="00FD7B45" w:rsidP="00BF1E38">
      <w:pPr>
        <w:rPr>
          <w:lang w:eastAsia="cs-CZ"/>
        </w:rPr>
      </w:pPr>
    </w:p>
    <w:p w:rsidR="00FD7B45" w:rsidRPr="00B7218F" w:rsidRDefault="00A02874" w:rsidP="00BF1E38">
      <w:pPr>
        <w:rPr>
          <w:lang w:eastAsia="cs-CZ"/>
        </w:rPr>
      </w:pPr>
      <w:r>
        <w:rPr>
          <w:noProof/>
          <w:lang w:eastAsia="cs-CZ"/>
        </w:rPr>
        <w:pict>
          <v:shape id="Graf 12" o:spid="_x0000_i1030" type="#_x0000_t75" style="width:437.25pt;height:216.7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">
            <v:imagedata r:id="rId14" o:title=""/>
            <o:lock v:ext="edit" aspectratio="f"/>
          </v:shape>
        </w:pict>
      </w:r>
    </w:p>
    <w:p w:rsidR="00FD7B45" w:rsidRPr="00B7218F" w:rsidRDefault="00FD7B45" w:rsidP="00BF1E38">
      <w:pPr>
        <w:pStyle w:val="Podtitul"/>
        <w:rPr>
          <w:lang w:eastAsia="cs-CZ"/>
        </w:rPr>
      </w:pPr>
      <w:r w:rsidRPr="00B7218F">
        <w:t>Zdroj Vlastní konstrukce : Statistický Slovinský úřad[online],Nár</w:t>
      </w:r>
      <w:r>
        <w:t>o</w:t>
      </w:r>
      <w:r w:rsidRPr="00B7218F">
        <w:t xml:space="preserve">dní </w:t>
      </w:r>
      <w:r>
        <w:t>ú</w:t>
      </w:r>
      <w:r w:rsidRPr="00B7218F">
        <w:t>čty,</w:t>
      </w:r>
      <w:r>
        <w:t>2010</w:t>
      </w:r>
      <w:r w:rsidRPr="00B7218F">
        <w:t>,</w:t>
      </w:r>
      <w:r>
        <w:t xml:space="preserve"> </w:t>
      </w:r>
      <w:r w:rsidRPr="00B7218F">
        <w:t xml:space="preserve">[cit. </w:t>
      </w:r>
      <w:proofErr w:type="gramStart"/>
      <w:r w:rsidRPr="00B7218F">
        <w:t>2010-10</w:t>
      </w:r>
      <w:proofErr w:type="gramEnd"/>
      <w:r w:rsidRPr="00B7218F">
        <w:t xml:space="preserve">-30]. Dostupný z  </w:t>
      </w:r>
      <w:hyperlink r:id="rId15" w:history="1">
        <w:r w:rsidRPr="00B7218F">
          <w:rPr>
            <w:rStyle w:val="Hypertextovodkaz"/>
            <w:szCs w:val="20"/>
          </w:rPr>
          <w:t>http://www.stat.si/pxweb/Database/Ekonomsko/Ekonomsko.asp</w:t>
        </w:r>
      </w:hyperlink>
    </w:p>
    <w:p w:rsidR="00FD7B45" w:rsidRPr="00B7218F" w:rsidRDefault="00FD7B45" w:rsidP="00BF1E38">
      <w:pPr>
        <w:pStyle w:val="Nadpis4"/>
        <w:rPr>
          <w:lang w:eastAsia="cs-CZ"/>
        </w:rPr>
      </w:pPr>
      <w:bookmarkStart w:id="66" w:name="_Toc281759196"/>
      <w:bookmarkStart w:id="67" w:name="_Toc282027252"/>
      <w:proofErr w:type="gramStart"/>
      <w:r w:rsidRPr="00B7218F">
        <w:rPr>
          <w:lang w:eastAsia="cs-CZ"/>
        </w:rPr>
        <w:t>Obr.5:</w:t>
      </w:r>
      <w:proofErr w:type="gramEnd"/>
      <w:r w:rsidRPr="00B7218F">
        <w:rPr>
          <w:lang w:eastAsia="cs-CZ"/>
        </w:rPr>
        <w:t xml:space="preserve"> Vývoj ročního růstu HDP</w:t>
      </w:r>
      <w:r>
        <w:rPr>
          <w:lang w:eastAsia="cs-CZ"/>
        </w:rPr>
        <w:t xml:space="preserve"> v </w:t>
      </w:r>
      <w:r w:rsidRPr="00B7218F">
        <w:rPr>
          <w:lang w:eastAsia="cs-CZ"/>
        </w:rPr>
        <w:t>%</w:t>
      </w:r>
      <w:bookmarkEnd w:id="66"/>
      <w:r>
        <w:rPr>
          <w:lang w:eastAsia="cs-CZ"/>
        </w:rPr>
        <w:t>.</w:t>
      </w:r>
      <w:bookmarkEnd w:id="67"/>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Po shrnutí celého sledovaného období, lze říci, že se v prvních třech letech HDP vyvíjelo velmi pozitivně. Meziroční přírůstky byly relativně vysoké. Situace se změnila po roku 2007, kdy nárůst HDP v roce 2008 byl daleko nižší než v předešlých obdobích. Možnou příčinou tohoto efektu byl začínající nástup novodobé hospodářské krize, která ve velkém rozsahu vyvrcholila v roce 2009, kdy došlo k poklesu ve vývoji reálného HDP. Oproti roku 2008 HDP pokleslo o -0,64%. Daná situace je zřetelně vidět na grafu s názvem „Vývoj ročního růstu HDP </w:t>
      </w:r>
      <w:r>
        <w:rPr>
          <w:lang w:eastAsia="cs-CZ"/>
        </w:rPr>
        <w:t xml:space="preserve">v </w:t>
      </w:r>
      <w:r w:rsidRPr="00B7218F">
        <w:rPr>
          <w:lang w:eastAsia="cs-CZ"/>
        </w:rPr>
        <w:t>%</w:t>
      </w:r>
      <w:r>
        <w:rPr>
          <w:lang w:eastAsia="cs-CZ"/>
        </w:rPr>
        <w:t>.</w:t>
      </w:r>
      <w:r>
        <w:rPr>
          <w:rStyle w:val="Znakapoznpodarou"/>
          <w:lang w:eastAsia="cs-CZ"/>
        </w:rPr>
        <w:footnoteReference w:id="74"/>
      </w:r>
      <w:r w:rsidRPr="00B7218F">
        <w:rPr>
          <w:lang w:eastAsia="cs-CZ"/>
        </w:rPr>
        <w:t>“</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Po analyzování vývoje růstu HDP je potřeba se zaměřit na</w:t>
      </w:r>
      <w:r>
        <w:rPr>
          <w:lang w:eastAsia="cs-CZ"/>
        </w:rPr>
        <w:t xml:space="preserve"> </w:t>
      </w:r>
      <w:r w:rsidRPr="00B7218F">
        <w:rPr>
          <w:lang w:eastAsia="cs-CZ"/>
        </w:rPr>
        <w:t xml:space="preserve">to, co tento vývoj mohlo ovlivnit. Pro zjištění závislosti růstu </w:t>
      </w:r>
      <w:r>
        <w:rPr>
          <w:lang w:eastAsia="cs-CZ"/>
        </w:rPr>
        <w:t>jednotlivých</w:t>
      </w:r>
      <w:r w:rsidRPr="00B7218F">
        <w:rPr>
          <w:lang w:eastAsia="cs-CZ"/>
        </w:rPr>
        <w:t xml:space="preserve"> složek</w:t>
      </w:r>
      <w:r>
        <w:rPr>
          <w:lang w:eastAsia="cs-CZ"/>
        </w:rPr>
        <w:t xml:space="preserve"> HDP</w:t>
      </w:r>
      <w:r w:rsidRPr="00B7218F">
        <w:rPr>
          <w:lang w:eastAsia="cs-CZ"/>
        </w:rPr>
        <w:t xml:space="preserve"> na </w:t>
      </w:r>
      <w:r>
        <w:rPr>
          <w:lang w:eastAsia="cs-CZ"/>
        </w:rPr>
        <w:t xml:space="preserve">jeho </w:t>
      </w:r>
      <w:r w:rsidRPr="00B7218F">
        <w:rPr>
          <w:lang w:eastAsia="cs-CZ"/>
        </w:rPr>
        <w:t>růstu se využívá korelační analýza. Z korelační analýzy vyplyne, zda jsou veličiny na sobě závisl</w:t>
      </w:r>
      <w:r>
        <w:rPr>
          <w:lang w:eastAsia="cs-CZ"/>
        </w:rPr>
        <w:t>é</w:t>
      </w:r>
      <w:r w:rsidRPr="00B7218F">
        <w:rPr>
          <w:lang w:eastAsia="cs-CZ"/>
        </w:rPr>
        <w:t xml:space="preserve"> či ne</w:t>
      </w:r>
      <w:r>
        <w:rPr>
          <w:lang w:eastAsia="cs-CZ"/>
        </w:rPr>
        <w:t>.</w:t>
      </w:r>
      <w:r w:rsidRPr="00B7218F">
        <w:rPr>
          <w:lang w:eastAsia="cs-CZ"/>
        </w:rPr>
        <w:t xml:space="preserve"> Pokud jsou závislé, tak jak moc jsou závislé a jestli jsou přímo úměrné či nepřímo úměrné. </w:t>
      </w:r>
    </w:p>
    <w:p w:rsidR="00FD7B45" w:rsidRPr="00B7218F" w:rsidRDefault="00FD7B45" w:rsidP="00BF1E38">
      <w:pPr>
        <w:pStyle w:val="Nadpis2"/>
        <w:spacing w:before="0"/>
        <w:rPr>
          <w:lang w:eastAsia="cs-CZ"/>
        </w:rPr>
      </w:pPr>
      <w:bookmarkStart w:id="68" w:name="_Toc281759176"/>
      <w:bookmarkStart w:id="69" w:name="_Toc282027377"/>
      <w:r w:rsidRPr="00B7218F">
        <w:rPr>
          <w:lang w:eastAsia="cs-CZ"/>
        </w:rPr>
        <w:lastRenderedPageBreak/>
        <w:t>3.2 Korelace jednotlivých komponent s vývojem HDP</w:t>
      </w:r>
      <w:bookmarkEnd w:id="68"/>
      <w:bookmarkEnd w:id="69"/>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Jak bylo již zmíněno</w:t>
      </w:r>
      <w:r>
        <w:rPr>
          <w:lang w:eastAsia="cs-CZ"/>
        </w:rPr>
        <w:t>,</w:t>
      </w:r>
      <w:r w:rsidRPr="00B7218F">
        <w:rPr>
          <w:lang w:eastAsia="cs-CZ"/>
        </w:rPr>
        <w:t xml:space="preserve"> tak HDP je tvořeno několika komponentami, které mohou ovlivnit jeho růst. Každá z těchto komponent m</w:t>
      </w:r>
      <w:r>
        <w:rPr>
          <w:lang w:eastAsia="cs-CZ"/>
        </w:rPr>
        <w:t>ůže mít</w:t>
      </w:r>
      <w:r w:rsidRPr="00B7218F">
        <w:rPr>
          <w:lang w:eastAsia="cs-CZ"/>
        </w:rPr>
        <w:t xml:space="preserve"> na růst HDP jiný vliv. Největší význam se v analýze klade spotřebě poté investicím a v poslední řadě vládním výdajům. Pro potvrzení či vyvrácení těchto předpokladů bude v této práci zkonstruována korelační analýza, která potvrdí či vyvrátí </w:t>
      </w:r>
      <w:r>
        <w:rPr>
          <w:lang w:eastAsia="cs-CZ"/>
        </w:rPr>
        <w:t>závislost</w:t>
      </w:r>
      <w:r w:rsidRPr="00B7218F">
        <w:rPr>
          <w:lang w:eastAsia="cs-CZ"/>
        </w:rPr>
        <w:t xml:space="preserve"> komponent s růstem HDP. </w:t>
      </w:r>
    </w:p>
    <w:p w:rsidR="00FD7B45" w:rsidRPr="00B7218F" w:rsidRDefault="00FD7B45" w:rsidP="00BF1E38">
      <w:pPr>
        <w:pStyle w:val="Nadpis3"/>
      </w:pPr>
    </w:p>
    <w:p w:rsidR="00FD7B45" w:rsidRPr="00B7218F" w:rsidRDefault="00FD7B45" w:rsidP="00BF1E38"/>
    <w:p w:rsidR="00FD7B45" w:rsidRPr="00B7218F" w:rsidRDefault="00FD7B45" w:rsidP="00BF1E38">
      <w:pPr>
        <w:pStyle w:val="Nadpis3"/>
        <w:spacing w:before="0"/>
      </w:pPr>
      <w:bookmarkStart w:id="70" w:name="_Toc281759177"/>
      <w:bookmarkStart w:id="71" w:name="_Toc282027378"/>
      <w:r w:rsidRPr="00B7218F">
        <w:t>3.2.1 Korelace HDP a spotřeby</w:t>
      </w:r>
      <w:bookmarkEnd w:id="70"/>
      <w:bookmarkEnd w:id="71"/>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První komponentou, na kterou se korelační analýza zaměří, bude spotřeba. Spotřeba je jednou z nejdůležitějších složek důchodů. Jsou to právě domácnosti, které spolu s jejich spotřebním chováním ovlivňují spotřebu a tím i celkový růst HDP. V následující tabulce jsou uvedeny údaje o vývoji, jak spotřeby, tak i HDP.</w:t>
      </w:r>
    </w:p>
    <w:p w:rsidR="00FD7B45" w:rsidRPr="00B7218F" w:rsidRDefault="00FD7B45" w:rsidP="00BF1E38">
      <w:pPr>
        <w:pStyle w:val="Nadpis5"/>
      </w:pPr>
      <w:bookmarkStart w:id="72" w:name="_Toc281768946"/>
      <w:bookmarkStart w:id="73" w:name="_Toc282364920"/>
      <w:proofErr w:type="spellStart"/>
      <w:proofErr w:type="gramStart"/>
      <w:r w:rsidRPr="00B7218F">
        <w:t>Tab.1</w:t>
      </w:r>
      <w:proofErr w:type="spellEnd"/>
      <w:r w:rsidRPr="00B7218F">
        <w:t>:</w:t>
      </w:r>
      <w:proofErr w:type="gramEnd"/>
      <w:r w:rsidRPr="00B7218F">
        <w:t xml:space="preserve"> Korelace </w:t>
      </w:r>
      <w:r w:rsidRPr="00964FA0">
        <w:t>spotřeby</w:t>
      </w:r>
      <w:bookmarkEnd w:id="72"/>
      <w:bookmarkEnd w:id="73"/>
    </w:p>
    <w:tbl>
      <w:tblPr>
        <w:tblW w:w="8934" w:type="dxa"/>
        <w:tblInd w:w="60" w:type="dxa"/>
        <w:tblCellMar>
          <w:left w:w="70" w:type="dxa"/>
          <w:right w:w="70" w:type="dxa"/>
        </w:tblCellMar>
        <w:tblLook w:val="00A0"/>
      </w:tblPr>
      <w:tblGrid>
        <w:gridCol w:w="2514"/>
        <w:gridCol w:w="1284"/>
        <w:gridCol w:w="1284"/>
        <w:gridCol w:w="1284"/>
        <w:gridCol w:w="1284"/>
        <w:gridCol w:w="1284"/>
      </w:tblGrid>
      <w:tr w:rsidR="00FD7B45" w:rsidRPr="00501694" w:rsidTr="005C27A4">
        <w:trPr>
          <w:trHeight w:val="232"/>
        </w:trPr>
        <w:tc>
          <w:tcPr>
            <w:tcW w:w="2514" w:type="dxa"/>
            <w:tcBorders>
              <w:top w:val="single" w:sz="8" w:space="0" w:color="auto"/>
              <w:left w:val="single" w:sz="8" w:space="0" w:color="auto"/>
              <w:bottom w:val="single" w:sz="4" w:space="0" w:color="auto"/>
              <w:right w:val="single" w:sz="4" w:space="0" w:color="auto"/>
            </w:tcBorders>
            <w:shd w:val="clear" w:color="000000" w:fill="DBE5F1"/>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Rok</w:t>
            </w:r>
          </w:p>
        </w:tc>
        <w:tc>
          <w:tcPr>
            <w:tcW w:w="1284"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2005</w:t>
            </w:r>
          </w:p>
        </w:tc>
        <w:tc>
          <w:tcPr>
            <w:tcW w:w="1284"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2006</w:t>
            </w:r>
          </w:p>
        </w:tc>
        <w:tc>
          <w:tcPr>
            <w:tcW w:w="1284"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FF0000"/>
                <w:sz w:val="20"/>
                <w:szCs w:val="20"/>
                <w:lang w:eastAsia="cs-CZ"/>
              </w:rPr>
            </w:pPr>
            <w:r w:rsidRPr="00B7218F">
              <w:rPr>
                <w:rFonts w:ascii="Verdana" w:hAnsi="Verdana"/>
                <w:b/>
                <w:bCs/>
                <w:color w:val="FF0000"/>
                <w:sz w:val="20"/>
                <w:szCs w:val="20"/>
                <w:lang w:eastAsia="cs-CZ"/>
              </w:rPr>
              <w:t>2007</w:t>
            </w:r>
          </w:p>
        </w:tc>
        <w:tc>
          <w:tcPr>
            <w:tcW w:w="1284"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2008</w:t>
            </w:r>
          </w:p>
        </w:tc>
        <w:tc>
          <w:tcPr>
            <w:tcW w:w="1284" w:type="dxa"/>
            <w:tcBorders>
              <w:top w:val="single" w:sz="8" w:space="0" w:color="auto"/>
              <w:left w:val="nil"/>
              <w:bottom w:val="single" w:sz="4" w:space="0" w:color="auto"/>
              <w:right w:val="single" w:sz="8"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2009</w:t>
            </w:r>
          </w:p>
        </w:tc>
      </w:tr>
      <w:tr w:rsidR="00FD7B45" w:rsidRPr="00501694" w:rsidTr="005C27A4">
        <w:trPr>
          <w:trHeight w:val="232"/>
        </w:trPr>
        <w:tc>
          <w:tcPr>
            <w:tcW w:w="2514"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Reálné HDP</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28 048,39</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30 293,07</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33 366,99</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35 293,00</w:t>
            </w:r>
          </w:p>
        </w:tc>
        <w:tc>
          <w:tcPr>
            <w:tcW w:w="1284"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35 068,78</w:t>
            </w:r>
          </w:p>
        </w:tc>
      </w:tr>
      <w:tr w:rsidR="00FD7B45" w:rsidRPr="00501694" w:rsidTr="005C27A4">
        <w:trPr>
          <w:trHeight w:val="232"/>
        </w:trPr>
        <w:tc>
          <w:tcPr>
            <w:tcW w:w="2514"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8,00</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10,15</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5,77</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-0,64</w:t>
            </w:r>
          </w:p>
        </w:tc>
      </w:tr>
      <w:tr w:rsidR="00FD7B45" w:rsidRPr="00501694" w:rsidTr="005C27A4">
        <w:trPr>
          <w:trHeight w:val="232"/>
        </w:trPr>
        <w:tc>
          <w:tcPr>
            <w:tcW w:w="2514"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proofErr w:type="spellStart"/>
            <w:r w:rsidRPr="00B7218F">
              <w:rPr>
                <w:rFonts w:ascii="Calibri" w:hAnsi="Calibri"/>
                <w:color w:val="000000"/>
                <w:sz w:val="22"/>
                <w:lang w:eastAsia="cs-CZ"/>
              </w:rPr>
              <w:t>Realná</w:t>
            </w:r>
            <w:proofErr w:type="spellEnd"/>
            <w:r w:rsidRPr="00B7218F">
              <w:rPr>
                <w:rFonts w:ascii="Calibri" w:hAnsi="Calibri"/>
                <w:color w:val="000000"/>
                <w:sz w:val="22"/>
                <w:lang w:eastAsia="cs-CZ"/>
              </w:rPr>
              <w:t xml:space="preserve">  C</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15 206,73</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16 001,56</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17 585,04</w:t>
            </w:r>
          </w:p>
        </w:tc>
        <w:tc>
          <w:tcPr>
            <w:tcW w:w="128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18 695,18</w:t>
            </w:r>
          </w:p>
        </w:tc>
        <w:tc>
          <w:tcPr>
            <w:tcW w:w="1284"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19 432,21</w:t>
            </w:r>
          </w:p>
        </w:tc>
      </w:tr>
      <w:tr w:rsidR="00FD7B45" w:rsidRPr="00501694" w:rsidTr="005C27A4">
        <w:trPr>
          <w:trHeight w:val="232"/>
        </w:trPr>
        <w:tc>
          <w:tcPr>
            <w:tcW w:w="2514"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284" w:type="dxa"/>
            <w:tcBorders>
              <w:top w:val="nil"/>
              <w:left w:val="nil"/>
              <w:bottom w:val="nil"/>
              <w:right w:val="nil"/>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284" w:type="dxa"/>
            <w:tcBorders>
              <w:top w:val="nil"/>
              <w:left w:val="single" w:sz="4" w:space="0" w:color="auto"/>
              <w:bottom w:val="nil"/>
              <w:right w:val="nil"/>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5,23</w:t>
            </w:r>
          </w:p>
        </w:tc>
        <w:tc>
          <w:tcPr>
            <w:tcW w:w="1284" w:type="dxa"/>
            <w:tcBorders>
              <w:top w:val="nil"/>
              <w:left w:val="single" w:sz="4" w:space="0" w:color="auto"/>
              <w:bottom w:val="nil"/>
              <w:right w:val="nil"/>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9,90</w:t>
            </w:r>
          </w:p>
        </w:tc>
        <w:tc>
          <w:tcPr>
            <w:tcW w:w="1284" w:type="dxa"/>
            <w:tcBorders>
              <w:top w:val="nil"/>
              <w:left w:val="single" w:sz="4" w:space="0" w:color="auto"/>
              <w:bottom w:val="nil"/>
              <w:right w:val="nil"/>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6,31</w:t>
            </w:r>
          </w:p>
        </w:tc>
        <w:tc>
          <w:tcPr>
            <w:tcW w:w="1284" w:type="dxa"/>
            <w:tcBorders>
              <w:top w:val="nil"/>
              <w:left w:val="single" w:sz="4" w:space="0" w:color="auto"/>
              <w:bottom w:val="nil"/>
              <w:right w:val="nil"/>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3,94</w:t>
            </w:r>
          </w:p>
        </w:tc>
      </w:tr>
      <w:tr w:rsidR="00FD7B45" w:rsidRPr="00501694" w:rsidTr="005C27A4">
        <w:trPr>
          <w:trHeight w:val="244"/>
        </w:trPr>
        <w:tc>
          <w:tcPr>
            <w:tcW w:w="2514" w:type="dxa"/>
            <w:tcBorders>
              <w:top w:val="nil"/>
              <w:left w:val="single" w:sz="8" w:space="0" w:color="auto"/>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Korelace</w:t>
            </w:r>
          </w:p>
        </w:tc>
        <w:tc>
          <w:tcPr>
            <w:tcW w:w="6420" w:type="dxa"/>
            <w:gridSpan w:val="5"/>
            <w:tcBorders>
              <w:top w:val="single" w:sz="4" w:space="0" w:color="auto"/>
              <w:left w:val="nil"/>
              <w:bottom w:val="single" w:sz="8" w:space="0" w:color="auto"/>
              <w:right w:val="single" w:sz="8" w:space="0" w:color="000000"/>
            </w:tcBorders>
            <w:noWrap/>
            <w:vAlign w:val="bottom"/>
          </w:tcPr>
          <w:p w:rsidR="00FD7B45" w:rsidRPr="00B7218F" w:rsidRDefault="00FD7B45" w:rsidP="005C27A4">
            <w:pPr>
              <w:spacing w:line="240" w:lineRule="auto"/>
              <w:jc w:val="center"/>
              <w:rPr>
                <w:rFonts w:ascii="Calibri" w:hAnsi="Calibri"/>
                <w:b/>
                <w:bCs/>
                <w:color w:val="000000"/>
                <w:lang w:eastAsia="cs-CZ"/>
              </w:rPr>
            </w:pPr>
            <w:r w:rsidRPr="00B7218F">
              <w:rPr>
                <w:rFonts w:ascii="Calibri" w:hAnsi="Calibri"/>
                <w:b/>
                <w:bCs/>
                <w:color w:val="000000"/>
                <w:sz w:val="22"/>
                <w:lang w:eastAsia="cs-CZ"/>
              </w:rPr>
              <w:t>0,9751 = 97,51 %</w:t>
            </w:r>
          </w:p>
        </w:tc>
      </w:tr>
    </w:tbl>
    <w:p w:rsidR="00FD7B45" w:rsidRPr="00B7218F" w:rsidRDefault="00FD7B45" w:rsidP="00BF1E38">
      <w:pPr>
        <w:pStyle w:val="Podtitul"/>
        <w:rPr>
          <w:lang w:eastAsia="cs-CZ"/>
        </w:rPr>
      </w:pPr>
      <w:r w:rsidRPr="00B7218F">
        <w:t>Zdroj Vlastní konstrukce : Statistický Slovinský úřad[online],</w:t>
      </w:r>
      <w:r>
        <w:t xml:space="preserve"> </w:t>
      </w:r>
      <w:r w:rsidRPr="00B7218F">
        <w:t>Nár</w:t>
      </w:r>
      <w:r>
        <w:t>o</w:t>
      </w:r>
      <w:r w:rsidRPr="00B7218F">
        <w:t xml:space="preserve">dní </w:t>
      </w:r>
      <w:r>
        <w:t>úč</w:t>
      </w:r>
      <w:r w:rsidRPr="00B7218F">
        <w:t>ty,</w:t>
      </w:r>
      <w:r>
        <w:t>2010</w:t>
      </w:r>
      <w:r w:rsidRPr="00B7218F">
        <w:t xml:space="preserve"> ,[cit. </w:t>
      </w:r>
      <w:proofErr w:type="gramStart"/>
      <w:r w:rsidRPr="00B7218F">
        <w:t>2010-10</w:t>
      </w:r>
      <w:proofErr w:type="gramEnd"/>
      <w:r w:rsidRPr="00B7218F">
        <w:t xml:space="preserve">-30]. Dostupný z  </w:t>
      </w:r>
      <w:hyperlink r:id="rId16" w:history="1">
        <w:r w:rsidRPr="00B7218F">
          <w:rPr>
            <w:rStyle w:val="Hypertextovodkaz"/>
            <w:szCs w:val="20"/>
          </w:rPr>
          <w:t>http://www.stat.si/pxweb/Database/Ekonomsko/Ekonomsko.asp</w:t>
        </w:r>
      </w:hyperlink>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Tabulka znázorňuje vývoj růstu reálného HDP a růstu reálné spotřeby v rozmezí</w:t>
      </w:r>
      <w:r>
        <w:rPr>
          <w:lang w:eastAsia="cs-CZ"/>
        </w:rPr>
        <w:t xml:space="preserve"> </w:t>
      </w:r>
      <w:proofErr w:type="gramStart"/>
      <w:r w:rsidRPr="00B7218F">
        <w:rPr>
          <w:lang w:eastAsia="cs-CZ"/>
        </w:rPr>
        <w:t xml:space="preserve">let </w:t>
      </w:r>
      <w:r>
        <w:rPr>
          <w:lang w:eastAsia="cs-CZ"/>
        </w:rPr>
        <w:t xml:space="preserve">     </w:t>
      </w:r>
      <w:r w:rsidRPr="00B7218F">
        <w:rPr>
          <w:lang w:eastAsia="cs-CZ"/>
        </w:rPr>
        <w:t>2005</w:t>
      </w:r>
      <w:proofErr w:type="gramEnd"/>
      <w:r w:rsidRPr="00B7218F">
        <w:rPr>
          <w:lang w:eastAsia="cs-CZ"/>
        </w:rPr>
        <w:t xml:space="preserve"> – 2009. V roce 2006 reálná spotřeba dosáhla úrovně 16 001,56 </w:t>
      </w:r>
      <w:r>
        <w:rPr>
          <w:lang w:eastAsia="cs-CZ"/>
        </w:rPr>
        <w:t>mil. EUR</w:t>
      </w:r>
      <w:r w:rsidRPr="00B7218F">
        <w:rPr>
          <w:lang w:eastAsia="cs-CZ"/>
        </w:rPr>
        <w:t xml:space="preserve"> a oproti roku 2005 byl procentuální nárůst 5,23 %. V následném roce 2007 byl zaznamená</w:t>
      </w:r>
      <w:r>
        <w:rPr>
          <w:lang w:eastAsia="cs-CZ"/>
        </w:rPr>
        <w:t>n</w:t>
      </w:r>
      <w:r w:rsidRPr="00B7218F">
        <w:rPr>
          <w:lang w:eastAsia="cs-CZ"/>
        </w:rPr>
        <w:t xml:space="preserve"> největší nárůst</w:t>
      </w:r>
      <w:r>
        <w:rPr>
          <w:lang w:eastAsia="cs-CZ"/>
        </w:rPr>
        <w:t xml:space="preserve"> </w:t>
      </w:r>
      <w:r w:rsidRPr="00B7218F">
        <w:rPr>
          <w:lang w:eastAsia="cs-CZ"/>
        </w:rPr>
        <w:t xml:space="preserve"> 9,90%. V peněžní hodnotě to znamenalo, že hodnota reálné spotřeby byla 17 585,04 </w:t>
      </w:r>
      <w:r>
        <w:rPr>
          <w:lang w:eastAsia="cs-CZ"/>
        </w:rPr>
        <w:t>mil. EUR</w:t>
      </w:r>
      <w:r w:rsidRPr="00B7218F">
        <w:rPr>
          <w:lang w:eastAsia="cs-CZ"/>
        </w:rPr>
        <w:t xml:space="preserve">. V roce 2008 </w:t>
      </w:r>
      <w:proofErr w:type="gramStart"/>
      <w:r>
        <w:rPr>
          <w:lang w:eastAsia="cs-CZ"/>
        </w:rPr>
        <w:t>došlo</w:t>
      </w:r>
      <w:proofErr w:type="gramEnd"/>
      <w:r>
        <w:rPr>
          <w:lang w:eastAsia="cs-CZ"/>
        </w:rPr>
        <w:t xml:space="preserve"> </w:t>
      </w:r>
      <w:r w:rsidRPr="00B7218F">
        <w:rPr>
          <w:lang w:eastAsia="cs-CZ"/>
        </w:rPr>
        <w:t xml:space="preserve">k poklesu růstu o 3,6 % tedy nárůst </w:t>
      </w:r>
      <w:proofErr w:type="gramStart"/>
      <w:r w:rsidRPr="00B7218F">
        <w:rPr>
          <w:lang w:eastAsia="cs-CZ"/>
        </w:rPr>
        <w:t>byl</w:t>
      </w:r>
      <w:proofErr w:type="gramEnd"/>
      <w:r w:rsidRPr="00B7218F">
        <w:rPr>
          <w:lang w:eastAsia="cs-CZ"/>
        </w:rPr>
        <w:t xml:space="preserve"> pouhých 6,31% a v peněžní hodnotě </w:t>
      </w:r>
      <w:r>
        <w:rPr>
          <w:lang w:eastAsia="cs-CZ"/>
        </w:rPr>
        <w:t>činila</w:t>
      </w:r>
      <w:r w:rsidRPr="00B7218F">
        <w:rPr>
          <w:lang w:eastAsia="cs-CZ"/>
        </w:rPr>
        <w:t xml:space="preserve"> reálná spotřeba 186 95,18 </w:t>
      </w:r>
      <w:r>
        <w:rPr>
          <w:lang w:eastAsia="cs-CZ"/>
        </w:rPr>
        <w:t>mil. EUR</w:t>
      </w:r>
      <w:r w:rsidRPr="00B7218F">
        <w:rPr>
          <w:lang w:eastAsia="cs-CZ"/>
        </w:rPr>
        <w:t xml:space="preserve">. </w:t>
      </w:r>
      <w:r>
        <w:rPr>
          <w:lang w:eastAsia="cs-CZ"/>
        </w:rPr>
        <w:t>K d</w:t>
      </w:r>
      <w:r w:rsidRPr="00B7218F">
        <w:rPr>
          <w:lang w:eastAsia="cs-CZ"/>
        </w:rPr>
        <w:t>alší</w:t>
      </w:r>
      <w:r>
        <w:rPr>
          <w:lang w:eastAsia="cs-CZ"/>
        </w:rPr>
        <w:t>mu</w:t>
      </w:r>
      <w:r w:rsidRPr="00B7218F">
        <w:rPr>
          <w:lang w:eastAsia="cs-CZ"/>
        </w:rPr>
        <w:t xml:space="preserve"> poklesu růstu spotřeby došlo v roce 2009, kd</w:t>
      </w:r>
      <w:r>
        <w:rPr>
          <w:lang w:eastAsia="cs-CZ"/>
        </w:rPr>
        <w:t>y</w:t>
      </w:r>
      <w:r w:rsidRPr="00B7218F">
        <w:rPr>
          <w:lang w:eastAsia="cs-CZ"/>
        </w:rPr>
        <w:t xml:space="preserve"> procentuální nárůst činil pouhých </w:t>
      </w:r>
      <w:proofErr w:type="gramStart"/>
      <w:r w:rsidRPr="00B7218F">
        <w:rPr>
          <w:lang w:eastAsia="cs-CZ"/>
        </w:rPr>
        <w:t>3,94 %</w:t>
      </w:r>
      <w:r>
        <w:rPr>
          <w:lang w:eastAsia="cs-CZ"/>
        </w:rPr>
        <w:t xml:space="preserve"> a</w:t>
      </w:r>
      <w:r w:rsidRPr="00B7218F">
        <w:rPr>
          <w:lang w:eastAsia="cs-CZ"/>
        </w:rPr>
        <w:t xml:space="preserve"> celková</w:t>
      </w:r>
      <w:proofErr w:type="gramEnd"/>
      <w:r w:rsidRPr="00B7218F">
        <w:rPr>
          <w:lang w:eastAsia="cs-CZ"/>
        </w:rPr>
        <w:t xml:space="preserve"> hodnota byla 19 432,21 </w:t>
      </w:r>
      <w:r>
        <w:rPr>
          <w:lang w:eastAsia="cs-CZ"/>
        </w:rPr>
        <w:t>mil. EUR</w:t>
      </w:r>
      <w:r w:rsidRPr="00B7218F">
        <w:rPr>
          <w:lang w:eastAsia="cs-CZ"/>
        </w:rPr>
        <w:t>. Z tabulky je vidě</w:t>
      </w:r>
      <w:r>
        <w:rPr>
          <w:lang w:eastAsia="cs-CZ"/>
        </w:rPr>
        <w:t>t nesoulad mezi růstem spotřeby</w:t>
      </w:r>
      <w:r w:rsidRPr="00B7218F">
        <w:rPr>
          <w:lang w:eastAsia="cs-CZ"/>
        </w:rPr>
        <w:t xml:space="preserve">, HDP </w:t>
      </w:r>
      <w:r w:rsidRPr="00B7218F">
        <w:rPr>
          <w:lang w:eastAsia="cs-CZ"/>
        </w:rPr>
        <w:lastRenderedPageBreak/>
        <w:t xml:space="preserve">kdy spotřeba rostla, ale HDP kleslo. Za tento propad HDP může velký pokles </w:t>
      </w:r>
      <w:proofErr w:type="gramStart"/>
      <w:r w:rsidRPr="00B7218F">
        <w:rPr>
          <w:lang w:eastAsia="cs-CZ"/>
        </w:rPr>
        <w:t xml:space="preserve">investic, </w:t>
      </w:r>
      <w:r>
        <w:rPr>
          <w:lang w:eastAsia="cs-CZ"/>
        </w:rPr>
        <w:t xml:space="preserve">       </w:t>
      </w:r>
      <w:r w:rsidRPr="00B7218F">
        <w:rPr>
          <w:lang w:eastAsia="cs-CZ"/>
        </w:rPr>
        <w:t>o kterých</w:t>
      </w:r>
      <w:proofErr w:type="gramEnd"/>
      <w:r w:rsidRPr="00B7218F">
        <w:rPr>
          <w:lang w:eastAsia="cs-CZ"/>
        </w:rPr>
        <w:t xml:space="preserve"> bude hovořeno </w:t>
      </w:r>
      <w:r>
        <w:rPr>
          <w:lang w:eastAsia="cs-CZ"/>
        </w:rPr>
        <w:t xml:space="preserve">v </w:t>
      </w:r>
      <w:r w:rsidRPr="00B7218F">
        <w:rPr>
          <w:lang w:eastAsia="cs-CZ"/>
        </w:rPr>
        <w:t>pozdější části této práce</w:t>
      </w:r>
      <w:r>
        <w:rPr>
          <w:rStyle w:val="Znakapoznpodarou"/>
          <w:lang w:eastAsia="cs-CZ"/>
        </w:rPr>
        <w:footnoteReference w:id="75"/>
      </w:r>
      <w:r w:rsidRPr="00B7218F">
        <w:rPr>
          <w:lang w:eastAsia="cs-CZ"/>
        </w:rPr>
        <w:t>.</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Z daných dat je na první pohled znatelně vidět, že v letech 2005 – 2008 značně rostly obě dvě komponenty. Výjimku tvoří pouze rok 2009, kd</w:t>
      </w:r>
      <w:r>
        <w:rPr>
          <w:lang w:eastAsia="cs-CZ"/>
        </w:rPr>
        <w:t>y</w:t>
      </w:r>
      <w:r w:rsidRPr="00B7218F">
        <w:rPr>
          <w:lang w:eastAsia="cs-CZ"/>
        </w:rPr>
        <w:t xml:space="preserve"> rostla spotřeba, ale celkový hrubý domácí produkt klesl. Nejvyšší procentuální nárůst HDP zaznamenal v roce 2007</w:t>
      </w:r>
      <w:r>
        <w:rPr>
          <w:lang w:eastAsia="cs-CZ"/>
        </w:rPr>
        <w:t>,</w:t>
      </w:r>
      <w:r w:rsidRPr="00B7218F">
        <w:rPr>
          <w:lang w:eastAsia="cs-CZ"/>
        </w:rPr>
        <w:t xml:space="preserve"> a to 10,15 % oproti předešlému roku 2006. I v tomto roce byl zaznamenán také nejvyšší narůst spotřeby </w:t>
      </w:r>
      <w:r>
        <w:rPr>
          <w:lang w:eastAsia="cs-CZ"/>
        </w:rPr>
        <w:t>ve výši</w:t>
      </w:r>
      <w:r w:rsidRPr="00B7218F">
        <w:rPr>
          <w:lang w:eastAsia="cs-CZ"/>
        </w:rPr>
        <w:t xml:space="preserve"> 9,90 % oproti roku 2006</w:t>
      </w:r>
      <w:r>
        <w:rPr>
          <w:rStyle w:val="Znakapoznpodarou"/>
          <w:lang w:eastAsia="cs-CZ"/>
        </w:rPr>
        <w:footnoteReference w:id="76"/>
      </w:r>
      <w:r w:rsidRPr="00B7218F">
        <w:rPr>
          <w:lang w:eastAsia="cs-CZ"/>
        </w:rPr>
        <w:t>.</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Zhotovená korelační analýza zaměřená na zjištění, zda vývoj HDP ovlivňuje vývoj spotřeby, nám ukázala, že daný předpoklad je správný. Jinými slovy růst HDP je závislý na případném růstu či poklesu této komponenty. Důkazem toho</w:t>
      </w:r>
      <w:r>
        <w:rPr>
          <w:lang w:eastAsia="cs-CZ"/>
        </w:rPr>
        <w:t>to</w:t>
      </w:r>
      <w:r w:rsidRPr="00B7218F">
        <w:rPr>
          <w:lang w:eastAsia="cs-CZ"/>
        </w:rPr>
        <w:t xml:space="preserve"> tvrzení je závislost obou dvou proměnných, která po zaokrouhlení činí 97,51 %. V tomto případě mluvíme o silně kladné závislosti růstu reálného HDP na vývoji reálné spotřeby.</w:t>
      </w: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pStyle w:val="Nadpis3"/>
        <w:spacing w:before="0"/>
        <w:rPr>
          <w:lang w:eastAsia="cs-CZ"/>
        </w:rPr>
      </w:pPr>
      <w:bookmarkStart w:id="74" w:name="_Toc281759178"/>
      <w:bookmarkStart w:id="75" w:name="_Toc282027379"/>
      <w:r w:rsidRPr="00B7218F">
        <w:rPr>
          <w:lang w:eastAsia="cs-CZ"/>
        </w:rPr>
        <w:t>3.2.2 Korelace HDP a vládních výdajů</w:t>
      </w:r>
      <w:bookmarkEnd w:id="74"/>
      <w:bookmarkEnd w:id="75"/>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V předešlé části bylo prokázáno, jak vývoj HDP ovlivňuje spotřeba. Další zkoumanou komponentou v korelační analýze budou tedy vládní výdaje, jej</w:t>
      </w:r>
      <w:r>
        <w:rPr>
          <w:lang w:eastAsia="cs-CZ"/>
        </w:rPr>
        <w:t>ichž</w:t>
      </w:r>
      <w:r w:rsidRPr="00B7218F">
        <w:rPr>
          <w:lang w:eastAsia="cs-CZ"/>
        </w:rPr>
        <w:t xml:space="preserve"> vývoj je zaznamená</w:t>
      </w:r>
      <w:r>
        <w:rPr>
          <w:lang w:eastAsia="cs-CZ"/>
        </w:rPr>
        <w:t>n</w:t>
      </w:r>
      <w:r w:rsidRPr="00B7218F">
        <w:rPr>
          <w:lang w:eastAsia="cs-CZ"/>
        </w:rPr>
        <w:t xml:space="preserve"> v následující tabulce spolu s růstem HDP. </w:t>
      </w:r>
    </w:p>
    <w:p w:rsidR="00FD7B45" w:rsidRPr="00B7218F" w:rsidRDefault="00FD7B45" w:rsidP="00BF1E38">
      <w:pPr>
        <w:pStyle w:val="Nadpis5"/>
      </w:pPr>
      <w:bookmarkStart w:id="76" w:name="_Toc281768947"/>
      <w:bookmarkStart w:id="77" w:name="_Toc282364921"/>
      <w:proofErr w:type="spellStart"/>
      <w:proofErr w:type="gramStart"/>
      <w:r w:rsidRPr="00B7218F">
        <w:t>Tab.2</w:t>
      </w:r>
      <w:proofErr w:type="spellEnd"/>
      <w:r w:rsidRPr="00B7218F">
        <w:t>:</w:t>
      </w:r>
      <w:proofErr w:type="gramEnd"/>
      <w:r w:rsidRPr="00B7218F">
        <w:t xml:space="preserve"> Korelace vládních výdajů</w:t>
      </w:r>
      <w:bookmarkEnd w:id="76"/>
      <w:bookmarkEnd w:id="77"/>
    </w:p>
    <w:tbl>
      <w:tblPr>
        <w:tblW w:w="8901" w:type="dxa"/>
        <w:tblInd w:w="60" w:type="dxa"/>
        <w:tblCellMar>
          <w:left w:w="70" w:type="dxa"/>
          <w:right w:w="70" w:type="dxa"/>
        </w:tblCellMar>
        <w:tblLook w:val="00A0"/>
      </w:tblPr>
      <w:tblGrid>
        <w:gridCol w:w="2505"/>
        <w:gridCol w:w="1279"/>
        <w:gridCol w:w="1279"/>
        <w:gridCol w:w="1279"/>
        <w:gridCol w:w="1279"/>
        <w:gridCol w:w="1280"/>
      </w:tblGrid>
      <w:tr w:rsidR="00FD7B45" w:rsidRPr="00501694" w:rsidTr="005C27A4">
        <w:trPr>
          <w:trHeight w:val="294"/>
        </w:trPr>
        <w:tc>
          <w:tcPr>
            <w:tcW w:w="2505" w:type="dxa"/>
            <w:tcBorders>
              <w:top w:val="single" w:sz="8" w:space="0" w:color="auto"/>
              <w:left w:val="single" w:sz="8" w:space="0" w:color="auto"/>
              <w:bottom w:val="single" w:sz="4" w:space="0" w:color="auto"/>
              <w:right w:val="single" w:sz="4" w:space="0" w:color="auto"/>
            </w:tcBorders>
            <w:shd w:val="clear" w:color="000000" w:fill="DBE5F1"/>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Rok</w:t>
            </w:r>
          </w:p>
        </w:tc>
        <w:tc>
          <w:tcPr>
            <w:tcW w:w="1279"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2005</w:t>
            </w:r>
          </w:p>
        </w:tc>
        <w:tc>
          <w:tcPr>
            <w:tcW w:w="1279"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2006</w:t>
            </w:r>
          </w:p>
        </w:tc>
        <w:tc>
          <w:tcPr>
            <w:tcW w:w="1279"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FF0000"/>
                <w:sz w:val="20"/>
                <w:szCs w:val="20"/>
                <w:lang w:eastAsia="cs-CZ"/>
              </w:rPr>
            </w:pPr>
            <w:r w:rsidRPr="00B7218F">
              <w:rPr>
                <w:rFonts w:ascii="Verdana" w:hAnsi="Verdana"/>
                <w:b/>
                <w:bCs/>
                <w:color w:val="FF0000"/>
                <w:sz w:val="20"/>
                <w:szCs w:val="20"/>
                <w:lang w:eastAsia="cs-CZ"/>
              </w:rPr>
              <w:t>2007</w:t>
            </w:r>
          </w:p>
        </w:tc>
        <w:tc>
          <w:tcPr>
            <w:tcW w:w="1279"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2008</w:t>
            </w:r>
          </w:p>
        </w:tc>
        <w:tc>
          <w:tcPr>
            <w:tcW w:w="1279" w:type="dxa"/>
            <w:tcBorders>
              <w:top w:val="single" w:sz="8" w:space="0" w:color="auto"/>
              <w:left w:val="nil"/>
              <w:bottom w:val="single" w:sz="4" w:space="0" w:color="auto"/>
              <w:right w:val="single" w:sz="8" w:space="0" w:color="auto"/>
            </w:tcBorders>
            <w:shd w:val="clear" w:color="000000" w:fill="DBE5F1"/>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2009</w:t>
            </w:r>
          </w:p>
        </w:tc>
      </w:tr>
      <w:tr w:rsidR="00FD7B45" w:rsidRPr="00501694" w:rsidTr="005C27A4">
        <w:trPr>
          <w:trHeight w:val="294"/>
        </w:trPr>
        <w:tc>
          <w:tcPr>
            <w:tcW w:w="2505"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Reálné HDP</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28 048,39</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30 293,07</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33 366,99</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35 293,00</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35 068,78</w:t>
            </w:r>
          </w:p>
        </w:tc>
      </w:tr>
      <w:tr w:rsidR="00FD7B45" w:rsidRPr="00501694" w:rsidTr="005C27A4">
        <w:trPr>
          <w:trHeight w:val="294"/>
        </w:trPr>
        <w:tc>
          <w:tcPr>
            <w:tcW w:w="2505"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8,00</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10,15</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5,77</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-0,64</w:t>
            </w:r>
          </w:p>
        </w:tc>
      </w:tr>
      <w:tr w:rsidR="00FD7B45" w:rsidRPr="00501694" w:rsidTr="005C27A4">
        <w:trPr>
          <w:trHeight w:val="294"/>
        </w:trPr>
        <w:tc>
          <w:tcPr>
            <w:tcW w:w="2505" w:type="dxa"/>
            <w:tcBorders>
              <w:top w:val="nil"/>
              <w:left w:val="single" w:sz="4"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Reálné G</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5 319,32</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5 682,63</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5 781,47</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6 393,85</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7 104,36</w:t>
            </w:r>
          </w:p>
        </w:tc>
      </w:tr>
      <w:tr w:rsidR="00FD7B45" w:rsidRPr="00501694" w:rsidTr="005C27A4">
        <w:trPr>
          <w:trHeight w:val="294"/>
        </w:trPr>
        <w:tc>
          <w:tcPr>
            <w:tcW w:w="2505"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6,83</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1,74</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10,59</w:t>
            </w:r>
          </w:p>
        </w:tc>
        <w:tc>
          <w:tcPr>
            <w:tcW w:w="1279"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11,11</w:t>
            </w:r>
          </w:p>
        </w:tc>
      </w:tr>
      <w:tr w:rsidR="00FD7B45" w:rsidRPr="00501694" w:rsidTr="005C27A4">
        <w:trPr>
          <w:trHeight w:val="308"/>
        </w:trPr>
        <w:tc>
          <w:tcPr>
            <w:tcW w:w="2505" w:type="dxa"/>
            <w:tcBorders>
              <w:top w:val="nil"/>
              <w:left w:val="single" w:sz="8" w:space="0" w:color="auto"/>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Korelace</w:t>
            </w:r>
          </w:p>
        </w:tc>
        <w:tc>
          <w:tcPr>
            <w:tcW w:w="6396" w:type="dxa"/>
            <w:gridSpan w:val="5"/>
            <w:tcBorders>
              <w:top w:val="single" w:sz="4" w:space="0" w:color="auto"/>
              <w:left w:val="nil"/>
              <w:bottom w:val="single" w:sz="8" w:space="0" w:color="auto"/>
              <w:right w:val="single" w:sz="8" w:space="0" w:color="000000"/>
            </w:tcBorders>
            <w:noWrap/>
            <w:vAlign w:val="bottom"/>
          </w:tcPr>
          <w:p w:rsidR="00FD7B45" w:rsidRPr="00B7218F" w:rsidRDefault="00FD7B45" w:rsidP="005C27A4">
            <w:pPr>
              <w:spacing w:line="240" w:lineRule="auto"/>
              <w:jc w:val="center"/>
              <w:rPr>
                <w:rFonts w:ascii="Calibri" w:hAnsi="Calibri"/>
                <w:b/>
                <w:bCs/>
                <w:color w:val="000000"/>
                <w:lang w:eastAsia="cs-CZ"/>
              </w:rPr>
            </w:pPr>
            <w:r w:rsidRPr="00B7218F">
              <w:rPr>
                <w:rFonts w:ascii="Calibri" w:hAnsi="Calibri"/>
                <w:b/>
                <w:bCs/>
                <w:color w:val="000000"/>
                <w:sz w:val="22"/>
                <w:lang w:eastAsia="cs-CZ"/>
              </w:rPr>
              <w:t>0,8471 = 84, 71 %</w:t>
            </w:r>
          </w:p>
        </w:tc>
      </w:tr>
    </w:tbl>
    <w:p w:rsidR="00FD7B45" w:rsidRPr="00363E51" w:rsidRDefault="00FD7B45" w:rsidP="00BF1E38">
      <w:pPr>
        <w:pStyle w:val="Podtitul"/>
        <w:rPr>
          <w:szCs w:val="20"/>
        </w:rPr>
      </w:pPr>
      <w:r w:rsidRPr="00363E51">
        <w:rPr>
          <w:szCs w:val="20"/>
        </w:rPr>
        <w:t>Zdroj Vlastní konstrukce : Statistický Slovinský úřad[online],</w:t>
      </w:r>
      <w:r>
        <w:rPr>
          <w:szCs w:val="20"/>
        </w:rPr>
        <w:t xml:space="preserve"> </w:t>
      </w:r>
      <w:r w:rsidRPr="00363E51">
        <w:rPr>
          <w:szCs w:val="20"/>
        </w:rPr>
        <w:t xml:space="preserve">Národní účty, </w:t>
      </w:r>
      <w:r>
        <w:rPr>
          <w:szCs w:val="20"/>
        </w:rPr>
        <w:t>2010</w:t>
      </w:r>
      <w:r w:rsidRPr="00363E51">
        <w:rPr>
          <w:szCs w:val="20"/>
        </w:rPr>
        <w:t>,</w:t>
      </w:r>
      <w:r>
        <w:rPr>
          <w:szCs w:val="20"/>
        </w:rPr>
        <w:t xml:space="preserve"> </w:t>
      </w:r>
      <w:r w:rsidRPr="00363E51">
        <w:rPr>
          <w:szCs w:val="20"/>
        </w:rPr>
        <w:t xml:space="preserve">[cit. </w:t>
      </w:r>
      <w:proofErr w:type="gramStart"/>
      <w:r w:rsidRPr="00363E51">
        <w:rPr>
          <w:szCs w:val="20"/>
        </w:rPr>
        <w:t>2010-10</w:t>
      </w:r>
      <w:proofErr w:type="gramEnd"/>
      <w:r w:rsidRPr="00363E51">
        <w:rPr>
          <w:szCs w:val="20"/>
        </w:rPr>
        <w:t xml:space="preserve">-30]. Dostupný z  </w:t>
      </w:r>
      <w:hyperlink r:id="rId17" w:history="1">
        <w:r w:rsidRPr="00363E51">
          <w:rPr>
            <w:rStyle w:val="Hypertextovodkaz"/>
            <w:color w:val="auto"/>
            <w:szCs w:val="20"/>
            <w:u w:val="none"/>
          </w:rPr>
          <w:t>http://www.stat.si/pxweb/Database/Ekonomsko/Ekonomsko.asp</w:t>
        </w:r>
      </w:hyperlink>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lastRenderedPageBreak/>
        <w:t xml:space="preserve">Při bližším pohledu na dané údaje lze vyčíst, jak se obě dvě veličiny vyvíjely. Vývoj HDP je již popsán dříve. Proto se více bude rozebírat vývoj vládních výdajů. O vládních výdajích lze říci, že po celou dobu sledovaného období rostly. V sledovaném období roku 2005 činili 5 319,32 </w:t>
      </w:r>
      <w:r>
        <w:rPr>
          <w:lang w:eastAsia="cs-CZ"/>
        </w:rPr>
        <w:t>mil. EUR</w:t>
      </w:r>
      <w:r w:rsidRPr="00B7218F">
        <w:rPr>
          <w:lang w:eastAsia="cs-CZ"/>
        </w:rPr>
        <w:t xml:space="preserve">. O rok později tato hodnota vzrostla o 6,83 % a jejich celková hodnota činila 5 682,63 </w:t>
      </w:r>
      <w:r>
        <w:rPr>
          <w:lang w:eastAsia="cs-CZ"/>
        </w:rPr>
        <w:t>mil. EUR</w:t>
      </w:r>
      <w:r w:rsidRPr="00B7218F">
        <w:rPr>
          <w:lang w:eastAsia="cs-CZ"/>
        </w:rPr>
        <w:t>, je to třetí nevětší nárůst v celkovém sledovaném období</w:t>
      </w:r>
      <w:r>
        <w:rPr>
          <w:rStyle w:val="Znakapoznpodarou"/>
          <w:lang w:eastAsia="cs-CZ"/>
        </w:rPr>
        <w:footnoteReference w:id="77"/>
      </w:r>
      <w:r w:rsidRPr="00B7218F">
        <w:rPr>
          <w:lang w:eastAsia="cs-CZ"/>
        </w:rPr>
        <w:t xml:space="preserve">.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V roce 2007, kdy byla zavedená společná měna, došlo k markantnímu nárůstu HDP. Jeho meziroční nárůst činil 10,15 %, v peněžních hodnotách 35 366,99 </w:t>
      </w:r>
      <w:r>
        <w:rPr>
          <w:lang w:eastAsia="cs-CZ"/>
        </w:rPr>
        <w:t xml:space="preserve">mil. EUR. </w:t>
      </w:r>
      <w:r w:rsidRPr="00B7218F">
        <w:rPr>
          <w:lang w:eastAsia="cs-CZ"/>
        </w:rPr>
        <w:t xml:space="preserve">Zatímco vládní výdaje vzrostly o pouhých 1,74 % tj. 5 781,47 </w:t>
      </w:r>
      <w:r>
        <w:rPr>
          <w:lang w:eastAsia="cs-CZ"/>
        </w:rPr>
        <w:t>mil. EUR</w:t>
      </w:r>
      <w:r w:rsidRPr="00B7218F">
        <w:rPr>
          <w:lang w:eastAsia="cs-CZ"/>
        </w:rPr>
        <w:t>. Důvod nízk</w:t>
      </w:r>
      <w:r>
        <w:rPr>
          <w:lang w:eastAsia="cs-CZ"/>
        </w:rPr>
        <w:t>ého</w:t>
      </w:r>
      <w:r w:rsidRPr="00B7218F">
        <w:rPr>
          <w:lang w:eastAsia="cs-CZ"/>
        </w:rPr>
        <w:t xml:space="preserve"> růstu vládních výdajů je zapříčiněn značným nárůstem investic a spotřeby. V tomto období vláda neměla žádný důvod podporovat domácí ekonomiku nějakým razantním zvýšením </w:t>
      </w:r>
      <w:r>
        <w:rPr>
          <w:lang w:eastAsia="cs-CZ"/>
        </w:rPr>
        <w:t>vládních výdajů (G)</w:t>
      </w:r>
      <w:r w:rsidRPr="00B7218F">
        <w:rPr>
          <w:lang w:eastAsia="cs-CZ"/>
        </w:rPr>
        <w:t>, jak již bylo</w:t>
      </w:r>
      <w:r>
        <w:rPr>
          <w:lang w:eastAsia="cs-CZ"/>
        </w:rPr>
        <w:t xml:space="preserve"> dříve</w:t>
      </w:r>
      <w:r w:rsidRPr="00B7218F">
        <w:rPr>
          <w:lang w:eastAsia="cs-CZ"/>
        </w:rPr>
        <w:t xml:space="preserve"> zmíněno</w:t>
      </w:r>
      <w:r>
        <w:rPr>
          <w:lang w:eastAsia="cs-CZ"/>
        </w:rPr>
        <w:t>, tak</w:t>
      </w:r>
      <w:r w:rsidRPr="00B7218F">
        <w:rPr>
          <w:lang w:eastAsia="cs-CZ"/>
        </w:rPr>
        <w:t xml:space="preserve"> došlo k velikému nárůstu </w:t>
      </w:r>
      <w:proofErr w:type="gramStart"/>
      <w:r w:rsidRPr="00B7218F">
        <w:rPr>
          <w:lang w:eastAsia="cs-CZ"/>
        </w:rPr>
        <w:t xml:space="preserve">investic </w:t>
      </w:r>
      <w:r>
        <w:rPr>
          <w:lang w:eastAsia="cs-CZ"/>
        </w:rPr>
        <w:t xml:space="preserve">       </w:t>
      </w:r>
      <w:r w:rsidRPr="00B7218F">
        <w:rPr>
          <w:lang w:eastAsia="cs-CZ"/>
        </w:rPr>
        <w:t>a spotřeby</w:t>
      </w:r>
      <w:proofErr w:type="gramEnd"/>
      <w:r w:rsidRPr="00B7218F">
        <w:rPr>
          <w:lang w:eastAsia="cs-CZ"/>
        </w:rPr>
        <w:t xml:space="preserve">, který mohl být spojen se zavedením jednotné měny a tím </w:t>
      </w:r>
      <w:r>
        <w:rPr>
          <w:lang w:eastAsia="cs-CZ"/>
        </w:rPr>
        <w:t>umožněnému</w:t>
      </w:r>
      <w:r w:rsidRPr="00B7218F">
        <w:rPr>
          <w:lang w:eastAsia="cs-CZ"/>
        </w:rPr>
        <w:t xml:space="preserve"> snížení transakčních nákladů</w:t>
      </w:r>
      <w:r>
        <w:rPr>
          <w:rStyle w:val="Znakapoznpodarou"/>
          <w:lang w:eastAsia="cs-CZ"/>
        </w:rPr>
        <w:footnoteReference w:id="78"/>
      </w:r>
      <w:r>
        <w:rPr>
          <w:lang w:eastAsia="cs-CZ"/>
        </w:rPr>
        <w:t>.</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Rozsáhlejší nárůsty byly zaznamenány v letech 2008 a 2009. V roce 2008 vládní výdaje meziročně vzrostly o 10,59 % tedy z hodnoty 5 781,47 </w:t>
      </w:r>
      <w:r>
        <w:rPr>
          <w:lang w:eastAsia="cs-CZ"/>
        </w:rPr>
        <w:t>mil. EUR</w:t>
      </w:r>
      <w:r w:rsidRPr="00B7218F">
        <w:rPr>
          <w:lang w:eastAsia="cs-CZ"/>
        </w:rPr>
        <w:t xml:space="preserve"> na 6 393,85 </w:t>
      </w:r>
      <w:r>
        <w:rPr>
          <w:lang w:eastAsia="cs-CZ"/>
        </w:rPr>
        <w:t>mil. EUR</w:t>
      </w:r>
      <w:r w:rsidRPr="00B7218F">
        <w:rPr>
          <w:lang w:eastAsia="cs-CZ"/>
        </w:rPr>
        <w:t>.     Avšak HDP v tomto meziročním růstu zaznamenal</w:t>
      </w:r>
      <w:r>
        <w:rPr>
          <w:lang w:eastAsia="cs-CZ"/>
        </w:rPr>
        <w:t>o</w:t>
      </w:r>
      <w:r w:rsidRPr="00B7218F">
        <w:rPr>
          <w:lang w:eastAsia="cs-CZ"/>
        </w:rPr>
        <w:t xml:space="preserve"> radikálně nižší nárůst</w:t>
      </w:r>
      <w:r>
        <w:rPr>
          <w:lang w:eastAsia="cs-CZ"/>
        </w:rPr>
        <w:t xml:space="preserve"> </w:t>
      </w:r>
      <w:r w:rsidRPr="00B7218F">
        <w:rPr>
          <w:lang w:eastAsia="cs-CZ"/>
        </w:rPr>
        <w:t>o 5,77</w:t>
      </w:r>
      <w:r>
        <w:rPr>
          <w:lang w:eastAsia="cs-CZ"/>
        </w:rPr>
        <w:t xml:space="preserve"> </w:t>
      </w:r>
      <w:r w:rsidRPr="00B7218F">
        <w:rPr>
          <w:lang w:eastAsia="cs-CZ"/>
        </w:rPr>
        <w:t xml:space="preserve">% k předešlému roku. V peněžní hodnotě to znamená, že reálné HDP z původní hodnoty z roku 2008, která byla 33 367 </w:t>
      </w:r>
      <w:r>
        <w:rPr>
          <w:lang w:eastAsia="cs-CZ"/>
        </w:rPr>
        <w:t>mil. EUR</w:t>
      </w:r>
      <w:r w:rsidRPr="00B7218F">
        <w:rPr>
          <w:lang w:eastAsia="cs-CZ"/>
        </w:rPr>
        <w:t xml:space="preserve">, vzrostlo na 35 293 </w:t>
      </w:r>
      <w:r>
        <w:rPr>
          <w:lang w:eastAsia="cs-CZ"/>
        </w:rPr>
        <w:t>mil. EUR</w:t>
      </w:r>
      <w:r w:rsidRPr="00B7218F">
        <w:rPr>
          <w:lang w:eastAsia="cs-CZ"/>
        </w:rPr>
        <w:t xml:space="preserve">.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V dalším roce 2009 byl růst vládních výdajů o 11,11%</w:t>
      </w:r>
      <w:r>
        <w:rPr>
          <w:lang w:eastAsia="cs-CZ"/>
        </w:rPr>
        <w:t>,</w:t>
      </w:r>
      <w:r w:rsidRPr="00B7218F">
        <w:rPr>
          <w:lang w:eastAsia="cs-CZ"/>
        </w:rPr>
        <w:t xml:space="preserve"> ačkoliv celková výše HDP klesla oproti roku 2008 o -0,64 %. Opa</w:t>
      </w:r>
      <w:r>
        <w:rPr>
          <w:lang w:eastAsia="cs-CZ"/>
        </w:rPr>
        <w:t xml:space="preserve">čný trend vykázal </w:t>
      </w:r>
      <w:r w:rsidRPr="00B7218F">
        <w:rPr>
          <w:lang w:eastAsia="cs-CZ"/>
        </w:rPr>
        <w:t>rok 2007</w:t>
      </w:r>
      <w:r>
        <w:rPr>
          <w:lang w:eastAsia="cs-CZ"/>
        </w:rPr>
        <w:t>,</w:t>
      </w:r>
      <w:r w:rsidRPr="00B7218F">
        <w:rPr>
          <w:lang w:eastAsia="cs-CZ"/>
        </w:rPr>
        <w:t xml:space="preserve"> kd</w:t>
      </w:r>
      <w:r>
        <w:rPr>
          <w:lang w:eastAsia="cs-CZ"/>
        </w:rPr>
        <w:t>y</w:t>
      </w:r>
      <w:r w:rsidRPr="00B7218F">
        <w:rPr>
          <w:lang w:eastAsia="cs-CZ"/>
        </w:rPr>
        <w:t xml:space="preserve"> růst HDP byl 10,15 % oproti předešlému roku 2006, avšak růst vládních výdajů byl v daném období </w:t>
      </w:r>
      <w:proofErr w:type="gramStart"/>
      <w:r w:rsidRPr="00B7218F">
        <w:rPr>
          <w:lang w:eastAsia="cs-CZ"/>
        </w:rPr>
        <w:t xml:space="preserve">nejnižší </w:t>
      </w:r>
      <w:r>
        <w:rPr>
          <w:lang w:eastAsia="cs-CZ"/>
        </w:rPr>
        <w:t xml:space="preserve">        a činil</w:t>
      </w:r>
      <w:proofErr w:type="gramEnd"/>
      <w:r>
        <w:rPr>
          <w:lang w:eastAsia="cs-CZ"/>
        </w:rPr>
        <w:t xml:space="preserve"> pouhé</w:t>
      </w:r>
      <w:r w:rsidRPr="00B7218F">
        <w:rPr>
          <w:lang w:eastAsia="cs-CZ"/>
        </w:rPr>
        <w:t xml:space="preserve"> 1,74</w:t>
      </w:r>
      <w:r>
        <w:rPr>
          <w:lang w:eastAsia="cs-CZ"/>
        </w:rPr>
        <w:t xml:space="preserve"> </w:t>
      </w:r>
      <w:r w:rsidRPr="00B7218F">
        <w:rPr>
          <w:lang w:eastAsia="cs-CZ"/>
        </w:rPr>
        <w:t>% oproti roku 2006.</w:t>
      </w:r>
      <w:r>
        <w:rPr>
          <w:rStyle w:val="Znakapoznpodarou"/>
          <w:lang w:eastAsia="cs-CZ"/>
        </w:rPr>
        <w:footnoteReference w:id="79"/>
      </w:r>
      <w:r w:rsidRPr="00B7218F">
        <w:rPr>
          <w:lang w:eastAsia="cs-CZ"/>
        </w:rPr>
        <w:t xml:space="preserve">   </w:t>
      </w:r>
    </w:p>
    <w:p w:rsidR="00FD7B45" w:rsidRPr="00B7218F" w:rsidRDefault="00FD7B45" w:rsidP="00BF1E38">
      <w:pPr>
        <w:rPr>
          <w:lang w:eastAsia="cs-CZ"/>
        </w:rPr>
      </w:pPr>
    </w:p>
    <w:p w:rsidR="00FD7B45" w:rsidRDefault="00FD7B45" w:rsidP="00BF1E38">
      <w:pPr>
        <w:rPr>
          <w:lang w:eastAsia="cs-CZ"/>
        </w:rPr>
      </w:pPr>
      <w:r w:rsidRPr="00B7218F">
        <w:rPr>
          <w:lang w:eastAsia="cs-CZ"/>
        </w:rPr>
        <w:t xml:space="preserve">V letech 2008 a 2009 byl velký nárůst vládních výdajů, jelikož z domácí ekonomiky došlo k velmi razantnímu poklesu investic. </w:t>
      </w:r>
      <w:r>
        <w:rPr>
          <w:lang w:eastAsia="cs-CZ"/>
        </w:rPr>
        <w:t>Z</w:t>
      </w:r>
      <w:r w:rsidRPr="00B7218F">
        <w:rPr>
          <w:lang w:eastAsia="cs-CZ"/>
        </w:rPr>
        <w:t xml:space="preserve">ejména v roce 2009, kdy se již začala projevovat hospodářská krize. Důvodem tohoto odlivu, byl možný strach investorů, že by mohly tratit </w:t>
      </w:r>
      <w:r w:rsidRPr="00B7218F">
        <w:rPr>
          <w:lang w:eastAsia="cs-CZ"/>
        </w:rPr>
        <w:lastRenderedPageBreak/>
        <w:t>na svých investicích</w:t>
      </w:r>
      <w:r>
        <w:rPr>
          <w:lang w:eastAsia="cs-CZ"/>
        </w:rPr>
        <w:t>,</w:t>
      </w:r>
      <w:r w:rsidRPr="00B7218F">
        <w:rPr>
          <w:lang w:eastAsia="cs-CZ"/>
        </w:rPr>
        <w:t xml:space="preserve"> a ta</w:t>
      </w:r>
      <w:r>
        <w:rPr>
          <w:lang w:eastAsia="cs-CZ"/>
        </w:rPr>
        <w:t>k</w:t>
      </w:r>
      <w:r w:rsidRPr="00B7218F">
        <w:rPr>
          <w:lang w:eastAsia="cs-CZ"/>
        </w:rPr>
        <w:t xml:space="preserve"> je raději přesunuly do bezpečnějších oblastí. Více</w:t>
      </w:r>
      <w:r>
        <w:rPr>
          <w:lang w:eastAsia="cs-CZ"/>
        </w:rPr>
        <w:t xml:space="preserve"> </w:t>
      </w:r>
      <w:r w:rsidRPr="00B7218F">
        <w:rPr>
          <w:lang w:eastAsia="cs-CZ"/>
        </w:rPr>
        <w:t>o vývoji investice v následujících kapitolách.</w:t>
      </w:r>
    </w:p>
    <w:p w:rsidR="00FD7B45" w:rsidRPr="00B7218F" w:rsidRDefault="00FD7B45" w:rsidP="00BF1E38">
      <w:pPr>
        <w:rPr>
          <w:lang w:eastAsia="cs-CZ"/>
        </w:rPr>
      </w:pPr>
    </w:p>
    <w:p w:rsidR="00FD7B45" w:rsidRDefault="00FD7B45" w:rsidP="00BF1E38">
      <w:pPr>
        <w:rPr>
          <w:lang w:eastAsia="cs-CZ"/>
        </w:rPr>
      </w:pPr>
      <w:r w:rsidRPr="00B7218F">
        <w:rPr>
          <w:lang w:eastAsia="cs-CZ"/>
        </w:rPr>
        <w:t>I v tomto případě bylo výsledkem korelační analýzy potvrzení s</w:t>
      </w:r>
      <w:r>
        <w:rPr>
          <w:lang w:eastAsia="cs-CZ"/>
        </w:rPr>
        <w:t>kutečnosti</w:t>
      </w:r>
      <w:r w:rsidRPr="00B7218F">
        <w:rPr>
          <w:lang w:eastAsia="cs-CZ"/>
        </w:rPr>
        <w:t>, že růst HDP je spojen</w:t>
      </w:r>
      <w:r>
        <w:rPr>
          <w:lang w:eastAsia="cs-CZ"/>
        </w:rPr>
        <w:t xml:space="preserve">ý </w:t>
      </w:r>
      <w:r w:rsidRPr="00B7218F">
        <w:rPr>
          <w:lang w:eastAsia="cs-CZ"/>
        </w:rPr>
        <w:t>s vývojem růstu či poklesem vládních výdajů. V tomto případě byla závislost nižší než u spotřeby</w:t>
      </w:r>
      <w:r>
        <w:rPr>
          <w:lang w:eastAsia="cs-CZ"/>
        </w:rPr>
        <w:t>,</w:t>
      </w:r>
      <w:r w:rsidRPr="00B7218F">
        <w:rPr>
          <w:lang w:eastAsia="cs-CZ"/>
        </w:rPr>
        <w:t xml:space="preserve"> a to ve výši 84,71 %. I přesto se dá říci, že závislost obou složek je silná, kladná a přímá. </w:t>
      </w: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pStyle w:val="Nadpis3"/>
        <w:spacing w:before="0"/>
        <w:rPr>
          <w:lang w:eastAsia="cs-CZ"/>
        </w:rPr>
      </w:pPr>
      <w:bookmarkStart w:id="78" w:name="_Toc281759179"/>
      <w:bookmarkStart w:id="79" w:name="_Toc282027380"/>
      <w:r w:rsidRPr="00B7218F">
        <w:rPr>
          <w:lang w:eastAsia="cs-CZ"/>
        </w:rPr>
        <w:t>3.2.3 Korelace HDP a investic</w:t>
      </w:r>
      <w:bookmarkEnd w:id="78"/>
      <w:bookmarkEnd w:id="79"/>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V předchozích podkapitolách byly prozkoumány dvě ze tří složek, které tvoří celkové HDP. U obou dvou předešlých komponent korelační analýza potvrdila vzájemnou </w:t>
      </w:r>
      <w:r>
        <w:rPr>
          <w:lang w:eastAsia="cs-CZ"/>
        </w:rPr>
        <w:t>závislost</w:t>
      </w:r>
      <w:r w:rsidRPr="00B7218F">
        <w:rPr>
          <w:lang w:eastAsia="cs-CZ"/>
        </w:rPr>
        <w:t xml:space="preserve"> mezi nimi a růstem HDP. Poslední složkou, která tvoří celkové HDP v podmínkách domácí ekonomiky (v tomto případě abstrahujeme od platební bilance)</w:t>
      </w:r>
      <w:r>
        <w:rPr>
          <w:lang w:eastAsia="cs-CZ"/>
        </w:rPr>
        <w:t>,</w:t>
      </w:r>
      <w:r w:rsidRPr="00B7218F">
        <w:rPr>
          <w:lang w:eastAsia="cs-CZ"/>
        </w:rPr>
        <w:t xml:space="preserve"> jsou investice včetně již dříve zmíněných komponent spotřeby a vládních výdajů.</w:t>
      </w:r>
    </w:p>
    <w:p w:rsidR="00FD7B45" w:rsidRPr="00B7218F" w:rsidRDefault="00FD7B45" w:rsidP="00BF1E38">
      <w:pPr>
        <w:pStyle w:val="Nadpis5"/>
      </w:pPr>
      <w:bookmarkStart w:id="80" w:name="_Toc281768948"/>
      <w:bookmarkStart w:id="81" w:name="_Toc282364922"/>
      <w:proofErr w:type="spellStart"/>
      <w:proofErr w:type="gramStart"/>
      <w:r w:rsidRPr="00B7218F">
        <w:t>Tab.3</w:t>
      </w:r>
      <w:proofErr w:type="spellEnd"/>
      <w:r w:rsidRPr="00B7218F">
        <w:t>:</w:t>
      </w:r>
      <w:proofErr w:type="gramEnd"/>
      <w:r w:rsidRPr="00B7218F">
        <w:t xml:space="preserve"> Korelace investic</w:t>
      </w:r>
      <w:bookmarkEnd w:id="80"/>
      <w:bookmarkEnd w:id="81"/>
    </w:p>
    <w:p w:rsidR="00FD7B45" w:rsidRPr="00B7218F" w:rsidRDefault="00FD7B45" w:rsidP="00BF1E38">
      <w:pPr>
        <w:rPr>
          <w:lang w:eastAsia="cs-CZ"/>
        </w:rPr>
      </w:pPr>
    </w:p>
    <w:tbl>
      <w:tblPr>
        <w:tblW w:w="8811" w:type="dxa"/>
        <w:tblInd w:w="60" w:type="dxa"/>
        <w:tblCellMar>
          <w:left w:w="70" w:type="dxa"/>
          <w:right w:w="70" w:type="dxa"/>
        </w:tblCellMar>
        <w:tblLook w:val="00A0"/>
      </w:tblPr>
      <w:tblGrid>
        <w:gridCol w:w="2480"/>
        <w:gridCol w:w="1266"/>
        <w:gridCol w:w="1266"/>
        <w:gridCol w:w="1266"/>
        <w:gridCol w:w="1266"/>
        <w:gridCol w:w="1267"/>
      </w:tblGrid>
      <w:tr w:rsidR="00FD7B45" w:rsidRPr="00501694" w:rsidTr="005C27A4">
        <w:trPr>
          <w:trHeight w:val="303"/>
        </w:trPr>
        <w:tc>
          <w:tcPr>
            <w:tcW w:w="2480" w:type="dxa"/>
            <w:tcBorders>
              <w:top w:val="single" w:sz="8" w:space="0" w:color="auto"/>
              <w:left w:val="single" w:sz="8" w:space="0" w:color="auto"/>
              <w:bottom w:val="single" w:sz="4" w:space="0" w:color="auto"/>
              <w:right w:val="single" w:sz="4" w:space="0" w:color="auto"/>
            </w:tcBorders>
            <w:shd w:val="clear" w:color="000000" w:fill="DBE5F1"/>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Rok</w:t>
            </w:r>
          </w:p>
        </w:tc>
        <w:tc>
          <w:tcPr>
            <w:tcW w:w="1266"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2005</w:t>
            </w:r>
          </w:p>
        </w:tc>
        <w:tc>
          <w:tcPr>
            <w:tcW w:w="1266"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2006</w:t>
            </w:r>
          </w:p>
        </w:tc>
        <w:tc>
          <w:tcPr>
            <w:tcW w:w="1266"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FF0000"/>
                <w:sz w:val="20"/>
                <w:szCs w:val="20"/>
                <w:lang w:eastAsia="cs-CZ"/>
              </w:rPr>
            </w:pPr>
            <w:r w:rsidRPr="00B7218F">
              <w:rPr>
                <w:rFonts w:ascii="Verdana" w:hAnsi="Verdana"/>
                <w:b/>
                <w:bCs/>
                <w:color w:val="FF0000"/>
                <w:sz w:val="20"/>
                <w:szCs w:val="20"/>
                <w:lang w:eastAsia="cs-CZ"/>
              </w:rPr>
              <w:t>2007</w:t>
            </w:r>
          </w:p>
        </w:tc>
        <w:tc>
          <w:tcPr>
            <w:tcW w:w="1266"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2008</w:t>
            </w:r>
          </w:p>
        </w:tc>
        <w:tc>
          <w:tcPr>
            <w:tcW w:w="1266" w:type="dxa"/>
            <w:tcBorders>
              <w:top w:val="single" w:sz="8" w:space="0" w:color="auto"/>
              <w:left w:val="nil"/>
              <w:bottom w:val="single" w:sz="4" w:space="0" w:color="auto"/>
              <w:right w:val="single" w:sz="8" w:space="0" w:color="auto"/>
            </w:tcBorders>
            <w:shd w:val="clear" w:color="000000" w:fill="DBE5F1"/>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2009</w:t>
            </w:r>
          </w:p>
        </w:tc>
      </w:tr>
      <w:tr w:rsidR="00FD7B45" w:rsidRPr="00501694" w:rsidTr="005C27A4">
        <w:trPr>
          <w:trHeight w:val="303"/>
        </w:trPr>
        <w:tc>
          <w:tcPr>
            <w:tcW w:w="2480"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Reálné HDP</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28 048,39</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30 293,07</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33 366,99</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35 293,00</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35 068,78</w:t>
            </w:r>
          </w:p>
        </w:tc>
      </w:tr>
      <w:tr w:rsidR="00FD7B45" w:rsidRPr="00501694" w:rsidTr="005C27A4">
        <w:trPr>
          <w:trHeight w:val="303"/>
        </w:trPr>
        <w:tc>
          <w:tcPr>
            <w:tcW w:w="2480"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8,00</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10,15</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5,77</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-0,64</w:t>
            </w:r>
          </w:p>
        </w:tc>
      </w:tr>
      <w:tr w:rsidR="00FD7B45" w:rsidRPr="00501694" w:rsidTr="005C27A4">
        <w:trPr>
          <w:trHeight w:val="303"/>
        </w:trPr>
        <w:tc>
          <w:tcPr>
            <w:tcW w:w="2480" w:type="dxa"/>
            <w:tcBorders>
              <w:top w:val="nil"/>
              <w:left w:val="single" w:sz="4"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Reálné I</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7 636,78</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8 765,66</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10 575,00</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11 276,06</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8 076,51</w:t>
            </w:r>
          </w:p>
        </w:tc>
      </w:tr>
      <w:tr w:rsidR="00FD7B45" w:rsidRPr="00501694" w:rsidTr="005C27A4">
        <w:trPr>
          <w:trHeight w:val="303"/>
        </w:trPr>
        <w:tc>
          <w:tcPr>
            <w:tcW w:w="2480"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 xml:space="preserve"> </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14,78</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20,64</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6,63</w:t>
            </w:r>
          </w:p>
        </w:tc>
        <w:tc>
          <w:tcPr>
            <w:tcW w:w="1266"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-28,37</w:t>
            </w:r>
          </w:p>
        </w:tc>
      </w:tr>
      <w:tr w:rsidR="00FD7B45" w:rsidRPr="00501694" w:rsidTr="005C27A4">
        <w:trPr>
          <w:trHeight w:val="318"/>
        </w:trPr>
        <w:tc>
          <w:tcPr>
            <w:tcW w:w="2480" w:type="dxa"/>
            <w:tcBorders>
              <w:top w:val="nil"/>
              <w:left w:val="single" w:sz="8" w:space="0" w:color="auto"/>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Korelace</w:t>
            </w:r>
          </w:p>
        </w:tc>
        <w:tc>
          <w:tcPr>
            <w:tcW w:w="6331" w:type="dxa"/>
            <w:gridSpan w:val="5"/>
            <w:tcBorders>
              <w:top w:val="single" w:sz="4" w:space="0" w:color="auto"/>
              <w:left w:val="nil"/>
              <w:bottom w:val="single" w:sz="8" w:space="0" w:color="auto"/>
              <w:right w:val="single" w:sz="8" w:space="0" w:color="000000"/>
            </w:tcBorders>
            <w:noWrap/>
            <w:vAlign w:val="bottom"/>
          </w:tcPr>
          <w:p w:rsidR="00FD7B45" w:rsidRPr="00B7218F" w:rsidRDefault="00FD7B45" w:rsidP="005C27A4">
            <w:pPr>
              <w:spacing w:line="240" w:lineRule="auto"/>
              <w:jc w:val="center"/>
              <w:rPr>
                <w:rFonts w:ascii="Calibri" w:hAnsi="Calibri"/>
                <w:b/>
                <w:bCs/>
                <w:color w:val="000000"/>
                <w:lang w:eastAsia="cs-CZ"/>
              </w:rPr>
            </w:pPr>
            <w:r w:rsidRPr="00B7218F">
              <w:rPr>
                <w:rFonts w:ascii="Calibri" w:hAnsi="Calibri"/>
                <w:b/>
                <w:bCs/>
                <w:color w:val="000000"/>
                <w:sz w:val="22"/>
                <w:lang w:eastAsia="cs-CZ"/>
              </w:rPr>
              <w:t>0,6019 = 60,19 %</w:t>
            </w:r>
          </w:p>
        </w:tc>
      </w:tr>
    </w:tbl>
    <w:p w:rsidR="00FD7B45" w:rsidRPr="00B7218F" w:rsidRDefault="00FD7B45" w:rsidP="00BF1E38">
      <w:pPr>
        <w:pStyle w:val="Podtitul"/>
        <w:rPr>
          <w:lang w:eastAsia="cs-CZ"/>
        </w:rPr>
      </w:pPr>
      <w:r w:rsidRPr="00B7218F">
        <w:t>Zdroj Vlastní konstrukce : Statistický Slovinský úřad[online],</w:t>
      </w:r>
      <w:r>
        <w:t xml:space="preserve"> </w:t>
      </w:r>
      <w:r w:rsidRPr="00B7218F">
        <w:t>Nár</w:t>
      </w:r>
      <w:r>
        <w:t>o</w:t>
      </w:r>
      <w:r w:rsidRPr="00B7218F">
        <w:t>dní účty,</w:t>
      </w:r>
      <w:r>
        <w:t>2010</w:t>
      </w:r>
      <w:r w:rsidRPr="00B7218F">
        <w:t xml:space="preserve"> ,[cit. </w:t>
      </w:r>
      <w:proofErr w:type="gramStart"/>
      <w:r w:rsidRPr="00B7218F">
        <w:t>2010-10</w:t>
      </w:r>
      <w:proofErr w:type="gramEnd"/>
      <w:r w:rsidRPr="00B7218F">
        <w:t xml:space="preserve">-30]. Dostupný z  </w:t>
      </w:r>
      <w:hyperlink r:id="rId18" w:history="1">
        <w:r w:rsidRPr="00B7218F">
          <w:rPr>
            <w:rStyle w:val="Hypertextovodkaz"/>
            <w:szCs w:val="20"/>
          </w:rPr>
          <w:t>http://www.stat.si/pxweb/Database/Ekonomsko/Ekonomsko.asp</w:t>
        </w:r>
      </w:hyperlink>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Vývoj investic ve sledovaném období je znázorněn ve výše uvedené tabulce. Z daných údajů je na první pohled vidět, že v celém sledovaném období investice zvyšoval</w:t>
      </w:r>
      <w:r>
        <w:rPr>
          <w:lang w:eastAsia="cs-CZ"/>
        </w:rPr>
        <w:t>y</w:t>
      </w:r>
      <w:r w:rsidRPr="00B7218F">
        <w:rPr>
          <w:lang w:eastAsia="cs-CZ"/>
        </w:rPr>
        <w:t xml:space="preserve"> svůj peněžní objem. V roce 2006 byl meziroční procentuální nárůst 14,78 % a v peněžních jednotkách to činilo 8 765,66 </w:t>
      </w:r>
      <w:r>
        <w:rPr>
          <w:lang w:eastAsia="cs-CZ"/>
        </w:rPr>
        <w:t>mil. EUR</w:t>
      </w:r>
      <w:r>
        <w:rPr>
          <w:rStyle w:val="Znakapoznpodarou"/>
          <w:lang w:eastAsia="cs-CZ"/>
        </w:rPr>
        <w:footnoteReference w:id="80"/>
      </w:r>
      <w:r w:rsidRPr="00B7218F">
        <w:rPr>
          <w:lang w:eastAsia="cs-CZ"/>
        </w:rPr>
        <w:t xml:space="preserve">. </w:t>
      </w:r>
    </w:p>
    <w:p w:rsidR="00FD7B45" w:rsidRPr="00B7218F" w:rsidRDefault="00FD7B45" w:rsidP="00BF1E38">
      <w:pPr>
        <w:rPr>
          <w:lang w:eastAsia="cs-CZ"/>
        </w:rPr>
      </w:pPr>
      <w:r w:rsidRPr="00B7218F">
        <w:rPr>
          <w:lang w:eastAsia="cs-CZ"/>
        </w:rPr>
        <w:lastRenderedPageBreak/>
        <w:t xml:space="preserve">Nejrazantnější nárůst byl zaznamenán o rok později (2007), kdy Slovinsko přestoupilo ze své národní měny na euro. V tomto roce meziroční nárůst byl 20,34 % a celková hodnota investic byla 10 575 </w:t>
      </w:r>
      <w:r>
        <w:rPr>
          <w:lang w:eastAsia="cs-CZ"/>
        </w:rPr>
        <w:t>mil. EUR</w:t>
      </w:r>
      <w:r w:rsidRPr="00B7218F">
        <w:rPr>
          <w:lang w:eastAsia="cs-CZ"/>
        </w:rPr>
        <w:t xml:space="preserve">.  Oproti vývoji HDP jsou nárůsty investic značné velké, lze přepokládat, že situace v zemi byla stabilní a že </w:t>
      </w:r>
      <w:r>
        <w:rPr>
          <w:lang w:eastAsia="cs-CZ"/>
        </w:rPr>
        <w:t xml:space="preserve">se </w:t>
      </w:r>
      <w:r w:rsidRPr="00B7218F">
        <w:rPr>
          <w:lang w:eastAsia="cs-CZ"/>
        </w:rPr>
        <w:t>zde vy</w:t>
      </w:r>
      <w:r>
        <w:rPr>
          <w:lang w:eastAsia="cs-CZ"/>
        </w:rPr>
        <w:t>tvořil</w:t>
      </w:r>
      <w:r w:rsidRPr="00B7218F">
        <w:rPr>
          <w:lang w:eastAsia="cs-CZ"/>
        </w:rPr>
        <w:t xml:space="preserve"> bezpečný prostor pro soukromé investice. Díky </w:t>
      </w:r>
      <w:proofErr w:type="gramStart"/>
      <w:r w:rsidRPr="00B7218F">
        <w:rPr>
          <w:lang w:eastAsia="cs-CZ"/>
        </w:rPr>
        <w:t>značném</w:t>
      </w:r>
      <w:proofErr w:type="gramEnd"/>
      <w:r w:rsidRPr="00B7218F">
        <w:rPr>
          <w:lang w:eastAsia="cs-CZ"/>
        </w:rPr>
        <w:t xml:space="preserve"> rozsáhlému růstu investic slovinská vláda snížila vládní výdaje </w:t>
      </w:r>
      <w:r>
        <w:rPr>
          <w:lang w:eastAsia="cs-CZ"/>
        </w:rPr>
        <w:t>(</w:t>
      </w:r>
      <w:r w:rsidRPr="00B7218F">
        <w:rPr>
          <w:lang w:eastAsia="cs-CZ"/>
        </w:rPr>
        <w:t>viz předchozí podkapitola</w:t>
      </w:r>
      <w:r>
        <w:rPr>
          <w:rStyle w:val="Znakapoznpodarou"/>
          <w:lang w:eastAsia="cs-CZ"/>
        </w:rPr>
        <w:footnoteReference w:id="81"/>
      </w:r>
      <w:r>
        <w:rPr>
          <w:lang w:eastAsia="cs-CZ"/>
        </w:rPr>
        <w:t>).</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O rok později investice též zaznamenaly nárůst, ale ne už v takové výši. Meziroční nárůst byl pouhých 6,63%</w:t>
      </w:r>
      <w:r>
        <w:rPr>
          <w:lang w:eastAsia="cs-CZ"/>
        </w:rPr>
        <w:t>,</w:t>
      </w:r>
      <w:r w:rsidRPr="00B7218F">
        <w:rPr>
          <w:lang w:eastAsia="cs-CZ"/>
        </w:rPr>
        <w:t xml:space="preserve"> celková hodnota investic byla 11 276,06 </w:t>
      </w:r>
      <w:r>
        <w:rPr>
          <w:lang w:eastAsia="cs-CZ"/>
        </w:rPr>
        <w:t>mil. EUR</w:t>
      </w:r>
      <w:r w:rsidRPr="00B7218F">
        <w:rPr>
          <w:lang w:eastAsia="cs-CZ"/>
        </w:rPr>
        <w:t xml:space="preserve">. V roce 2009 </w:t>
      </w:r>
      <w:r>
        <w:rPr>
          <w:lang w:eastAsia="cs-CZ"/>
        </w:rPr>
        <w:t>d</w:t>
      </w:r>
      <w:r w:rsidRPr="00B7218F">
        <w:rPr>
          <w:lang w:eastAsia="cs-CZ"/>
        </w:rPr>
        <w:t>ošlo k razantnímu poklesu investic. Investice pokles</w:t>
      </w:r>
      <w:r>
        <w:rPr>
          <w:lang w:eastAsia="cs-CZ"/>
        </w:rPr>
        <w:t>l</w:t>
      </w:r>
      <w:r w:rsidRPr="00B7218F">
        <w:rPr>
          <w:lang w:eastAsia="cs-CZ"/>
        </w:rPr>
        <w:t>y meziročně o -28,37 %</w:t>
      </w:r>
      <w:r>
        <w:rPr>
          <w:lang w:eastAsia="cs-CZ"/>
        </w:rPr>
        <w:t xml:space="preserve"> na </w:t>
      </w:r>
      <w:r w:rsidRPr="00B7218F">
        <w:rPr>
          <w:lang w:eastAsia="cs-CZ"/>
        </w:rPr>
        <w:t xml:space="preserve">8 076,51 </w:t>
      </w:r>
      <w:r>
        <w:rPr>
          <w:lang w:eastAsia="cs-CZ"/>
        </w:rPr>
        <w:t>mil. EUR</w:t>
      </w:r>
      <w:r w:rsidRPr="00B7218F">
        <w:rPr>
          <w:lang w:eastAsia="cs-CZ"/>
        </w:rPr>
        <w:t>. Tento velký odliv kapitálů ze země se značně promítl na vývoji HDP. Ani relativn</w:t>
      </w:r>
      <w:r>
        <w:rPr>
          <w:lang w:eastAsia="cs-CZ"/>
        </w:rPr>
        <w:t>ě</w:t>
      </w:r>
      <w:r w:rsidRPr="00B7218F">
        <w:rPr>
          <w:lang w:eastAsia="cs-CZ"/>
        </w:rPr>
        <w:t xml:space="preserve"> silný růst spotřeby neovlivnil pokles celkové reálného důchodu</w:t>
      </w:r>
      <w:r>
        <w:rPr>
          <w:rStyle w:val="Znakapoznpodarou"/>
          <w:lang w:eastAsia="cs-CZ"/>
        </w:rPr>
        <w:footnoteReference w:id="82"/>
      </w:r>
      <w:r w:rsidRPr="00B7218F">
        <w:rPr>
          <w:lang w:eastAsia="cs-CZ"/>
        </w:rPr>
        <w:t xml:space="preserve">.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Co se týče vývoje HDP v závislosti na vývoj</w:t>
      </w:r>
      <w:r>
        <w:rPr>
          <w:lang w:eastAsia="cs-CZ"/>
        </w:rPr>
        <w:t>i</w:t>
      </w:r>
      <w:r w:rsidRPr="00B7218F">
        <w:rPr>
          <w:lang w:eastAsia="cs-CZ"/>
        </w:rPr>
        <w:t xml:space="preserve"> investic, </w:t>
      </w:r>
      <w:r>
        <w:rPr>
          <w:lang w:eastAsia="cs-CZ"/>
        </w:rPr>
        <w:t>lze</w:t>
      </w:r>
      <w:r w:rsidRPr="00B7218F">
        <w:rPr>
          <w:lang w:eastAsia="cs-CZ"/>
        </w:rPr>
        <w:t xml:space="preserve"> říci</w:t>
      </w:r>
      <w:r>
        <w:rPr>
          <w:lang w:eastAsia="cs-CZ"/>
        </w:rPr>
        <w:t>, že</w:t>
      </w:r>
      <w:r w:rsidRPr="00B7218F">
        <w:rPr>
          <w:lang w:eastAsia="cs-CZ"/>
        </w:rPr>
        <w:t xml:space="preserve"> průběh obou dvou veličin je podobný, ale ne až tak jako u spotřeby. Velká podobnost je u růstu v období let 2006 až 2007, kde větší podíl růstu zaznamenalo HDP. </w:t>
      </w: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pStyle w:val="Nadpis2"/>
        <w:spacing w:before="0"/>
        <w:rPr>
          <w:lang w:eastAsia="cs-CZ"/>
        </w:rPr>
      </w:pPr>
      <w:bookmarkStart w:id="82" w:name="_Toc281759180"/>
      <w:bookmarkStart w:id="83" w:name="_Toc282027381"/>
      <w:r w:rsidRPr="00B7218F">
        <w:rPr>
          <w:lang w:eastAsia="cs-CZ"/>
        </w:rPr>
        <w:t>3.3 Shrnutí vývoje</w:t>
      </w:r>
      <w:bookmarkEnd w:id="82"/>
      <w:bookmarkEnd w:id="83"/>
      <w:r w:rsidRPr="00B7218F">
        <w:rPr>
          <w:lang w:eastAsia="cs-CZ"/>
        </w:rPr>
        <w:t xml:space="preserve"> </w:t>
      </w: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Po roce 2007 došlo k poklesu vývoje růstu u obou zmiňovaných veličin, </w:t>
      </w:r>
      <w:r>
        <w:rPr>
          <w:lang w:eastAsia="cs-CZ"/>
        </w:rPr>
        <w:t>nicméně</w:t>
      </w:r>
      <w:r w:rsidRPr="00B7218F">
        <w:rPr>
          <w:lang w:eastAsia="cs-CZ"/>
        </w:rPr>
        <w:t xml:space="preserve"> je potřeba říci, že nárůst HDP činil v roce 2008 5,77 % oproti roku 2007</w:t>
      </w:r>
      <w:r>
        <w:rPr>
          <w:lang w:eastAsia="cs-CZ"/>
        </w:rPr>
        <w:t>,</w:t>
      </w:r>
      <w:r w:rsidRPr="00B7218F">
        <w:rPr>
          <w:lang w:eastAsia="cs-CZ"/>
        </w:rPr>
        <w:t xml:space="preserve"> zatímco investic</w:t>
      </w:r>
      <w:r>
        <w:rPr>
          <w:lang w:eastAsia="cs-CZ"/>
        </w:rPr>
        <w:t>e</w:t>
      </w:r>
      <w:r w:rsidRPr="00B7218F">
        <w:rPr>
          <w:lang w:eastAsia="cs-CZ"/>
        </w:rPr>
        <w:t xml:space="preserve"> v to</w:t>
      </w:r>
      <w:r>
        <w:rPr>
          <w:lang w:eastAsia="cs-CZ"/>
        </w:rPr>
        <w:t>m</w:t>
      </w:r>
      <w:r w:rsidRPr="00B7218F">
        <w:rPr>
          <w:lang w:eastAsia="cs-CZ"/>
        </w:rPr>
        <w:t xml:space="preserve">to období zaznamenaly nárůst 6,63%. </w:t>
      </w:r>
      <w:r>
        <w:rPr>
          <w:lang w:eastAsia="cs-CZ"/>
        </w:rPr>
        <w:t>Naproti tomu</w:t>
      </w:r>
      <w:r w:rsidRPr="00B7218F">
        <w:rPr>
          <w:lang w:eastAsia="cs-CZ"/>
        </w:rPr>
        <w:t xml:space="preserve"> v roce 2009 obě dvě veličiny zaznamenaly razantní pokles. Hrubý domácí produkt meziročně klesl o </w:t>
      </w:r>
      <w:r>
        <w:rPr>
          <w:lang w:eastAsia="cs-CZ"/>
        </w:rPr>
        <w:t>-</w:t>
      </w:r>
      <w:r w:rsidRPr="00B7218F">
        <w:rPr>
          <w:lang w:eastAsia="cs-CZ"/>
        </w:rPr>
        <w:t xml:space="preserve">0,64 % a investice klesly o </w:t>
      </w:r>
      <w:r>
        <w:rPr>
          <w:lang w:eastAsia="cs-CZ"/>
        </w:rPr>
        <w:t>-</w:t>
      </w:r>
      <w:r w:rsidRPr="00B7218F">
        <w:rPr>
          <w:lang w:eastAsia="cs-CZ"/>
        </w:rPr>
        <w:t>28,37 %.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Zhotoven</w:t>
      </w:r>
      <w:r>
        <w:rPr>
          <w:lang w:eastAsia="cs-CZ"/>
        </w:rPr>
        <w:t>á</w:t>
      </w:r>
      <w:r w:rsidRPr="00B7218F">
        <w:rPr>
          <w:lang w:eastAsia="cs-CZ"/>
        </w:rPr>
        <w:t xml:space="preserve"> korelační analýza potvrdila </w:t>
      </w:r>
      <w:r>
        <w:rPr>
          <w:lang w:eastAsia="cs-CZ"/>
        </w:rPr>
        <w:t xml:space="preserve">přímou a poměrně silnou </w:t>
      </w:r>
      <w:r w:rsidRPr="00B7218F">
        <w:rPr>
          <w:lang w:eastAsia="cs-CZ"/>
        </w:rPr>
        <w:t>závislost vývoje HDP na vývoj</w:t>
      </w:r>
      <w:r>
        <w:rPr>
          <w:lang w:eastAsia="cs-CZ"/>
        </w:rPr>
        <w:t>i</w:t>
      </w:r>
      <w:r w:rsidRPr="00B7218F">
        <w:rPr>
          <w:lang w:eastAsia="cs-CZ"/>
        </w:rPr>
        <w:t xml:space="preserve"> spotřeby ve výši 60,19 </w:t>
      </w:r>
      <w:r>
        <w:rPr>
          <w:lang w:eastAsia="cs-CZ"/>
        </w:rPr>
        <w:t>%</w:t>
      </w:r>
      <w:r w:rsidRPr="00B7218F">
        <w:rPr>
          <w:lang w:eastAsia="cs-CZ"/>
        </w:rPr>
        <w:t xml:space="preserve">. I když je nutné říci, že v tomto případě není tak silná jako např. u spotřeby či vládních výdajů.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Z výsledků, které byly získány korelační an</w:t>
      </w:r>
      <w:r>
        <w:rPr>
          <w:lang w:eastAsia="cs-CZ"/>
        </w:rPr>
        <w:t>al</w:t>
      </w:r>
      <w:r w:rsidRPr="00B7218F">
        <w:rPr>
          <w:lang w:eastAsia="cs-CZ"/>
        </w:rPr>
        <w:t xml:space="preserve">ýzou, lze usoudit, že nejvíce korelovanou veličinou spojenou s růstem HDP je první zmiňovaná spotřeba. Ostatní dvě komponenty obzvláště pak vládní výdaje mají též zásadní vliv na vývoj HDP.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V úvodu této kapitoly byl zmíněn předpoklad, že nejméně korelovanou složkou budou vládní výdaje a ne investice. V tomto případě korelační analýza prokázala, že předpoklad byl milný, a že nejméně korelovanou složkou jsou investice a ne předpovídané vládní výdaje.</w:t>
      </w:r>
    </w:p>
    <w:p w:rsidR="00FD7B45" w:rsidRDefault="00FD7B45" w:rsidP="00BF1E38">
      <w:pPr>
        <w:rPr>
          <w:lang w:eastAsia="cs-CZ"/>
        </w:rPr>
      </w:pPr>
    </w:p>
    <w:p w:rsidR="00FD7B45" w:rsidRPr="00B7218F" w:rsidRDefault="00FD7B45" w:rsidP="00BF1E38">
      <w:pPr>
        <w:rPr>
          <w:lang w:eastAsia="cs-CZ"/>
        </w:rPr>
      </w:pPr>
    </w:p>
    <w:p w:rsidR="00FD7B45" w:rsidRPr="00B7218F" w:rsidRDefault="00FD7B45" w:rsidP="00BF1E38">
      <w:pPr>
        <w:pStyle w:val="Nadpis2"/>
        <w:spacing w:before="0"/>
        <w:rPr>
          <w:lang w:eastAsia="cs-CZ"/>
        </w:rPr>
      </w:pPr>
      <w:bookmarkStart w:id="84" w:name="_Toc281759181"/>
      <w:bookmarkStart w:id="85" w:name="_Toc282027382"/>
      <w:r w:rsidRPr="00B7218F">
        <w:rPr>
          <w:lang w:eastAsia="cs-CZ"/>
        </w:rPr>
        <w:t>3.4 Vliv jednotlivých faktorů na celkovou spotřebu</w:t>
      </w:r>
      <w:bookmarkEnd w:id="84"/>
      <w:bookmarkEnd w:id="85"/>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V předešlé části bylo zjištěno, že spotřeba nejvíce ovlivňuje celkový HDP. Otázkou je co to zapříčiňuje, jestli zvýšení mezd, nárůst transferů nebo samotné zavedení jednotné měny. Nyní se zkoumání zaměří na</w:t>
      </w:r>
      <w:r>
        <w:rPr>
          <w:lang w:eastAsia="cs-CZ"/>
        </w:rPr>
        <w:t xml:space="preserve"> </w:t>
      </w:r>
      <w:r w:rsidRPr="00B7218F">
        <w:rPr>
          <w:lang w:eastAsia="cs-CZ"/>
        </w:rPr>
        <w:t>to, jak např. mzdové náhrady ovlivnily vývoj celkové spotřeby.</w:t>
      </w: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pStyle w:val="Nadpis3"/>
        <w:spacing w:before="0"/>
        <w:rPr>
          <w:lang w:eastAsia="cs-CZ"/>
        </w:rPr>
      </w:pPr>
      <w:bookmarkStart w:id="86" w:name="_Toc281759182"/>
      <w:bookmarkStart w:id="87" w:name="_Toc282027383"/>
      <w:r w:rsidRPr="00B7218F">
        <w:rPr>
          <w:lang w:eastAsia="cs-CZ"/>
        </w:rPr>
        <w:t>3.4.1 Mzdové náhrady a transfery</w:t>
      </w:r>
      <w:bookmarkEnd w:id="86"/>
      <w:bookmarkEnd w:id="87"/>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Mzdové náhrady (mzdy či platy) včetně sociální</w:t>
      </w:r>
      <w:r>
        <w:rPr>
          <w:lang w:eastAsia="cs-CZ"/>
        </w:rPr>
        <w:t>ch</w:t>
      </w:r>
      <w:r w:rsidRPr="00B7218F">
        <w:rPr>
          <w:lang w:eastAsia="cs-CZ"/>
        </w:rPr>
        <w:t xml:space="preserve"> příspěvk</w:t>
      </w:r>
      <w:r>
        <w:rPr>
          <w:lang w:eastAsia="cs-CZ"/>
        </w:rPr>
        <w:t>ů</w:t>
      </w:r>
      <w:r w:rsidRPr="00B7218F">
        <w:rPr>
          <w:lang w:eastAsia="cs-CZ"/>
        </w:rPr>
        <w:t xml:space="preserve"> od zaměstnavatelů patří mezi hlavní faktory, které ovlivňují výši </w:t>
      </w:r>
      <w:proofErr w:type="gramStart"/>
      <w:r w:rsidRPr="00B7218F">
        <w:rPr>
          <w:lang w:eastAsia="cs-CZ"/>
        </w:rPr>
        <w:t xml:space="preserve">spotřeby </w:t>
      </w:r>
      <w:r>
        <w:rPr>
          <w:lang w:eastAsia="cs-CZ"/>
        </w:rPr>
        <w:t>neboli</w:t>
      </w:r>
      <w:proofErr w:type="gramEnd"/>
      <w:r w:rsidRPr="00B7218F">
        <w:rPr>
          <w:lang w:eastAsia="cs-CZ"/>
        </w:rPr>
        <w:t xml:space="preserve"> ovlivňují to, kolik jsou domácnosti schopné v určitém období spotřebovat. Jejich spotřební chování závisí obzvláště na jejich vlastních finančních možnostech. Pro potvrzení předpokladu, že finance ovlivňují spotřební chování, se taktéž využije korelační analýza.</w:t>
      </w:r>
    </w:p>
    <w:p w:rsidR="00FD7B45" w:rsidRPr="00B7218F" w:rsidRDefault="00FD7B45" w:rsidP="00BF1E38">
      <w:pPr>
        <w:rPr>
          <w:lang w:eastAsia="cs-CZ"/>
        </w:rPr>
      </w:pPr>
    </w:p>
    <w:p w:rsidR="00FD7B45" w:rsidRDefault="00FD7B45" w:rsidP="00BF1E38">
      <w:pPr>
        <w:rPr>
          <w:lang w:eastAsia="cs-CZ"/>
        </w:rPr>
      </w:pPr>
    </w:p>
    <w:p w:rsidR="00FD7B45" w:rsidRPr="00B7218F" w:rsidRDefault="00FD7B45" w:rsidP="00BF1E38">
      <w:pPr>
        <w:rPr>
          <w:lang w:eastAsia="cs-CZ"/>
        </w:rPr>
      </w:pPr>
      <w:r w:rsidRPr="00B7218F">
        <w:rPr>
          <w:lang w:eastAsia="cs-CZ"/>
        </w:rPr>
        <w:t xml:space="preserve">V následujícím grafu je znázorněn průběh vývoje obou dvou komponent. </w:t>
      </w:r>
    </w:p>
    <w:p w:rsidR="00FD7B45" w:rsidRPr="00B7218F" w:rsidRDefault="00A02874" w:rsidP="00BF1E38">
      <w:pPr>
        <w:rPr>
          <w:lang w:eastAsia="cs-CZ"/>
        </w:rPr>
      </w:pPr>
      <w:r>
        <w:rPr>
          <w:noProof/>
          <w:lang w:eastAsia="cs-CZ"/>
        </w:rPr>
        <w:lastRenderedPageBreak/>
        <w:pict>
          <v:shape id="Graf 1" o:spid="_x0000_i1031" type="#_x0000_t75" style="width:361.5pt;height:216.7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">
            <v:imagedata r:id="rId19" o:title=""/>
            <o:lock v:ext="edit" aspectratio="f"/>
          </v:shape>
        </w:pict>
      </w:r>
    </w:p>
    <w:p w:rsidR="00FD7B45" w:rsidRPr="00B7218F" w:rsidRDefault="00FD7B45" w:rsidP="00BF1E38">
      <w:pPr>
        <w:pStyle w:val="Podtitul"/>
        <w:rPr>
          <w:lang w:eastAsia="cs-CZ"/>
        </w:rPr>
      </w:pPr>
      <w:r w:rsidRPr="00B7218F">
        <w:t>Zdroj Vlastní konstrukce : Statistický Slovinský úřad</w:t>
      </w:r>
      <w:r>
        <w:t xml:space="preserve"> </w:t>
      </w:r>
      <w:r w:rsidRPr="00B7218F">
        <w:t>[online],</w:t>
      </w:r>
      <w:r>
        <w:t xml:space="preserve"> </w:t>
      </w:r>
      <w:r w:rsidRPr="00B7218F">
        <w:t>Nár</w:t>
      </w:r>
      <w:r>
        <w:t>o</w:t>
      </w:r>
      <w:r w:rsidRPr="00B7218F">
        <w:t xml:space="preserve">dní účty, </w:t>
      </w:r>
      <w:r>
        <w:t>2010</w:t>
      </w:r>
      <w:r w:rsidRPr="00B7218F">
        <w:t xml:space="preserve">,[cit. </w:t>
      </w:r>
      <w:proofErr w:type="gramStart"/>
      <w:r w:rsidRPr="00B7218F">
        <w:t>2010-10</w:t>
      </w:r>
      <w:proofErr w:type="gramEnd"/>
      <w:r w:rsidRPr="00B7218F">
        <w:t xml:space="preserve">-30]. Dostupný z  </w:t>
      </w:r>
      <w:hyperlink r:id="rId20" w:history="1">
        <w:r w:rsidRPr="00B7218F">
          <w:rPr>
            <w:rStyle w:val="Hypertextovodkaz"/>
            <w:szCs w:val="20"/>
          </w:rPr>
          <w:t>http://www.stat.si/pxweb/Database/Ekonomsko/Ekonomsko.asp</w:t>
        </w:r>
      </w:hyperlink>
    </w:p>
    <w:p w:rsidR="00FD7B45" w:rsidRPr="00B7218F" w:rsidRDefault="00FD7B45" w:rsidP="00BF1E38">
      <w:pPr>
        <w:pStyle w:val="Nadpis4"/>
        <w:rPr>
          <w:lang w:eastAsia="cs-CZ"/>
        </w:rPr>
      </w:pPr>
      <w:bookmarkStart w:id="88" w:name="_Toc281759197"/>
      <w:bookmarkStart w:id="89" w:name="_Toc282027253"/>
      <w:proofErr w:type="gramStart"/>
      <w:r w:rsidRPr="00B7218F">
        <w:rPr>
          <w:lang w:eastAsia="cs-CZ"/>
        </w:rPr>
        <w:t>Obr.6:</w:t>
      </w:r>
      <w:proofErr w:type="gramEnd"/>
      <w:r w:rsidRPr="00B7218F">
        <w:rPr>
          <w:lang w:eastAsia="cs-CZ"/>
        </w:rPr>
        <w:t xml:space="preserve"> Vývoj reálné spotřeby a mzdových náhrad v mil. EUR</w:t>
      </w:r>
      <w:bookmarkEnd w:id="88"/>
      <w:bookmarkEnd w:id="89"/>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Výše uvedený graf zobrazuje vývoj reální spotřeby a reálných náh</w:t>
      </w:r>
      <w:r>
        <w:rPr>
          <w:lang w:eastAsia="cs-CZ"/>
        </w:rPr>
        <w:t xml:space="preserve">rad. Na první pohled je </w:t>
      </w:r>
      <w:proofErr w:type="gramStart"/>
      <w:r>
        <w:rPr>
          <w:lang w:eastAsia="cs-CZ"/>
        </w:rPr>
        <w:t xml:space="preserve">patrné, </w:t>
      </w:r>
      <w:r w:rsidRPr="00B7218F">
        <w:rPr>
          <w:lang w:eastAsia="cs-CZ"/>
        </w:rPr>
        <w:t>že</w:t>
      </w:r>
      <w:proofErr w:type="gramEnd"/>
      <w:r w:rsidRPr="00B7218F">
        <w:rPr>
          <w:lang w:eastAsia="cs-CZ"/>
        </w:rPr>
        <w:t xml:space="preserve"> obě dvě složky mají ve sledované období stejný rostoucí </w:t>
      </w:r>
      <w:proofErr w:type="gramStart"/>
      <w:r w:rsidRPr="00B7218F">
        <w:rPr>
          <w:lang w:eastAsia="cs-CZ"/>
        </w:rPr>
        <w:t>trend.</w:t>
      </w:r>
      <w:proofErr w:type="gramEnd"/>
      <w:r w:rsidRPr="00B7218F">
        <w:rPr>
          <w:lang w:eastAsia="cs-CZ"/>
        </w:rPr>
        <w:t xml:space="preserve"> Lze předpokládat, že míra závislosti mezi těmito faktory bude silná a kladná.</w:t>
      </w:r>
    </w:p>
    <w:p w:rsidR="00FD7B45" w:rsidRPr="00B7218F" w:rsidRDefault="00FD7B45" w:rsidP="00BF1E38">
      <w:pPr>
        <w:rPr>
          <w:lang w:eastAsia="cs-CZ"/>
        </w:rPr>
      </w:pPr>
    </w:p>
    <w:p w:rsidR="00FD7B45" w:rsidRPr="00B7218F" w:rsidRDefault="00FD7B45" w:rsidP="00BF1E38">
      <w:pPr>
        <w:pStyle w:val="Nadpis5"/>
      </w:pPr>
      <w:bookmarkStart w:id="90" w:name="_Toc281768949"/>
      <w:bookmarkStart w:id="91" w:name="_Toc282364923"/>
      <w:proofErr w:type="spellStart"/>
      <w:proofErr w:type="gramStart"/>
      <w:r w:rsidRPr="00B7218F">
        <w:t>Tab.4</w:t>
      </w:r>
      <w:proofErr w:type="spellEnd"/>
      <w:r w:rsidRPr="00B7218F">
        <w:t>:</w:t>
      </w:r>
      <w:proofErr w:type="gramEnd"/>
      <w:r w:rsidRPr="00B7218F">
        <w:t xml:space="preserve"> Korelace reálných náhrad</w:t>
      </w:r>
      <w:bookmarkEnd w:id="90"/>
      <w:bookmarkEnd w:id="91"/>
    </w:p>
    <w:tbl>
      <w:tblPr>
        <w:tblW w:w="9067" w:type="dxa"/>
        <w:tblInd w:w="60" w:type="dxa"/>
        <w:tblCellMar>
          <w:left w:w="70" w:type="dxa"/>
          <w:right w:w="70" w:type="dxa"/>
        </w:tblCellMar>
        <w:tblLook w:val="00A0"/>
      </w:tblPr>
      <w:tblGrid>
        <w:gridCol w:w="2552"/>
        <w:gridCol w:w="1303"/>
        <w:gridCol w:w="1303"/>
        <w:gridCol w:w="1303"/>
        <w:gridCol w:w="1303"/>
        <w:gridCol w:w="1303"/>
      </w:tblGrid>
      <w:tr w:rsidR="00FD7B45" w:rsidRPr="00501694" w:rsidTr="005C27A4">
        <w:trPr>
          <w:trHeight w:val="300"/>
        </w:trPr>
        <w:tc>
          <w:tcPr>
            <w:tcW w:w="2552" w:type="dxa"/>
            <w:tcBorders>
              <w:top w:val="single" w:sz="8" w:space="0" w:color="auto"/>
              <w:left w:val="single" w:sz="8" w:space="0" w:color="auto"/>
              <w:bottom w:val="single" w:sz="4" w:space="0" w:color="auto"/>
              <w:right w:val="single" w:sz="4" w:space="0" w:color="auto"/>
            </w:tcBorders>
            <w:shd w:val="clear" w:color="000000" w:fill="DBE5F1"/>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Rok</w:t>
            </w:r>
          </w:p>
        </w:tc>
        <w:tc>
          <w:tcPr>
            <w:tcW w:w="1303"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2005</w:t>
            </w:r>
          </w:p>
        </w:tc>
        <w:tc>
          <w:tcPr>
            <w:tcW w:w="1303"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2006</w:t>
            </w:r>
          </w:p>
        </w:tc>
        <w:tc>
          <w:tcPr>
            <w:tcW w:w="1303"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FF0000"/>
                <w:sz w:val="20"/>
                <w:szCs w:val="20"/>
                <w:lang w:eastAsia="cs-CZ"/>
              </w:rPr>
            </w:pPr>
            <w:r w:rsidRPr="00B7218F">
              <w:rPr>
                <w:rFonts w:ascii="Verdana" w:hAnsi="Verdana"/>
                <w:b/>
                <w:bCs/>
                <w:color w:val="FF0000"/>
                <w:sz w:val="20"/>
                <w:szCs w:val="20"/>
                <w:lang w:eastAsia="cs-CZ"/>
              </w:rPr>
              <w:t>2007</w:t>
            </w:r>
          </w:p>
        </w:tc>
        <w:tc>
          <w:tcPr>
            <w:tcW w:w="1303"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2008</w:t>
            </w:r>
          </w:p>
        </w:tc>
        <w:tc>
          <w:tcPr>
            <w:tcW w:w="1303" w:type="dxa"/>
            <w:tcBorders>
              <w:top w:val="single" w:sz="8" w:space="0" w:color="auto"/>
              <w:left w:val="nil"/>
              <w:bottom w:val="single" w:sz="4" w:space="0" w:color="auto"/>
              <w:right w:val="single" w:sz="8"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2009</w:t>
            </w:r>
          </w:p>
        </w:tc>
      </w:tr>
      <w:tr w:rsidR="00FD7B45" w:rsidRPr="00501694" w:rsidTr="005C27A4">
        <w:trPr>
          <w:trHeight w:val="300"/>
        </w:trPr>
        <w:tc>
          <w:tcPr>
            <w:tcW w:w="2552"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proofErr w:type="gramStart"/>
            <w:r w:rsidRPr="00B7218F">
              <w:rPr>
                <w:rFonts w:ascii="Calibri" w:hAnsi="Calibri"/>
                <w:color w:val="000000"/>
                <w:sz w:val="22"/>
                <w:lang w:eastAsia="cs-CZ"/>
              </w:rPr>
              <w:t>Reálná  C</w:t>
            </w:r>
            <w:proofErr w:type="gramEnd"/>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15 206,73</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16 001,56</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17 585,04</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18 695,18</w:t>
            </w:r>
          </w:p>
        </w:tc>
        <w:tc>
          <w:tcPr>
            <w:tcW w:w="1303"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19 432,21</w:t>
            </w:r>
          </w:p>
        </w:tc>
      </w:tr>
      <w:tr w:rsidR="00FD7B45" w:rsidRPr="00501694" w:rsidTr="005C27A4">
        <w:trPr>
          <w:trHeight w:val="300"/>
        </w:trPr>
        <w:tc>
          <w:tcPr>
            <w:tcW w:w="2552"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5,23</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9,90</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6,31</w:t>
            </w:r>
          </w:p>
        </w:tc>
        <w:tc>
          <w:tcPr>
            <w:tcW w:w="1303"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3,94</w:t>
            </w:r>
          </w:p>
        </w:tc>
      </w:tr>
      <w:tr w:rsidR="00FD7B45" w:rsidRPr="00501694" w:rsidTr="005C27A4">
        <w:trPr>
          <w:trHeight w:val="300"/>
        </w:trPr>
        <w:tc>
          <w:tcPr>
            <w:tcW w:w="2552"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Reálné náhrady</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14 293,56</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15 290,34</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16 613,51</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17 930,65</w:t>
            </w:r>
          </w:p>
        </w:tc>
        <w:tc>
          <w:tcPr>
            <w:tcW w:w="1303"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18 618,73</w:t>
            </w:r>
          </w:p>
        </w:tc>
      </w:tr>
      <w:tr w:rsidR="00FD7B45" w:rsidRPr="00501694" w:rsidTr="005C27A4">
        <w:trPr>
          <w:trHeight w:val="300"/>
        </w:trPr>
        <w:tc>
          <w:tcPr>
            <w:tcW w:w="2552"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6,97</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8,65</w:t>
            </w:r>
          </w:p>
        </w:tc>
        <w:tc>
          <w:tcPr>
            <w:tcW w:w="1303"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7,93</w:t>
            </w:r>
          </w:p>
        </w:tc>
        <w:tc>
          <w:tcPr>
            <w:tcW w:w="1303"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3,84</w:t>
            </w:r>
          </w:p>
        </w:tc>
      </w:tr>
      <w:tr w:rsidR="00FD7B45" w:rsidRPr="00501694" w:rsidTr="005C27A4">
        <w:trPr>
          <w:trHeight w:val="315"/>
        </w:trPr>
        <w:tc>
          <w:tcPr>
            <w:tcW w:w="2552" w:type="dxa"/>
            <w:tcBorders>
              <w:top w:val="nil"/>
              <w:left w:val="single" w:sz="8" w:space="0" w:color="auto"/>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Korelace</w:t>
            </w:r>
          </w:p>
        </w:tc>
        <w:tc>
          <w:tcPr>
            <w:tcW w:w="6515" w:type="dxa"/>
            <w:gridSpan w:val="5"/>
            <w:tcBorders>
              <w:top w:val="nil"/>
              <w:left w:val="nil"/>
              <w:bottom w:val="single" w:sz="8" w:space="0" w:color="auto"/>
              <w:right w:val="single" w:sz="8" w:space="0" w:color="000000"/>
            </w:tcBorders>
            <w:noWrap/>
            <w:vAlign w:val="bottom"/>
          </w:tcPr>
          <w:p w:rsidR="00FD7B45" w:rsidRPr="00B7218F" w:rsidRDefault="00FD7B45" w:rsidP="005C27A4">
            <w:pPr>
              <w:spacing w:line="240" w:lineRule="auto"/>
              <w:jc w:val="center"/>
              <w:rPr>
                <w:rFonts w:ascii="Calibri" w:hAnsi="Calibri"/>
                <w:b/>
                <w:bCs/>
                <w:color w:val="000000"/>
                <w:lang w:eastAsia="cs-CZ"/>
              </w:rPr>
            </w:pPr>
            <w:r w:rsidRPr="00B7218F">
              <w:rPr>
                <w:rFonts w:ascii="Calibri" w:hAnsi="Calibri"/>
                <w:b/>
                <w:bCs/>
                <w:color w:val="000000"/>
                <w:sz w:val="22"/>
                <w:lang w:eastAsia="cs-CZ"/>
              </w:rPr>
              <w:t>0,9983= 99,83 %</w:t>
            </w:r>
          </w:p>
        </w:tc>
      </w:tr>
    </w:tbl>
    <w:p w:rsidR="00FD7B45" w:rsidRPr="00B7218F" w:rsidRDefault="00FD7B45" w:rsidP="00BF1E38">
      <w:pPr>
        <w:pStyle w:val="Podtitul"/>
        <w:rPr>
          <w:lang w:eastAsia="cs-CZ"/>
        </w:rPr>
      </w:pPr>
      <w:r w:rsidRPr="00B7218F">
        <w:t>Zdroj Vlastní konstrukce : Statistický Slovinský úřad</w:t>
      </w:r>
      <w:r>
        <w:t xml:space="preserve"> </w:t>
      </w:r>
      <w:r w:rsidRPr="00B7218F">
        <w:t>[online],</w:t>
      </w:r>
      <w:r>
        <w:t xml:space="preserve"> </w:t>
      </w:r>
      <w:r w:rsidRPr="00B7218F">
        <w:t xml:space="preserve">Národní účty, </w:t>
      </w:r>
      <w:r>
        <w:t>2010</w:t>
      </w:r>
      <w:r w:rsidRPr="00B7218F">
        <w:t>,</w:t>
      </w:r>
      <w:r>
        <w:t xml:space="preserve"> </w:t>
      </w:r>
      <w:r w:rsidRPr="00B7218F">
        <w:t xml:space="preserve">[cit. </w:t>
      </w:r>
      <w:proofErr w:type="gramStart"/>
      <w:r w:rsidRPr="00B7218F">
        <w:t>2010-10</w:t>
      </w:r>
      <w:proofErr w:type="gramEnd"/>
      <w:r w:rsidRPr="00B7218F">
        <w:t xml:space="preserve">-30]. Dostupný z  </w:t>
      </w:r>
      <w:hyperlink r:id="rId21" w:history="1">
        <w:r w:rsidRPr="00B7218F">
          <w:rPr>
            <w:rStyle w:val="Hypertextovodkaz"/>
            <w:szCs w:val="20"/>
          </w:rPr>
          <w:t>http://www.stat.si/pxweb/Database/Ekonomsko/Ekonomsko.asp</w:t>
        </w:r>
      </w:hyperlink>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V roce 2005 reálné náhrady činily 14 293,56 </w:t>
      </w:r>
      <w:r>
        <w:rPr>
          <w:lang w:eastAsia="cs-CZ"/>
        </w:rPr>
        <w:t>mil. EUR</w:t>
      </w:r>
      <w:r w:rsidRPr="00B7218F">
        <w:rPr>
          <w:lang w:eastAsia="cs-CZ"/>
        </w:rPr>
        <w:t xml:space="preserve">. O rok později vzrostly o 6,97 % na hodnotu 15 290,34 </w:t>
      </w:r>
      <w:r>
        <w:rPr>
          <w:lang w:eastAsia="cs-CZ"/>
        </w:rPr>
        <w:t>mil. EUR</w:t>
      </w:r>
      <w:r w:rsidRPr="00B7218F">
        <w:rPr>
          <w:lang w:eastAsia="cs-CZ"/>
        </w:rPr>
        <w:t xml:space="preserve">.  Nárůst náhrad byl větší než nárůst celkové spotřeby. V roce 2007, kdy bylo zavedeno euro, byla situace podobná, akorát spotřeba zaznamenala vyšší procentuální nárůst než náhrady. Celkem to bylo 17 585,04 mil. EUR, zatímco náhrady </w:t>
      </w:r>
      <w:r w:rsidRPr="00B7218F">
        <w:rPr>
          <w:lang w:eastAsia="cs-CZ"/>
        </w:rPr>
        <w:lastRenderedPageBreak/>
        <w:t xml:space="preserve">v celkové výši tvořily hodnotu 16 613,51 </w:t>
      </w:r>
      <w:r>
        <w:rPr>
          <w:lang w:eastAsia="cs-CZ"/>
        </w:rPr>
        <w:t>mil. EUR</w:t>
      </w:r>
      <w:r w:rsidRPr="00B7218F">
        <w:rPr>
          <w:lang w:eastAsia="cs-CZ"/>
        </w:rPr>
        <w:t>. Náhrady vzrostly o 8,65 % a spotřeba o 9,90</w:t>
      </w:r>
      <w:r>
        <w:rPr>
          <w:lang w:eastAsia="cs-CZ"/>
        </w:rPr>
        <w:t xml:space="preserve"> </w:t>
      </w:r>
      <w:r w:rsidRPr="00B7218F">
        <w:rPr>
          <w:lang w:eastAsia="cs-CZ"/>
        </w:rPr>
        <w:t>%.</w:t>
      </w:r>
      <w:r>
        <w:rPr>
          <w:rStyle w:val="Znakapoznpodarou"/>
          <w:lang w:eastAsia="cs-CZ"/>
        </w:rPr>
        <w:footnoteReference w:id="83"/>
      </w:r>
      <w:r w:rsidRPr="00B7218F">
        <w:rPr>
          <w:lang w:eastAsia="cs-CZ"/>
        </w:rPr>
        <w:t xml:space="preserve">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V roce 2008 se situace znovu změnila, když růst náhrad byl vyšší než růst spotřeby. Spotřeba vzrostla z 17 585,04 mil. EUR na 18 5850,4 mil. EUR, což znamenalo </w:t>
      </w:r>
      <w:proofErr w:type="gramStart"/>
      <w:r w:rsidRPr="00B7218F">
        <w:rPr>
          <w:lang w:eastAsia="cs-CZ"/>
        </w:rPr>
        <w:t xml:space="preserve">růst </w:t>
      </w:r>
      <w:r>
        <w:rPr>
          <w:lang w:eastAsia="cs-CZ"/>
        </w:rPr>
        <w:t xml:space="preserve">         </w:t>
      </w:r>
      <w:r w:rsidRPr="00B7218F">
        <w:rPr>
          <w:lang w:eastAsia="cs-CZ"/>
        </w:rPr>
        <w:t>o 6,31%</w:t>
      </w:r>
      <w:proofErr w:type="gramEnd"/>
      <w:r w:rsidRPr="00B7218F">
        <w:rPr>
          <w:lang w:eastAsia="cs-CZ"/>
        </w:rPr>
        <w:t xml:space="preserve"> a náhrady vzrostly o 7,93 % </w:t>
      </w:r>
      <w:r>
        <w:rPr>
          <w:lang w:eastAsia="cs-CZ"/>
        </w:rPr>
        <w:t>na</w:t>
      </w:r>
      <w:r w:rsidRPr="00B7218F">
        <w:rPr>
          <w:lang w:eastAsia="cs-CZ"/>
        </w:rPr>
        <w:t xml:space="preserve"> 17 930,65 mil. EUR. </w:t>
      </w:r>
      <w:r>
        <w:rPr>
          <w:lang w:eastAsia="cs-CZ"/>
        </w:rPr>
        <w:t xml:space="preserve"> </w:t>
      </w:r>
      <w:r w:rsidRPr="00B7218F">
        <w:rPr>
          <w:lang w:eastAsia="cs-CZ"/>
        </w:rPr>
        <w:t xml:space="preserve">I při vyšším nárůstu náhrad byla celková hodnota spotřeby vyšší. V následujícím roce procentuální růst obou komponent byl téměř totožný. Spotřeba vzrostla o 3,94 % na hodnotu 19 432,21 </w:t>
      </w:r>
      <w:r>
        <w:rPr>
          <w:lang w:eastAsia="cs-CZ"/>
        </w:rPr>
        <w:t>mil. EUR</w:t>
      </w:r>
      <w:r w:rsidRPr="00B7218F">
        <w:rPr>
          <w:lang w:eastAsia="cs-CZ"/>
        </w:rPr>
        <w:t xml:space="preserve"> a náhrady byly 18 618,73 </w:t>
      </w:r>
      <w:r>
        <w:rPr>
          <w:lang w:eastAsia="cs-CZ"/>
        </w:rPr>
        <w:t>mil. EUR</w:t>
      </w:r>
      <w:r w:rsidRPr="00B7218F">
        <w:rPr>
          <w:lang w:eastAsia="cs-CZ"/>
        </w:rPr>
        <w:t xml:space="preserve"> a vzrostly o 3,84 % oproti předešlému roku.</w:t>
      </w:r>
      <w:r>
        <w:rPr>
          <w:rStyle w:val="Znakapoznpodarou"/>
          <w:lang w:eastAsia="cs-CZ"/>
        </w:rPr>
        <w:footnoteReference w:id="84"/>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O vývoji obou dvou komponent lze říci, že se vyjel</w:t>
      </w:r>
      <w:r>
        <w:rPr>
          <w:lang w:eastAsia="cs-CZ"/>
        </w:rPr>
        <w:t>y</w:t>
      </w:r>
      <w:r w:rsidRPr="00B7218F">
        <w:rPr>
          <w:lang w:eastAsia="cs-CZ"/>
        </w:rPr>
        <w:t xml:space="preserve"> v procentuálních změnách velice podobně a i to může nasvědčovat velmi silné korelaci mezi nimi, kterou následně lze potvrdit provedenou korelační analýzou.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Zhotovená analýza potvrdila, že předpoklad byl správný. Opravdu zde existuje </w:t>
      </w:r>
      <w:proofErr w:type="gramStart"/>
      <w:r w:rsidRPr="00B7218F">
        <w:rPr>
          <w:lang w:eastAsia="cs-CZ"/>
        </w:rPr>
        <w:t xml:space="preserve">silná </w:t>
      </w:r>
      <w:r>
        <w:rPr>
          <w:lang w:eastAsia="cs-CZ"/>
        </w:rPr>
        <w:t xml:space="preserve">          </w:t>
      </w:r>
      <w:r w:rsidRPr="00B7218F">
        <w:rPr>
          <w:lang w:eastAsia="cs-CZ"/>
        </w:rPr>
        <w:t>a kladná</w:t>
      </w:r>
      <w:proofErr w:type="gramEnd"/>
      <w:r w:rsidRPr="00B7218F">
        <w:rPr>
          <w:lang w:eastAsia="cs-CZ"/>
        </w:rPr>
        <w:t xml:space="preserve"> závislost mezi růstem spotřeby a vývojem náhrad. Jinak řečeno, rostou-li náhrady, roste tím spotřeba a díky rostoucí spotřebě roste hrubý domácí produkt.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Dalším faktorem, o kterém byl vznesen předpoklad, že by mohl ovlivňovat spotřební chování domácností, jsou transfery. Transfery jsou státem vyplácen</w:t>
      </w:r>
      <w:r>
        <w:rPr>
          <w:lang w:eastAsia="cs-CZ"/>
        </w:rPr>
        <w:t>é</w:t>
      </w:r>
      <w:r w:rsidRPr="00B7218F">
        <w:rPr>
          <w:lang w:eastAsia="cs-CZ"/>
        </w:rPr>
        <w:t xml:space="preserve"> dávky sociálního zajištění pro skupinu obyvatelstva sociálně slabších. Stejným postupem jako byly rozepsány mzdové náhrady, budou popsány i transfery. </w:t>
      </w: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A02874" w:rsidP="00BF1E38">
      <w:pPr>
        <w:rPr>
          <w:lang w:eastAsia="cs-CZ"/>
        </w:rPr>
      </w:pPr>
      <w:r>
        <w:rPr>
          <w:noProof/>
          <w:lang w:eastAsia="cs-CZ"/>
        </w:rPr>
        <w:lastRenderedPageBreak/>
        <w:pict>
          <v:shape id="Graf 2" o:spid="_x0000_i1032" type="#_x0000_t75" style="width:361.5pt;height:216.7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">
            <v:imagedata r:id="rId22" o:title=""/>
            <o:lock v:ext="edit" aspectratio="f"/>
          </v:shape>
        </w:pict>
      </w:r>
    </w:p>
    <w:p w:rsidR="00FD7B45" w:rsidRPr="00B7218F" w:rsidRDefault="00FD7B45" w:rsidP="00BF1E38">
      <w:pPr>
        <w:pStyle w:val="Podtitul"/>
        <w:rPr>
          <w:lang w:eastAsia="cs-CZ"/>
        </w:rPr>
      </w:pPr>
      <w:r w:rsidRPr="00B7218F">
        <w:t>Zdroj Vlastní konstrukce : Statistický Slovinský úřad[online],Nár</w:t>
      </w:r>
      <w:r>
        <w:t>o</w:t>
      </w:r>
      <w:r w:rsidRPr="00B7218F">
        <w:t xml:space="preserve">dní účty, ,[cit. </w:t>
      </w:r>
      <w:proofErr w:type="gramStart"/>
      <w:r w:rsidRPr="00B7218F">
        <w:t>2010-10</w:t>
      </w:r>
      <w:proofErr w:type="gramEnd"/>
      <w:r w:rsidRPr="00B7218F">
        <w:t xml:space="preserve">-30]. Dostupný z  </w:t>
      </w:r>
      <w:hyperlink r:id="rId23" w:history="1">
        <w:r w:rsidRPr="00B7218F">
          <w:rPr>
            <w:rStyle w:val="Hypertextovodkaz"/>
            <w:szCs w:val="20"/>
          </w:rPr>
          <w:t>http://www.stat.si/pxweb/Database/Ekonomsko/Ekonomsko.asp</w:t>
        </w:r>
      </w:hyperlink>
    </w:p>
    <w:p w:rsidR="00FD7B45" w:rsidRPr="00B7218F" w:rsidRDefault="00FD7B45" w:rsidP="00BF1E38">
      <w:pPr>
        <w:pStyle w:val="Nadpis4"/>
        <w:rPr>
          <w:lang w:eastAsia="cs-CZ"/>
        </w:rPr>
      </w:pPr>
      <w:bookmarkStart w:id="92" w:name="_Toc281759198"/>
      <w:bookmarkStart w:id="93" w:name="_Toc282027254"/>
      <w:proofErr w:type="gramStart"/>
      <w:r w:rsidRPr="00B7218F">
        <w:rPr>
          <w:lang w:eastAsia="cs-CZ"/>
        </w:rPr>
        <w:t>Obr.7:</w:t>
      </w:r>
      <w:proofErr w:type="gramEnd"/>
      <w:r w:rsidRPr="00B7218F">
        <w:rPr>
          <w:lang w:eastAsia="cs-CZ"/>
        </w:rPr>
        <w:t xml:space="preserve"> Vývoj reálné spotřeby a transferu v mil. EUR</w:t>
      </w:r>
      <w:bookmarkEnd w:id="92"/>
      <w:bookmarkEnd w:id="93"/>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Z výše uvedeného grafu je znatelně vidět vývoj spotřeby a transferu.  Transfery po celé sledované období měly rostoucí trend.  A lze také předpokládat, že vzájemná závislost obou proměnných bude silná a kladná.</w:t>
      </w:r>
    </w:p>
    <w:p w:rsidR="00FD7B45" w:rsidRPr="00B7218F" w:rsidRDefault="00FD7B45" w:rsidP="00BF1E38">
      <w:pPr>
        <w:pStyle w:val="Nadpis5"/>
      </w:pPr>
      <w:bookmarkStart w:id="94" w:name="_Toc281768950"/>
      <w:bookmarkStart w:id="95" w:name="_Toc282364924"/>
      <w:proofErr w:type="spellStart"/>
      <w:proofErr w:type="gramStart"/>
      <w:r w:rsidRPr="00B7218F">
        <w:t>Tab.5</w:t>
      </w:r>
      <w:proofErr w:type="spellEnd"/>
      <w:r w:rsidRPr="00B7218F">
        <w:t>:</w:t>
      </w:r>
      <w:proofErr w:type="gramEnd"/>
      <w:r w:rsidRPr="00B7218F">
        <w:t xml:space="preserve"> Korelace transferu</w:t>
      </w:r>
      <w:bookmarkEnd w:id="94"/>
      <w:bookmarkEnd w:id="95"/>
    </w:p>
    <w:tbl>
      <w:tblPr>
        <w:tblW w:w="8886" w:type="dxa"/>
        <w:tblInd w:w="60" w:type="dxa"/>
        <w:tblCellMar>
          <w:left w:w="70" w:type="dxa"/>
          <w:right w:w="70" w:type="dxa"/>
        </w:tblCellMar>
        <w:tblLook w:val="00A0"/>
      </w:tblPr>
      <w:tblGrid>
        <w:gridCol w:w="2501"/>
        <w:gridCol w:w="1277"/>
        <w:gridCol w:w="1277"/>
        <w:gridCol w:w="1277"/>
        <w:gridCol w:w="1277"/>
        <w:gridCol w:w="1277"/>
      </w:tblGrid>
      <w:tr w:rsidR="00FD7B45" w:rsidRPr="00501694" w:rsidTr="005C27A4">
        <w:trPr>
          <w:trHeight w:val="302"/>
        </w:trPr>
        <w:tc>
          <w:tcPr>
            <w:tcW w:w="2501" w:type="dxa"/>
            <w:tcBorders>
              <w:top w:val="single" w:sz="8" w:space="0" w:color="auto"/>
              <w:left w:val="single" w:sz="8" w:space="0" w:color="auto"/>
              <w:bottom w:val="single" w:sz="4" w:space="0" w:color="auto"/>
              <w:right w:val="single" w:sz="4" w:space="0" w:color="auto"/>
            </w:tcBorders>
            <w:shd w:val="clear" w:color="000000" w:fill="DBE5F1"/>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Rok</w:t>
            </w:r>
          </w:p>
        </w:tc>
        <w:tc>
          <w:tcPr>
            <w:tcW w:w="1277"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2005</w:t>
            </w:r>
          </w:p>
        </w:tc>
        <w:tc>
          <w:tcPr>
            <w:tcW w:w="1277"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2006</w:t>
            </w:r>
          </w:p>
        </w:tc>
        <w:tc>
          <w:tcPr>
            <w:tcW w:w="1277"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FF0000"/>
                <w:sz w:val="20"/>
                <w:szCs w:val="20"/>
                <w:lang w:eastAsia="cs-CZ"/>
              </w:rPr>
            </w:pPr>
            <w:r w:rsidRPr="00B7218F">
              <w:rPr>
                <w:rFonts w:ascii="Verdana" w:hAnsi="Verdana"/>
                <w:b/>
                <w:bCs/>
                <w:color w:val="FF0000"/>
                <w:sz w:val="20"/>
                <w:szCs w:val="20"/>
                <w:lang w:eastAsia="cs-CZ"/>
              </w:rPr>
              <w:t>2007</w:t>
            </w:r>
          </w:p>
        </w:tc>
        <w:tc>
          <w:tcPr>
            <w:tcW w:w="1277"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2008</w:t>
            </w:r>
          </w:p>
        </w:tc>
        <w:tc>
          <w:tcPr>
            <w:tcW w:w="1277" w:type="dxa"/>
            <w:tcBorders>
              <w:top w:val="single" w:sz="8" w:space="0" w:color="auto"/>
              <w:left w:val="nil"/>
              <w:bottom w:val="single" w:sz="4" w:space="0" w:color="auto"/>
              <w:right w:val="single" w:sz="8"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2009</w:t>
            </w:r>
          </w:p>
        </w:tc>
      </w:tr>
      <w:tr w:rsidR="00FD7B45" w:rsidRPr="00501694" w:rsidTr="005C27A4">
        <w:trPr>
          <w:trHeight w:val="302"/>
        </w:trPr>
        <w:tc>
          <w:tcPr>
            <w:tcW w:w="2501"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proofErr w:type="gramStart"/>
            <w:r w:rsidRPr="00B7218F">
              <w:rPr>
                <w:rFonts w:ascii="Calibri" w:hAnsi="Calibri"/>
                <w:color w:val="000000"/>
                <w:sz w:val="22"/>
                <w:lang w:eastAsia="cs-CZ"/>
              </w:rPr>
              <w:t>Reálná  C</w:t>
            </w:r>
            <w:proofErr w:type="gramEnd"/>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15 206,73</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16 001,56</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17 585,04</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18 695,18</w:t>
            </w:r>
          </w:p>
        </w:tc>
        <w:tc>
          <w:tcPr>
            <w:tcW w:w="1277"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19 432,21</w:t>
            </w:r>
          </w:p>
        </w:tc>
      </w:tr>
      <w:tr w:rsidR="00FD7B45" w:rsidRPr="00501694" w:rsidTr="005C27A4">
        <w:trPr>
          <w:trHeight w:val="302"/>
        </w:trPr>
        <w:tc>
          <w:tcPr>
            <w:tcW w:w="2501"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 xml:space="preserve"> </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5,23</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9,90</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6,31</w:t>
            </w:r>
          </w:p>
        </w:tc>
        <w:tc>
          <w:tcPr>
            <w:tcW w:w="1277"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3,94</w:t>
            </w:r>
          </w:p>
        </w:tc>
      </w:tr>
      <w:tr w:rsidR="00FD7B45" w:rsidRPr="00501694" w:rsidTr="005C27A4">
        <w:trPr>
          <w:trHeight w:val="302"/>
        </w:trPr>
        <w:tc>
          <w:tcPr>
            <w:tcW w:w="2501"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 xml:space="preserve">reálné </w:t>
            </w:r>
            <w:proofErr w:type="spellStart"/>
            <w:r w:rsidRPr="00B7218F">
              <w:rPr>
                <w:rFonts w:ascii="Calibri" w:hAnsi="Calibri"/>
                <w:color w:val="000000"/>
                <w:sz w:val="22"/>
                <w:lang w:eastAsia="cs-CZ"/>
              </w:rPr>
              <w:t>TR</w:t>
            </w:r>
            <w:proofErr w:type="spellEnd"/>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3 224,00</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3 395,02</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3 514,48</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3 889,88</w:t>
            </w:r>
          </w:p>
        </w:tc>
        <w:tc>
          <w:tcPr>
            <w:tcW w:w="1277"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4 360,16</w:t>
            </w:r>
          </w:p>
        </w:tc>
      </w:tr>
      <w:tr w:rsidR="00FD7B45" w:rsidRPr="00501694" w:rsidTr="005C27A4">
        <w:trPr>
          <w:trHeight w:val="302"/>
        </w:trPr>
        <w:tc>
          <w:tcPr>
            <w:tcW w:w="2501"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 xml:space="preserve"> </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5,30</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3,52</w:t>
            </w:r>
          </w:p>
        </w:tc>
        <w:tc>
          <w:tcPr>
            <w:tcW w:w="1277"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10,68</w:t>
            </w:r>
          </w:p>
        </w:tc>
        <w:tc>
          <w:tcPr>
            <w:tcW w:w="1277"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12,09</w:t>
            </w:r>
          </w:p>
        </w:tc>
      </w:tr>
      <w:tr w:rsidR="00FD7B45" w:rsidRPr="00501694" w:rsidTr="005C27A4">
        <w:trPr>
          <w:trHeight w:val="317"/>
        </w:trPr>
        <w:tc>
          <w:tcPr>
            <w:tcW w:w="2501" w:type="dxa"/>
            <w:tcBorders>
              <w:top w:val="nil"/>
              <w:left w:val="single" w:sz="8" w:space="0" w:color="auto"/>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Korelace</w:t>
            </w:r>
          </w:p>
        </w:tc>
        <w:tc>
          <w:tcPr>
            <w:tcW w:w="6385" w:type="dxa"/>
            <w:gridSpan w:val="5"/>
            <w:tcBorders>
              <w:top w:val="single" w:sz="4" w:space="0" w:color="auto"/>
              <w:left w:val="nil"/>
              <w:bottom w:val="single" w:sz="8" w:space="0" w:color="auto"/>
              <w:right w:val="single" w:sz="8" w:space="0" w:color="000000"/>
            </w:tcBorders>
            <w:noWrap/>
            <w:vAlign w:val="bottom"/>
          </w:tcPr>
          <w:p w:rsidR="00FD7B45" w:rsidRPr="00B7218F" w:rsidRDefault="00FD7B45" w:rsidP="005C27A4">
            <w:pPr>
              <w:spacing w:line="240" w:lineRule="auto"/>
              <w:jc w:val="center"/>
              <w:rPr>
                <w:rFonts w:ascii="Calibri" w:hAnsi="Calibri"/>
                <w:b/>
                <w:bCs/>
                <w:color w:val="000000"/>
                <w:lang w:eastAsia="cs-CZ"/>
              </w:rPr>
            </w:pPr>
            <w:r w:rsidRPr="00B7218F">
              <w:rPr>
                <w:rFonts w:ascii="Calibri" w:hAnsi="Calibri"/>
                <w:b/>
                <w:bCs/>
                <w:color w:val="000000"/>
                <w:sz w:val="22"/>
                <w:lang w:eastAsia="cs-CZ"/>
              </w:rPr>
              <w:t>0,9381 = 93,81%</w:t>
            </w:r>
          </w:p>
        </w:tc>
      </w:tr>
    </w:tbl>
    <w:p w:rsidR="00FD7B45" w:rsidRPr="00B7218F" w:rsidRDefault="00FD7B45" w:rsidP="00BF1E38">
      <w:pPr>
        <w:pStyle w:val="Podtitul"/>
        <w:rPr>
          <w:lang w:eastAsia="cs-CZ"/>
        </w:rPr>
      </w:pPr>
      <w:r w:rsidRPr="00B7218F">
        <w:rPr>
          <w:lang w:eastAsia="cs-CZ"/>
        </w:rPr>
        <w:t xml:space="preserve"> </w:t>
      </w:r>
      <w:r w:rsidRPr="00B7218F">
        <w:t>Zdroj Vlastní konstrukce : Statist</w:t>
      </w:r>
      <w:r>
        <w:t>ický Slovinský úřad[online],Náro</w:t>
      </w:r>
      <w:r w:rsidRPr="00B7218F">
        <w:t xml:space="preserve">dní účty, ,[cit. </w:t>
      </w:r>
      <w:proofErr w:type="gramStart"/>
      <w:r w:rsidRPr="00B7218F">
        <w:t>2010-10</w:t>
      </w:r>
      <w:proofErr w:type="gramEnd"/>
      <w:r w:rsidRPr="00B7218F">
        <w:t xml:space="preserve">-30]. Dostupný z  </w:t>
      </w:r>
      <w:hyperlink r:id="rId24" w:history="1">
        <w:r w:rsidRPr="00B7218F">
          <w:rPr>
            <w:rStyle w:val="Hypertextovodkaz"/>
            <w:szCs w:val="20"/>
          </w:rPr>
          <w:t>http://www.stat.si/pxweb/Database/Ekonomsko/Ekonomsko.asp</w:t>
        </w:r>
      </w:hyperlink>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Meziroční růst v roce 2006 měly obě dvě komponenty velice podobný. Spotřeba </w:t>
      </w:r>
      <w:proofErr w:type="gramStart"/>
      <w:r w:rsidRPr="00B7218F">
        <w:rPr>
          <w:lang w:eastAsia="cs-CZ"/>
        </w:rPr>
        <w:t>vzrostla</w:t>
      </w:r>
      <w:r>
        <w:rPr>
          <w:lang w:eastAsia="cs-CZ"/>
        </w:rPr>
        <w:t xml:space="preserve">   </w:t>
      </w:r>
      <w:r w:rsidRPr="00B7218F">
        <w:rPr>
          <w:lang w:eastAsia="cs-CZ"/>
        </w:rPr>
        <w:t xml:space="preserve"> o 5,23</w:t>
      </w:r>
      <w:proofErr w:type="gramEnd"/>
      <w:r w:rsidRPr="00B7218F">
        <w:rPr>
          <w:lang w:eastAsia="cs-CZ"/>
        </w:rPr>
        <w:t xml:space="preserve"> % a její hodnota činila 16 001,56 </w:t>
      </w:r>
      <w:r>
        <w:rPr>
          <w:lang w:eastAsia="cs-CZ"/>
        </w:rPr>
        <w:t>mil. EUR</w:t>
      </w:r>
      <w:r w:rsidRPr="00B7218F">
        <w:rPr>
          <w:lang w:eastAsia="cs-CZ"/>
        </w:rPr>
        <w:t xml:space="preserve"> a meziroční růst transferu byl ve  srovnání s předešlým rokem 5,30 % a </w:t>
      </w:r>
      <w:r>
        <w:rPr>
          <w:lang w:eastAsia="cs-CZ"/>
        </w:rPr>
        <w:t xml:space="preserve">jeho </w:t>
      </w:r>
      <w:r w:rsidRPr="00B7218F">
        <w:rPr>
          <w:lang w:eastAsia="cs-CZ"/>
        </w:rPr>
        <w:t xml:space="preserve">celková hodnota </w:t>
      </w:r>
      <w:r>
        <w:rPr>
          <w:lang w:eastAsia="cs-CZ"/>
        </w:rPr>
        <w:t>činila</w:t>
      </w:r>
      <w:r w:rsidRPr="00B7218F">
        <w:rPr>
          <w:lang w:eastAsia="cs-CZ"/>
        </w:rPr>
        <w:t xml:space="preserve"> 3 395,02 mil. EUR</w:t>
      </w:r>
      <w:r>
        <w:rPr>
          <w:rStyle w:val="Znakapoznpodarou"/>
          <w:lang w:eastAsia="cs-CZ"/>
        </w:rPr>
        <w:footnoteReference w:id="85"/>
      </w:r>
      <w:r w:rsidRPr="00B7218F">
        <w:rPr>
          <w:lang w:eastAsia="cs-CZ"/>
        </w:rPr>
        <w:t>.</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lastRenderedPageBreak/>
        <w:t xml:space="preserve">Po zavedení společné měny </w:t>
      </w:r>
      <w:r>
        <w:rPr>
          <w:lang w:eastAsia="cs-CZ"/>
        </w:rPr>
        <w:t xml:space="preserve">došlo </w:t>
      </w:r>
      <w:r w:rsidRPr="00B7218F">
        <w:rPr>
          <w:lang w:eastAsia="cs-CZ"/>
        </w:rPr>
        <w:t xml:space="preserve">u transferu k menšímu nárůstu než v předešlém roce. Zato u spotřeby to bylo naopak, v roce 2007 zaznamenala nejvyšší nárůst ve sledovaném období a to o + 9,90 % </w:t>
      </w:r>
      <w:r>
        <w:rPr>
          <w:lang w:eastAsia="cs-CZ"/>
        </w:rPr>
        <w:t>na</w:t>
      </w:r>
      <w:r w:rsidRPr="00B7218F">
        <w:rPr>
          <w:lang w:eastAsia="cs-CZ"/>
        </w:rPr>
        <w:t xml:space="preserve"> 17 585,04 </w:t>
      </w:r>
      <w:r>
        <w:rPr>
          <w:lang w:eastAsia="cs-CZ"/>
        </w:rPr>
        <w:t>mil. EUR</w:t>
      </w:r>
      <w:r>
        <w:rPr>
          <w:rStyle w:val="Znakapoznpodarou"/>
          <w:lang w:eastAsia="cs-CZ"/>
        </w:rPr>
        <w:footnoteReference w:id="86"/>
      </w:r>
      <w:r w:rsidRPr="00B7218F">
        <w:rPr>
          <w:lang w:eastAsia="cs-CZ"/>
        </w:rPr>
        <w:t xml:space="preserve">.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Z daného vývoje je zřeteln</w:t>
      </w:r>
      <w:r>
        <w:rPr>
          <w:lang w:eastAsia="cs-CZ"/>
        </w:rPr>
        <w:t>ě</w:t>
      </w:r>
      <w:r w:rsidRPr="00B7218F">
        <w:rPr>
          <w:lang w:eastAsia="cs-CZ"/>
        </w:rPr>
        <w:t xml:space="preserve"> viditelné, že spotřeba rostla rychleji ne</w:t>
      </w:r>
      <w:r>
        <w:rPr>
          <w:lang w:eastAsia="cs-CZ"/>
        </w:rPr>
        <w:t>ž</w:t>
      </w:r>
      <w:r w:rsidRPr="00B7218F">
        <w:rPr>
          <w:lang w:eastAsia="cs-CZ"/>
        </w:rPr>
        <w:t xml:space="preserve"> transfery. Vyplývá zde otázka proč</w:t>
      </w:r>
      <w:r>
        <w:rPr>
          <w:lang w:eastAsia="cs-CZ"/>
        </w:rPr>
        <w:t>.</w:t>
      </w:r>
      <w:r w:rsidRPr="00B7218F">
        <w:rPr>
          <w:lang w:eastAsia="cs-CZ"/>
        </w:rPr>
        <w:t xml:space="preserve"> Důvodem dané</w:t>
      </w:r>
      <w:r>
        <w:rPr>
          <w:lang w:eastAsia="cs-CZ"/>
        </w:rPr>
        <w:t>ho</w:t>
      </w:r>
      <w:r w:rsidRPr="00B7218F">
        <w:rPr>
          <w:lang w:eastAsia="cs-CZ"/>
        </w:rPr>
        <w:t xml:space="preserve"> stavu je ochota lidí se zadlužit a zvyšovat tím svojí spotřebu a zároveň spotřebovávat utržené transfery. Dan</w:t>
      </w:r>
      <w:r>
        <w:rPr>
          <w:lang w:eastAsia="cs-CZ"/>
        </w:rPr>
        <w:t>á</w:t>
      </w:r>
      <w:r w:rsidRPr="00B7218F">
        <w:rPr>
          <w:lang w:eastAsia="cs-CZ"/>
        </w:rPr>
        <w:t xml:space="preserve"> situace může být způsobená tím, že se veřejnost nebojí více spotřebovávat, cítí se bezpečn</w:t>
      </w:r>
      <w:r>
        <w:rPr>
          <w:lang w:eastAsia="cs-CZ"/>
        </w:rPr>
        <w:t>ě</w:t>
      </w:r>
      <w:r w:rsidRPr="00B7218F">
        <w:rPr>
          <w:lang w:eastAsia="cs-CZ"/>
        </w:rPr>
        <w:t xml:space="preserve"> a necítí žádné nebezpečí neschopnosti splácet.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V následujících dvou letech došlo k výraznému nárůstu transferu. V roce 2008 byl 10,68 % nárůst</w:t>
      </w:r>
      <w:r>
        <w:rPr>
          <w:lang w:eastAsia="cs-CZ"/>
        </w:rPr>
        <w:t xml:space="preserve"> (</w:t>
      </w:r>
      <w:r w:rsidRPr="00B7218F">
        <w:rPr>
          <w:lang w:eastAsia="cs-CZ"/>
        </w:rPr>
        <w:t xml:space="preserve">3 889,88 </w:t>
      </w:r>
      <w:r>
        <w:rPr>
          <w:lang w:eastAsia="cs-CZ"/>
        </w:rPr>
        <w:t>mil. EUR)</w:t>
      </w:r>
      <w:r w:rsidRPr="00B7218F">
        <w:rPr>
          <w:lang w:eastAsia="cs-CZ"/>
        </w:rPr>
        <w:t xml:space="preserve"> a v roce 2009 vzrostly meziroční transfery o 12,09 % </w:t>
      </w:r>
      <w:r>
        <w:rPr>
          <w:lang w:eastAsia="cs-CZ"/>
        </w:rPr>
        <w:t>na</w:t>
      </w:r>
      <w:r w:rsidRPr="00B7218F">
        <w:rPr>
          <w:lang w:eastAsia="cs-CZ"/>
        </w:rPr>
        <w:t xml:space="preserve"> 4 360,16 </w:t>
      </w:r>
      <w:r>
        <w:rPr>
          <w:lang w:eastAsia="cs-CZ"/>
        </w:rPr>
        <w:t>mil. EUR</w:t>
      </w:r>
      <w:r>
        <w:rPr>
          <w:rStyle w:val="Znakapoznpodarou"/>
          <w:lang w:eastAsia="cs-CZ"/>
        </w:rPr>
        <w:footnoteReference w:id="87"/>
      </w:r>
      <w:r w:rsidRPr="00B7218F">
        <w:rPr>
          <w:lang w:eastAsia="cs-CZ"/>
        </w:rPr>
        <w:t xml:space="preserve">.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Pokud to srovnáme se spotřebou v těchto dvou letech, tak oproti roku 2007 zaznamenal</w:t>
      </w:r>
      <w:r>
        <w:rPr>
          <w:lang w:eastAsia="cs-CZ"/>
        </w:rPr>
        <w:t>a</w:t>
      </w:r>
      <w:r w:rsidRPr="00B7218F">
        <w:rPr>
          <w:lang w:eastAsia="cs-CZ"/>
        </w:rPr>
        <w:t xml:space="preserve"> meziroční poklesy růstu. V roce 2008 byl meziroční růst 6,31 %, což bylo v penězích vyjádřeno 18 695,18 </w:t>
      </w:r>
      <w:r>
        <w:rPr>
          <w:lang w:eastAsia="cs-CZ"/>
        </w:rPr>
        <w:t>mil. EUR</w:t>
      </w:r>
      <w:r w:rsidRPr="00B7218F">
        <w:rPr>
          <w:lang w:eastAsia="cs-CZ"/>
        </w:rPr>
        <w:t>.  V následujícím roce 2009 spotřeba rostla ještě pomalejším tempem než v roce 2008. Růst spotřeby byl pouhých 3,94 %</w:t>
      </w:r>
      <w:r>
        <w:rPr>
          <w:lang w:eastAsia="cs-CZ"/>
        </w:rPr>
        <w:t xml:space="preserve"> a celková částka spotřeby činila</w:t>
      </w:r>
      <w:r w:rsidRPr="00B7218F">
        <w:rPr>
          <w:lang w:eastAsia="cs-CZ"/>
        </w:rPr>
        <w:t xml:space="preserve"> 19 432,21 </w:t>
      </w:r>
      <w:r>
        <w:rPr>
          <w:lang w:eastAsia="cs-CZ"/>
        </w:rPr>
        <w:t>mil. EUR</w:t>
      </w:r>
      <w:r w:rsidRPr="00B7218F">
        <w:rPr>
          <w:lang w:eastAsia="cs-CZ"/>
        </w:rPr>
        <w:t>.</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V letech 2008 a 2009 transfery rostly a spotřeba klesala. Z této situace lze vyvodit předpoklad, že </w:t>
      </w:r>
      <w:r>
        <w:rPr>
          <w:lang w:eastAsia="cs-CZ"/>
        </w:rPr>
        <w:t xml:space="preserve">se </w:t>
      </w:r>
      <w:r w:rsidRPr="00B7218F">
        <w:rPr>
          <w:lang w:eastAsia="cs-CZ"/>
        </w:rPr>
        <w:t xml:space="preserve">veřejnost bála zadlužování, jelikož se ekonomická situace v zemi zhoršila. Proto utržené transfery byly ve větší výši, jelikož vláda vynaložila větší obnos vládních výdajů </w:t>
      </w:r>
      <w:r>
        <w:rPr>
          <w:lang w:eastAsia="cs-CZ"/>
        </w:rPr>
        <w:t xml:space="preserve">kvůli </w:t>
      </w:r>
      <w:r w:rsidRPr="00B7218F">
        <w:rPr>
          <w:lang w:eastAsia="cs-CZ"/>
        </w:rPr>
        <w:t xml:space="preserve">odchodu kapitálů ze slovinské ekonomiky. Za odchodem </w:t>
      </w:r>
      <w:proofErr w:type="gramStart"/>
      <w:r w:rsidRPr="00B7218F">
        <w:rPr>
          <w:lang w:eastAsia="cs-CZ"/>
        </w:rPr>
        <w:t>kapitálů</w:t>
      </w:r>
      <w:r>
        <w:rPr>
          <w:lang w:eastAsia="cs-CZ"/>
        </w:rPr>
        <w:t xml:space="preserve">    </w:t>
      </w:r>
      <w:r w:rsidRPr="00B7218F">
        <w:rPr>
          <w:lang w:eastAsia="cs-CZ"/>
        </w:rPr>
        <w:t xml:space="preserve"> a poklesu</w:t>
      </w:r>
      <w:proofErr w:type="gramEnd"/>
      <w:r w:rsidRPr="00B7218F">
        <w:rPr>
          <w:lang w:eastAsia="cs-CZ"/>
        </w:rPr>
        <w:t xml:space="preserve"> investic mohla začínající hospodářská krize.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Co se týká potvrzení či vyvrácení závislosti růstu spotřeby na růstu transferu, tak korelační analýza prokázala, že i spotřeba je na tomto faktoru (transfery) siln</w:t>
      </w:r>
      <w:r>
        <w:rPr>
          <w:lang w:eastAsia="cs-CZ"/>
        </w:rPr>
        <w:t>ě</w:t>
      </w:r>
      <w:r w:rsidRPr="00B7218F">
        <w:rPr>
          <w:lang w:eastAsia="cs-CZ"/>
        </w:rPr>
        <w:t xml:space="preserve"> kladně závislá.</w:t>
      </w:r>
      <w:r>
        <w:rPr>
          <w:lang w:eastAsia="cs-CZ"/>
        </w:rPr>
        <w:t xml:space="preserve"> </w:t>
      </w:r>
      <w:r w:rsidRPr="00B7218F">
        <w:rPr>
          <w:lang w:eastAsia="cs-CZ"/>
        </w:rPr>
        <w:t xml:space="preserve">Její závislost v procentech činí 93,81 %.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lastRenderedPageBreak/>
        <w:t xml:space="preserve">V této kapitole byly prozkoumány závislosti celkové spotřeby na náhradách a transferech. Pro lepší pohled </w:t>
      </w:r>
      <w:r>
        <w:rPr>
          <w:lang w:eastAsia="cs-CZ"/>
        </w:rPr>
        <w:t xml:space="preserve">se </w:t>
      </w:r>
      <w:r w:rsidRPr="00B7218F">
        <w:rPr>
          <w:lang w:eastAsia="cs-CZ"/>
        </w:rPr>
        <w:t>analýza zaměří na jednotlivé části spotřeby a jejich závislosti na různých faktorech, které mohou ovlivnit jejich vývoj.</w:t>
      </w: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pStyle w:val="Nadpis2"/>
        <w:spacing w:before="0"/>
        <w:rPr>
          <w:lang w:eastAsia="cs-CZ"/>
        </w:rPr>
      </w:pPr>
      <w:bookmarkStart w:id="96" w:name="_Toc281759183"/>
      <w:bookmarkStart w:id="97" w:name="_Toc282027384"/>
      <w:r w:rsidRPr="00B7218F">
        <w:rPr>
          <w:lang w:eastAsia="cs-CZ"/>
        </w:rPr>
        <w:t>3.5 Vývoj jednotlivých částí spotřeby ve sledovaném období</w:t>
      </w:r>
      <w:bookmarkEnd w:id="96"/>
      <w:bookmarkEnd w:id="97"/>
    </w:p>
    <w:p w:rsidR="00FD7B45" w:rsidRPr="00B7218F" w:rsidRDefault="00FD7B45" w:rsidP="00BF1E38">
      <w:pPr>
        <w:rPr>
          <w:lang w:eastAsia="cs-CZ"/>
        </w:rPr>
      </w:pPr>
    </w:p>
    <w:p w:rsidR="00FD7B45" w:rsidRPr="00B7218F" w:rsidRDefault="00FD7B45" w:rsidP="00BF1E38">
      <w:pPr>
        <w:rPr>
          <w:lang w:eastAsia="cs-CZ"/>
        </w:rPr>
      </w:pPr>
    </w:p>
    <w:p w:rsidR="00FD7B45" w:rsidRDefault="00FD7B45" w:rsidP="00BF1E38">
      <w:pPr>
        <w:rPr>
          <w:lang w:eastAsia="cs-CZ"/>
        </w:rPr>
      </w:pPr>
      <w:r>
        <w:rPr>
          <w:lang w:eastAsia="cs-CZ"/>
        </w:rPr>
        <w:t xml:space="preserve">Celkovou spotřebu lze lépe analyzovat po rozdělení na jednotlivé její komponenty, které jdou ještě hlouběji členit. V této práci je spotřeba rozdělena na dvanáct základních skupin, jejichž vývoj za sledované období 2005 – 2009 bude blíže analyzován a popsán. Mezi základních dvanáct částí patří: potraviny, alkoholické nápoje, bydlení, doprava, komunikace, zdraví, vzdělání, odívání, bytové zařízení, rekreace a kultura, </w:t>
      </w:r>
      <w:proofErr w:type="gramStart"/>
      <w:r>
        <w:rPr>
          <w:lang w:eastAsia="cs-CZ"/>
        </w:rPr>
        <w:t>restaurace          a hotely</w:t>
      </w:r>
      <w:proofErr w:type="gramEnd"/>
      <w:r>
        <w:rPr>
          <w:lang w:eastAsia="cs-CZ"/>
        </w:rPr>
        <w:t xml:space="preserve"> a jiné služby. </w:t>
      </w:r>
    </w:p>
    <w:p w:rsidR="00FD7B45" w:rsidRDefault="00FD7B45" w:rsidP="00BF1E38">
      <w:pPr>
        <w:rPr>
          <w:lang w:eastAsia="cs-CZ"/>
        </w:rPr>
      </w:pPr>
    </w:p>
    <w:p w:rsidR="00FD7B45" w:rsidRDefault="00FD7B45" w:rsidP="00BF1E38">
      <w:pPr>
        <w:rPr>
          <w:lang w:eastAsia="cs-CZ"/>
        </w:rPr>
      </w:pPr>
      <w:r>
        <w:rPr>
          <w:lang w:eastAsia="cs-CZ"/>
        </w:rPr>
        <w:t xml:space="preserve">V další části této diplomové práce se budou analyzovat předem zmíněné komponenty celkové reálné spotřeby z časového hlediska. Pro přehlednost budou zkoumány jen neobvykle výkyvy jak v kladném tak i záporném směru v odchylce ± 45% od meziroční procentuální změny. Po zpracování všeobecného prozkoumání boudou hlouběji analyzovány první dvě až tři složky, které zaznamenaly největší výkyvy ve sledovaném období. </w:t>
      </w: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pStyle w:val="Nadpis3"/>
        <w:spacing w:before="0"/>
        <w:rPr>
          <w:lang w:eastAsia="cs-CZ"/>
        </w:rPr>
      </w:pPr>
      <w:bookmarkStart w:id="98" w:name="_Toc281759184"/>
      <w:bookmarkStart w:id="99" w:name="_Toc282027385"/>
      <w:r w:rsidRPr="00B7218F">
        <w:rPr>
          <w:lang w:eastAsia="cs-CZ"/>
        </w:rPr>
        <w:t>3.5.1 Analýza vývoje za sledované období</w:t>
      </w:r>
      <w:bookmarkEnd w:id="98"/>
      <w:bookmarkEnd w:id="99"/>
    </w:p>
    <w:p w:rsidR="00FD7B45" w:rsidRPr="00B7218F" w:rsidRDefault="00FD7B45" w:rsidP="00BF1E38">
      <w:pPr>
        <w:rPr>
          <w:lang w:eastAsia="cs-CZ"/>
        </w:rPr>
      </w:pPr>
    </w:p>
    <w:p w:rsidR="00FD7B45" w:rsidRDefault="00FD7B45" w:rsidP="00BF1E38">
      <w:pPr>
        <w:rPr>
          <w:lang w:eastAsia="cs-CZ"/>
        </w:rPr>
      </w:pPr>
      <w:r w:rsidRPr="00B7218F">
        <w:rPr>
          <w:lang w:eastAsia="cs-CZ"/>
        </w:rPr>
        <w:t>Vývoj jednotlivých složek celkové spotřeby bude analyzován a prezentován na základě meziročních procentuálních změn ze čtyř sledovaných období. Dále budou výsledky zobrazeny a prezentovány v peněžním vyjádření. Na začátk</w:t>
      </w:r>
      <w:r>
        <w:rPr>
          <w:lang w:eastAsia="cs-CZ"/>
        </w:rPr>
        <w:t>u</w:t>
      </w:r>
      <w:r w:rsidRPr="00B7218F">
        <w:rPr>
          <w:lang w:eastAsia="cs-CZ"/>
        </w:rPr>
        <w:t xml:space="preserve"> každého období bude uvedena celková změna celkové reálné spotřeby. Pro </w:t>
      </w:r>
      <w:r>
        <w:rPr>
          <w:lang w:eastAsia="cs-CZ"/>
        </w:rPr>
        <w:t xml:space="preserve">přehlednost je vývoj jednotlivých částí spotřeby uveden v tabulce č. 7. </w:t>
      </w:r>
      <w:r w:rsidRPr="00B7218F" w:rsidDel="00C67AAD">
        <w:rPr>
          <w:lang w:eastAsia="cs-CZ"/>
        </w:rPr>
        <w:t xml:space="preserve"> </w:t>
      </w:r>
    </w:p>
    <w:p w:rsidR="00FD7B45" w:rsidRDefault="00FD7B45" w:rsidP="00BF1E38">
      <w:pPr>
        <w:rPr>
          <w:lang w:eastAsia="cs-CZ"/>
        </w:rPr>
      </w:pPr>
    </w:p>
    <w:p w:rsidR="00FD7B45" w:rsidRPr="00B7218F" w:rsidRDefault="00FD7B45" w:rsidP="00BF1E38">
      <w:pPr>
        <w:rPr>
          <w:lang w:eastAsia="cs-CZ"/>
        </w:rPr>
      </w:pPr>
    </w:p>
    <w:p w:rsidR="00FD7B45" w:rsidRDefault="00FD7B45" w:rsidP="00BF1E38">
      <w:bookmarkStart w:id="100" w:name="_Toc281768951"/>
      <w:proofErr w:type="spellStart"/>
      <w:proofErr w:type="gramStart"/>
      <w:r w:rsidRPr="00B7218F">
        <w:lastRenderedPageBreak/>
        <w:t>Tab.7</w:t>
      </w:r>
      <w:proofErr w:type="spellEnd"/>
      <w:r w:rsidRPr="00B7218F">
        <w:t>:</w:t>
      </w:r>
      <w:proofErr w:type="gramEnd"/>
      <w:r w:rsidRPr="00B7218F">
        <w:t xml:space="preserve"> Podrobný přehled složek spotřeby</w:t>
      </w:r>
      <w:bookmarkEnd w:id="100"/>
    </w:p>
    <w:tbl>
      <w:tblPr>
        <w:tblW w:w="8020" w:type="dxa"/>
        <w:tblInd w:w="60" w:type="dxa"/>
        <w:tblCellMar>
          <w:left w:w="70" w:type="dxa"/>
          <w:right w:w="70" w:type="dxa"/>
        </w:tblCellMar>
        <w:tblLook w:val="00A0"/>
      </w:tblPr>
      <w:tblGrid>
        <w:gridCol w:w="2420"/>
        <w:gridCol w:w="1120"/>
        <w:gridCol w:w="1120"/>
        <w:gridCol w:w="1120"/>
        <w:gridCol w:w="1120"/>
        <w:gridCol w:w="1120"/>
      </w:tblGrid>
      <w:tr w:rsidR="00FD7B45" w:rsidRPr="00501694" w:rsidTr="005C27A4">
        <w:trPr>
          <w:trHeight w:val="315"/>
        </w:trPr>
        <w:tc>
          <w:tcPr>
            <w:tcW w:w="2420" w:type="dxa"/>
            <w:tcBorders>
              <w:top w:val="single" w:sz="8" w:space="0" w:color="auto"/>
              <w:left w:val="single" w:sz="8" w:space="0" w:color="auto"/>
              <w:bottom w:val="nil"/>
              <w:right w:val="single" w:sz="4" w:space="0" w:color="auto"/>
            </w:tcBorders>
            <w:shd w:val="clear" w:color="000000" w:fill="DBE5F1"/>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Rok</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2005</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2006</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FF0000"/>
                <w:sz w:val="20"/>
                <w:szCs w:val="20"/>
                <w:lang w:eastAsia="cs-CZ"/>
              </w:rPr>
            </w:pPr>
            <w:r w:rsidRPr="00B7218F">
              <w:rPr>
                <w:rFonts w:ascii="Verdana" w:hAnsi="Verdana"/>
                <w:b/>
                <w:bCs/>
                <w:color w:val="FF0000"/>
                <w:sz w:val="20"/>
                <w:szCs w:val="20"/>
                <w:lang w:eastAsia="cs-CZ"/>
              </w:rPr>
              <w:t>2007</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2008</w:t>
            </w:r>
          </w:p>
        </w:tc>
        <w:tc>
          <w:tcPr>
            <w:tcW w:w="1120" w:type="dxa"/>
            <w:tcBorders>
              <w:top w:val="single" w:sz="8" w:space="0" w:color="auto"/>
              <w:left w:val="nil"/>
              <w:bottom w:val="nil"/>
              <w:right w:val="single" w:sz="8"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2009</w:t>
            </w:r>
          </w:p>
        </w:tc>
      </w:tr>
      <w:tr w:rsidR="00FD7B45" w:rsidRPr="00501694" w:rsidTr="005C27A4">
        <w:trPr>
          <w:trHeight w:val="600"/>
        </w:trPr>
        <w:tc>
          <w:tcPr>
            <w:tcW w:w="2420" w:type="dxa"/>
            <w:tcBorders>
              <w:top w:val="single" w:sz="8" w:space="0" w:color="auto"/>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Potraviny a nealkoholické nápoje</w:t>
            </w:r>
          </w:p>
        </w:tc>
        <w:tc>
          <w:tcPr>
            <w:tcW w:w="1120" w:type="dxa"/>
            <w:tcBorders>
              <w:top w:val="single" w:sz="8"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2366,15</w:t>
            </w:r>
          </w:p>
        </w:tc>
        <w:tc>
          <w:tcPr>
            <w:tcW w:w="1120" w:type="dxa"/>
            <w:tcBorders>
              <w:top w:val="single" w:sz="8"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2439,71</w:t>
            </w:r>
          </w:p>
        </w:tc>
        <w:tc>
          <w:tcPr>
            <w:tcW w:w="1120" w:type="dxa"/>
            <w:tcBorders>
              <w:top w:val="single" w:sz="8"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2658,01</w:t>
            </w:r>
          </w:p>
        </w:tc>
        <w:tc>
          <w:tcPr>
            <w:tcW w:w="1120" w:type="dxa"/>
            <w:tcBorders>
              <w:top w:val="single" w:sz="8"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2874,55</w:t>
            </w:r>
          </w:p>
        </w:tc>
        <w:tc>
          <w:tcPr>
            <w:tcW w:w="1120" w:type="dxa"/>
            <w:tcBorders>
              <w:top w:val="single" w:sz="8" w:space="0" w:color="auto"/>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3058,87</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3,11%</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8,95%</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8,15%</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6,41%</w:t>
            </w:r>
          </w:p>
        </w:tc>
      </w:tr>
      <w:tr w:rsidR="00FD7B45" w:rsidRPr="00501694" w:rsidTr="005C27A4">
        <w:trPr>
          <w:trHeight w:val="6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Alkoholické nápoje, tabák a narkotika</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787,02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842,63</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899,23</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950,14</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1085,03</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7,07%</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6,72%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5,66%</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14,20%</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Odívání a obuvi</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905,56</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904,39</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1008,40</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1133,49</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1180,97</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-0,13%</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11,50%</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12,41%</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4,19%</w:t>
            </w:r>
          </w:p>
        </w:tc>
      </w:tr>
      <w:tr w:rsidR="00FD7B45" w:rsidRPr="00501694" w:rsidTr="005C27A4">
        <w:trPr>
          <w:trHeight w:val="6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Bydlení, voda, elektřina, plyn a jiná paliva</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3023,22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3175,41</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3322,20</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3635,10</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3888,70</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5,03%</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4,62%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9,42%</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6,98%</w:t>
            </w:r>
          </w:p>
        </w:tc>
      </w:tr>
      <w:tr w:rsidR="00FD7B45" w:rsidRPr="00501694" w:rsidTr="005C27A4">
        <w:trPr>
          <w:trHeight w:val="6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Bytové vybavení, zařízení a údržby</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944,49</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977,85</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1109,56</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1157,71</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1170,07</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3,53%</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13,47%</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4,34%</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1,07%</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Zdraví</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552,00</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573,27</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638,90</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681,84</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792,86</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3,85%</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11,45%</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6,72%</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16,28%</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Doprava</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2481,66</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2674,15</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2972,59</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3194,04</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2960,65</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7,76%</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11,16%</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7,45%</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-7,31%</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Komunikace</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556,78</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603,12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576,35</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609,08</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644,30</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8,32%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-4,44%</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5,68%</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5,78%</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Rekreace a kultura</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1700,39</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1769,95</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1880,60</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1900,00</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1895,54</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4,09%</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6,25%</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1,03%</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-0,23%</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Vzdělávání</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176,78</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191,22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236,58</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247,97</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277,60</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8,17%</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23,72%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4,81%</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11,95%</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Restaurace a hotely</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1036,78</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1108,20</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1351,54</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1420,25</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1475,92</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6,89%</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21,96%</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5,08%</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3,92%</w:t>
            </w:r>
          </w:p>
        </w:tc>
      </w:tr>
      <w:tr w:rsidR="00FD7B45" w:rsidRPr="00501694" w:rsidTr="005C27A4">
        <w:trPr>
          <w:trHeight w:val="300"/>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Ostatní zboží a služby</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1427,90</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1542,24</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1803,28</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1925,92</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1920,42</w:t>
            </w:r>
          </w:p>
        </w:tc>
      </w:tr>
      <w:tr w:rsidR="00FD7B45" w:rsidRPr="00501694" w:rsidTr="005C27A4">
        <w:trPr>
          <w:trHeight w:val="315"/>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8,01%</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16,93%</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6,80%</w:t>
            </w:r>
          </w:p>
        </w:tc>
        <w:tc>
          <w:tcPr>
            <w:tcW w:w="1120" w:type="dxa"/>
            <w:tcBorders>
              <w:top w:val="nil"/>
              <w:left w:val="nil"/>
              <w:bottom w:val="nil"/>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-0,29%</w:t>
            </w:r>
          </w:p>
        </w:tc>
      </w:tr>
      <w:tr w:rsidR="00FD7B45" w:rsidRPr="00501694" w:rsidTr="005C27A4">
        <w:trPr>
          <w:trHeight w:val="300"/>
        </w:trPr>
        <w:tc>
          <w:tcPr>
            <w:tcW w:w="2420" w:type="dxa"/>
            <w:tcBorders>
              <w:top w:val="single" w:sz="8" w:space="0" w:color="auto"/>
              <w:left w:val="single" w:sz="8" w:space="0" w:color="auto"/>
              <w:bottom w:val="single" w:sz="4" w:space="0" w:color="auto"/>
              <w:right w:val="single" w:sz="4" w:space="0" w:color="auto"/>
            </w:tcBorders>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Celkem</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15958,73</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16802,24</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18457,24</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19729,99</w:t>
            </w:r>
          </w:p>
        </w:tc>
        <w:tc>
          <w:tcPr>
            <w:tcW w:w="1120" w:type="dxa"/>
            <w:tcBorders>
              <w:top w:val="single" w:sz="8" w:space="0" w:color="auto"/>
              <w:left w:val="nil"/>
              <w:bottom w:val="single" w:sz="4" w:space="0" w:color="auto"/>
              <w:right w:val="single" w:sz="8"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20351,24</w:t>
            </w:r>
          </w:p>
        </w:tc>
      </w:tr>
      <w:tr w:rsidR="00FD7B45" w:rsidRPr="00501694" w:rsidTr="005C27A4">
        <w:trPr>
          <w:trHeight w:val="315"/>
        </w:trPr>
        <w:tc>
          <w:tcPr>
            <w:tcW w:w="2420" w:type="dxa"/>
            <w:tcBorders>
              <w:top w:val="nil"/>
              <w:left w:val="single" w:sz="8" w:space="0" w:color="auto"/>
              <w:bottom w:val="single" w:sz="8" w:space="0" w:color="auto"/>
              <w:right w:val="single" w:sz="4" w:space="0" w:color="auto"/>
            </w:tcBorders>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Meziroční % nárůst</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5,29%</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9,85%</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6,90%</w:t>
            </w:r>
          </w:p>
        </w:tc>
        <w:tc>
          <w:tcPr>
            <w:tcW w:w="1120" w:type="dxa"/>
            <w:tcBorders>
              <w:top w:val="nil"/>
              <w:left w:val="nil"/>
              <w:bottom w:val="single" w:sz="8" w:space="0" w:color="auto"/>
              <w:right w:val="single" w:sz="8"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3,15%</w:t>
            </w:r>
          </w:p>
        </w:tc>
      </w:tr>
    </w:tbl>
    <w:p w:rsidR="00FD7B45" w:rsidRPr="00B7218F" w:rsidRDefault="00FD7B45" w:rsidP="00BF1E38">
      <w:pPr>
        <w:pStyle w:val="Podtitul"/>
        <w:rPr>
          <w:lang w:eastAsia="cs-CZ"/>
        </w:rPr>
      </w:pPr>
      <w:r w:rsidRPr="00B7218F">
        <w:t>Zdroj Vlastní konstrukce : Statistický Slovinský úřad[online],Nár</w:t>
      </w:r>
      <w:r>
        <w:t>odní ú</w:t>
      </w:r>
      <w:r w:rsidRPr="00B7218F">
        <w:t xml:space="preserve">čty, ,[cit. </w:t>
      </w:r>
      <w:proofErr w:type="gramStart"/>
      <w:r w:rsidRPr="00B7218F">
        <w:t>2010-10</w:t>
      </w:r>
      <w:proofErr w:type="gramEnd"/>
      <w:r w:rsidRPr="00B7218F">
        <w:t xml:space="preserve">-30]. Dostupný z  </w:t>
      </w:r>
      <w:hyperlink r:id="rId25" w:history="1">
        <w:r w:rsidRPr="00B7218F">
          <w:rPr>
            <w:rStyle w:val="Hypertextovodkaz"/>
            <w:szCs w:val="20"/>
          </w:rPr>
          <w:t>http://www.stat.si/pxweb/Database/Ekonomsko/Ekonomsko.asp</w:t>
        </w:r>
      </w:hyperlink>
    </w:p>
    <w:p w:rsidR="00FD7B45" w:rsidRDefault="00FD7B45" w:rsidP="00BF1E38">
      <w:pPr>
        <w:rPr>
          <w:lang w:eastAsia="cs-CZ"/>
        </w:rPr>
      </w:pPr>
    </w:p>
    <w:p w:rsidR="00FD7B45" w:rsidRPr="00B7218F" w:rsidRDefault="00FD7B45" w:rsidP="00BF1E38">
      <w:pPr>
        <w:rPr>
          <w:lang w:eastAsia="cs-CZ"/>
        </w:rPr>
      </w:pPr>
    </w:p>
    <w:p w:rsidR="00FD7B45" w:rsidRPr="00B7218F" w:rsidRDefault="00FD7B45" w:rsidP="00BF1E38">
      <w:pPr>
        <w:rPr>
          <w:lang w:eastAsia="cs-CZ"/>
        </w:rPr>
      </w:pPr>
    </w:p>
    <w:p w:rsidR="00FD7B45" w:rsidRPr="00B7218F" w:rsidRDefault="00FD7B45" w:rsidP="00BF1E38">
      <w:pPr>
        <w:rPr>
          <w:b/>
          <w:lang w:eastAsia="cs-CZ"/>
        </w:rPr>
      </w:pPr>
      <w:r w:rsidRPr="00B7218F">
        <w:rPr>
          <w:b/>
          <w:lang w:eastAsia="cs-CZ"/>
        </w:rPr>
        <w:t>Meziroční vývoj 2006/2005</w:t>
      </w:r>
    </w:p>
    <w:p w:rsidR="00FD7B45" w:rsidRDefault="00FD7B45" w:rsidP="00BF1E38">
      <w:pPr>
        <w:rPr>
          <w:lang w:eastAsia="cs-CZ"/>
        </w:rPr>
      </w:pPr>
    </w:p>
    <w:p w:rsidR="00FD7B45" w:rsidRDefault="00FD7B45" w:rsidP="00BF1E38">
      <w:pPr>
        <w:rPr>
          <w:lang w:eastAsia="cs-CZ"/>
        </w:rPr>
      </w:pPr>
      <w:r>
        <w:rPr>
          <w:lang w:eastAsia="cs-CZ"/>
        </w:rPr>
        <w:t xml:space="preserve">Charakterizování výsledků vývoje jednotlivých složek vychází z dat ze základního roku 2005. V následujícím roce byly zaznamenány ve většině případů kladné procentuální růsty </w:t>
      </w:r>
      <w:r>
        <w:rPr>
          <w:lang w:eastAsia="cs-CZ"/>
        </w:rPr>
        <w:lastRenderedPageBreak/>
        <w:t xml:space="preserve">oproti roku předešlému. Výjimku tvoří pokles u složky odívání a obuvi, kde byl </w:t>
      </w:r>
      <w:proofErr w:type="gramStart"/>
      <w:r>
        <w:rPr>
          <w:lang w:eastAsia="cs-CZ"/>
        </w:rPr>
        <w:t>zjištěn  pokles</w:t>
      </w:r>
      <w:proofErr w:type="gramEnd"/>
      <w:r>
        <w:rPr>
          <w:lang w:eastAsia="cs-CZ"/>
        </w:rPr>
        <w:t xml:space="preserve">  o  -0,1 %. Celková spotřeba v tomto období zaznamenala růst ve výši 5,23 %.</w:t>
      </w:r>
      <w:r>
        <w:rPr>
          <w:rStyle w:val="Znakapoznpodarou"/>
          <w:lang w:eastAsia="cs-CZ"/>
        </w:rPr>
        <w:footnoteReference w:id="88"/>
      </w:r>
    </w:p>
    <w:p w:rsidR="00FD7B45" w:rsidRDefault="00FD7B45" w:rsidP="00BF1E38">
      <w:pPr>
        <w:rPr>
          <w:lang w:eastAsia="cs-CZ"/>
        </w:rPr>
      </w:pPr>
    </w:p>
    <w:p w:rsidR="00FD7B45" w:rsidRDefault="00FD7B45" w:rsidP="00BF1E38">
      <w:pPr>
        <w:rPr>
          <w:lang w:eastAsia="cs-CZ"/>
        </w:rPr>
      </w:pPr>
      <w:r>
        <w:rPr>
          <w:lang w:eastAsia="cs-CZ"/>
        </w:rPr>
        <w:t xml:space="preserve">Nejvýraznější kladné nárůsty byly zpozorovány u složky komunikace, vzdělání a ostatní zboží a služby. V oblasti komunikace byl meziroční nárůst + 8,3 %. V peněžním vyjádření to znamenalo, že v roce 2006 za komunikaci veřejnost zaplatila 603,12 mil. EUR a v roce 2005 veřejnost vynaložila peněžní prostředky za danou složku v celkové reálné hodnotě 556,78 mil. EUR. V rámci komunikace byl největší nárůst zjištěn u komodit </w:t>
      </w:r>
      <w:proofErr w:type="gramStart"/>
      <w:r>
        <w:rPr>
          <w:lang w:eastAsia="cs-CZ"/>
        </w:rPr>
        <w:t>telefony         a faxová</w:t>
      </w:r>
      <w:proofErr w:type="gramEnd"/>
      <w:r>
        <w:rPr>
          <w:lang w:eastAsia="cs-CZ"/>
        </w:rPr>
        <w:t xml:space="preserve"> vybavení. Procentní meziroční růst zde byl ve výši +20,3 %</w:t>
      </w:r>
      <w:r>
        <w:rPr>
          <w:rStyle w:val="Znakapoznpodarou"/>
          <w:lang w:eastAsia="cs-CZ"/>
        </w:rPr>
        <w:footnoteReference w:id="89"/>
      </w:r>
      <w:r>
        <w:rPr>
          <w:lang w:eastAsia="cs-CZ"/>
        </w:rPr>
        <w:t>.</w:t>
      </w:r>
    </w:p>
    <w:p w:rsidR="00FD7B45" w:rsidRDefault="00FD7B45" w:rsidP="00BF1E38">
      <w:pPr>
        <w:rPr>
          <w:lang w:eastAsia="cs-CZ"/>
        </w:rPr>
      </w:pPr>
    </w:p>
    <w:p w:rsidR="00FD7B45" w:rsidRDefault="00FD7B45" w:rsidP="00BF1E38">
      <w:pPr>
        <w:rPr>
          <w:lang w:eastAsia="cs-CZ"/>
        </w:rPr>
      </w:pPr>
      <w:r>
        <w:rPr>
          <w:lang w:eastAsia="cs-CZ"/>
        </w:rPr>
        <w:t xml:space="preserve">U vzdělání byl konečný meziroční nárůst +8,2 %  a v peněžní </w:t>
      </w:r>
      <w:proofErr w:type="gramStart"/>
      <w:r>
        <w:rPr>
          <w:lang w:eastAsia="cs-CZ"/>
        </w:rPr>
        <w:t>vyjádření</w:t>
      </w:r>
      <w:proofErr w:type="gramEnd"/>
      <w:r>
        <w:rPr>
          <w:lang w:eastAsia="cs-CZ"/>
        </w:rPr>
        <w:t xml:space="preserve"> vzrostla hodnota z původních 167,78 mil. EUR na 191,22 mil. EUR. I v tomto případě veřejnost značně do této složky investovala. Nejvíce byl však patrný nárůst u primárního vzdělání. Zde se nárůst meziročně zvýšil o + 13,2 %, a to z výchozí hodnoty 54,05 mil. EUR z roku 2005 na hodnotu 61,17 mil. EUR v roce 2006</w:t>
      </w:r>
      <w:r>
        <w:rPr>
          <w:rStyle w:val="Znakapoznpodarou"/>
          <w:lang w:eastAsia="cs-CZ"/>
        </w:rPr>
        <w:footnoteReference w:id="90"/>
      </w:r>
      <w:r>
        <w:rPr>
          <w:lang w:eastAsia="cs-CZ"/>
        </w:rPr>
        <w:t>.</w:t>
      </w:r>
    </w:p>
    <w:p w:rsidR="00FD7B45" w:rsidRDefault="00FD7B45" w:rsidP="00BF1E38">
      <w:pPr>
        <w:rPr>
          <w:lang w:eastAsia="cs-CZ"/>
        </w:rPr>
      </w:pPr>
    </w:p>
    <w:p w:rsidR="00FD7B45" w:rsidRDefault="00FD7B45" w:rsidP="00BF1E38">
      <w:pPr>
        <w:rPr>
          <w:lang w:eastAsia="cs-CZ"/>
        </w:rPr>
      </w:pPr>
      <w:r>
        <w:rPr>
          <w:lang w:eastAsia="cs-CZ"/>
        </w:rPr>
        <w:t>Poslední složkou, která zaznamenala velmi výrazný výkyv v meziročním procentuálním růstu, byla skupina ostatní zboží a služby.  Tato skupina měla v roce 2005 výchozí stav 1427,90 mil. EUR. V následujícím roce se situace zlepšila a spotřeba této komodita vzrostla o +8% na celkovou hodnotu 1542,24 mil. EUR. Z tohoto růstu lze vyvodit fakt, že se veřejnost neobávala rozšířit své nákupní chování na nákup ostatního zboží a služeb.  V ostatním zboží a službách nejvíce růstově dominovaly prostituce a finanční služby. V prostituci byl meziroční procentuální nárůst ve výši 24,6 %. Celková výše v roce 2006 byla 56,78 mil. EUR. Ve výchozím roce pro srovnání byla celková výše spotřebovaných finančních prostředků 45,56 mil. EUR</w:t>
      </w:r>
      <w:r>
        <w:rPr>
          <w:rStyle w:val="Znakapoznpodarou"/>
          <w:lang w:eastAsia="cs-CZ"/>
        </w:rPr>
        <w:footnoteReference w:id="91"/>
      </w:r>
      <w:r>
        <w:rPr>
          <w:lang w:eastAsia="cs-CZ"/>
        </w:rPr>
        <w:t>.</w:t>
      </w:r>
    </w:p>
    <w:p w:rsidR="00FD7B45" w:rsidRDefault="00FD7B45" w:rsidP="00BF1E38">
      <w:pPr>
        <w:rPr>
          <w:lang w:eastAsia="cs-CZ"/>
        </w:rPr>
      </w:pPr>
    </w:p>
    <w:p w:rsidR="00FD7B45" w:rsidRDefault="00FD7B45" w:rsidP="00BF1E38">
      <w:pPr>
        <w:rPr>
          <w:lang w:eastAsia="cs-CZ"/>
        </w:rPr>
      </w:pPr>
      <w:r>
        <w:rPr>
          <w:lang w:eastAsia="cs-CZ"/>
        </w:rPr>
        <w:t>Tímto byly prezentovány složky spotřeby, které zaznamenaly velmi výrazné kladné nárůsty ve sledovaném období 2006/2005. V další části kapitoly budou analyzovány výrazné poklesy v meziročním vývoji.</w:t>
      </w:r>
    </w:p>
    <w:p w:rsidR="00FD7B45" w:rsidRDefault="00FD7B45" w:rsidP="00BF1E38">
      <w:pPr>
        <w:rPr>
          <w:lang w:eastAsia="cs-CZ"/>
        </w:rPr>
      </w:pPr>
      <w:r>
        <w:rPr>
          <w:lang w:eastAsia="cs-CZ"/>
        </w:rPr>
        <w:lastRenderedPageBreak/>
        <w:t>Meziroční pokles byl zaznamenán u složky odívání a obuv ve výši -0,1%. Tato hodnota není nijak markantní. V peněžním vyjádření spotřeba této komodity klesla z původní hodnoty 905,56 mil. EUR z roku 2005 na finální hodnotu 904,39 mil. EUR. V sekci odívaní a obuv byl pokles hlavně u obuvi a to -0,7 %. Tedy výchozí hodnota z roku 2005 byla 197,95 mil. EUR, která v roce 2006 klesla na 196,59 mil. EUR. Stagnující stav byl v komoditě oblečení, kde byl minimální nárůst proti roku 2005, a to o + 0,03%. V roce 2005 ve Slovinsku občané spotřebovali své finanční prostředky za oblečení v hodnotě 707,61 mil. EUR a rok později v hodnotě 707,80 mil. EUR</w:t>
      </w:r>
      <w:r>
        <w:rPr>
          <w:rStyle w:val="Znakapoznpodarou"/>
          <w:lang w:eastAsia="cs-CZ"/>
        </w:rPr>
        <w:footnoteReference w:id="92"/>
      </w:r>
      <w:r>
        <w:rPr>
          <w:lang w:eastAsia="cs-CZ"/>
        </w:rPr>
        <w:t>.</w:t>
      </w:r>
    </w:p>
    <w:p w:rsidR="00FD7B45" w:rsidRDefault="00FD7B45" w:rsidP="00BF1E38">
      <w:pPr>
        <w:rPr>
          <w:lang w:eastAsia="cs-CZ"/>
        </w:rPr>
      </w:pPr>
    </w:p>
    <w:p w:rsidR="00FD7B45" w:rsidRPr="00CF27BE" w:rsidRDefault="00FD7B45" w:rsidP="00BF1E38">
      <w:pPr>
        <w:rPr>
          <w:lang w:eastAsia="cs-CZ"/>
        </w:rPr>
      </w:pPr>
      <w:r>
        <w:rPr>
          <w:lang w:eastAsia="cs-CZ"/>
        </w:rPr>
        <w:t xml:space="preserve">V pořadí druhý nejnižší nárůst byl zpozorován u základní složky celkové spotřeby, a </w:t>
      </w:r>
      <w:proofErr w:type="gramStart"/>
      <w:r>
        <w:rPr>
          <w:lang w:eastAsia="cs-CZ"/>
        </w:rPr>
        <w:t>to      u potravin</w:t>
      </w:r>
      <w:proofErr w:type="gramEnd"/>
      <w:r>
        <w:rPr>
          <w:lang w:eastAsia="cs-CZ"/>
        </w:rPr>
        <w:t xml:space="preserve"> a nealkoholických nápojů, kde meziroční změna činila 3,1 % a ve výdajovém vyjádření spotřeba vzrostla z 2 366,15 mil. EUR z roku 2005 na 2 437,71 mil. EUR v roce 2006. Slovinské domácnosti spotřebovaly v roce 2006 v oblasti jídla celkem 2 204,2 mil. EUR a v roce 2005 to bylo 2 136,59 mil. EUR</w:t>
      </w:r>
      <w:r>
        <w:rPr>
          <w:rStyle w:val="Znakapoznpodarou"/>
          <w:lang w:eastAsia="cs-CZ"/>
        </w:rPr>
        <w:footnoteReference w:id="93"/>
      </w:r>
      <w:r>
        <w:rPr>
          <w:lang w:eastAsia="cs-CZ"/>
        </w:rPr>
        <w:t>.</w:t>
      </w:r>
    </w:p>
    <w:p w:rsidR="00FD7B45" w:rsidRDefault="00FD7B45" w:rsidP="00BF1E38">
      <w:pPr>
        <w:rPr>
          <w:lang w:eastAsia="cs-CZ"/>
        </w:rPr>
      </w:pPr>
    </w:p>
    <w:p w:rsidR="00FD7B45" w:rsidRDefault="00FD7B45" w:rsidP="00BF1E38">
      <w:pPr>
        <w:rPr>
          <w:lang w:eastAsia="cs-CZ"/>
        </w:rPr>
      </w:pPr>
      <w:r>
        <w:rPr>
          <w:lang w:eastAsia="cs-CZ"/>
        </w:rPr>
        <w:t xml:space="preserve">Po analyzování a prezentování vývoje za sledované období 2006/2005 lze říci, že většina ze složek celkové spotřeby měla rostoucí trend. Výjimkou zde byla pouze oblast </w:t>
      </w:r>
      <w:proofErr w:type="gramStart"/>
      <w:r>
        <w:rPr>
          <w:lang w:eastAsia="cs-CZ"/>
        </w:rPr>
        <w:t>odívání    a obuvi</w:t>
      </w:r>
      <w:proofErr w:type="gramEnd"/>
      <w:r>
        <w:rPr>
          <w:lang w:eastAsia="cs-CZ"/>
        </w:rPr>
        <w:t>, ve které byl zjištěn mírný pokles o -0,1%.</w:t>
      </w:r>
      <w:r>
        <w:rPr>
          <w:rStyle w:val="Znakapoznpodarou"/>
          <w:lang w:eastAsia="cs-CZ"/>
        </w:rPr>
        <w:footnoteReference w:id="94"/>
      </w:r>
      <w:r>
        <w:rPr>
          <w:lang w:eastAsia="cs-CZ"/>
        </w:rPr>
        <w:t xml:space="preserve"> </w:t>
      </w:r>
    </w:p>
    <w:p w:rsidR="00FD7B45" w:rsidRDefault="00FD7B45" w:rsidP="00BF1E38">
      <w:pPr>
        <w:rPr>
          <w:lang w:eastAsia="cs-CZ"/>
        </w:rPr>
      </w:pPr>
    </w:p>
    <w:p w:rsidR="00FD7B45" w:rsidRPr="00B7218F" w:rsidRDefault="00FD7B45" w:rsidP="00BF1E38">
      <w:pPr>
        <w:rPr>
          <w:b/>
          <w:lang w:eastAsia="cs-CZ"/>
        </w:rPr>
      </w:pPr>
    </w:p>
    <w:p w:rsidR="00FD7B45" w:rsidRDefault="00FD7B45" w:rsidP="00BF1E38">
      <w:pPr>
        <w:rPr>
          <w:b/>
          <w:lang w:eastAsia="cs-CZ"/>
        </w:rPr>
      </w:pPr>
      <w:r w:rsidRPr="0039780B">
        <w:rPr>
          <w:b/>
          <w:lang w:eastAsia="cs-CZ"/>
        </w:rPr>
        <w:t>Meziroční vývoj 200</w:t>
      </w:r>
      <w:r>
        <w:rPr>
          <w:b/>
          <w:lang w:eastAsia="cs-CZ"/>
        </w:rPr>
        <w:t>7</w:t>
      </w:r>
      <w:r w:rsidRPr="0039780B">
        <w:rPr>
          <w:b/>
          <w:lang w:eastAsia="cs-CZ"/>
        </w:rPr>
        <w:t>/200</w:t>
      </w:r>
      <w:r>
        <w:rPr>
          <w:b/>
          <w:lang w:eastAsia="cs-CZ"/>
        </w:rPr>
        <w:t>6</w:t>
      </w:r>
    </w:p>
    <w:p w:rsidR="00FD7B45" w:rsidRDefault="00FD7B45" w:rsidP="00BF1E38">
      <w:pPr>
        <w:rPr>
          <w:b/>
          <w:lang w:eastAsia="cs-CZ"/>
        </w:rPr>
      </w:pPr>
    </w:p>
    <w:p w:rsidR="00FD7B45" w:rsidRDefault="00FD7B45" w:rsidP="00BF1E38">
      <w:pPr>
        <w:rPr>
          <w:lang w:eastAsia="cs-CZ"/>
        </w:rPr>
      </w:pPr>
      <w:r>
        <w:rPr>
          <w:lang w:eastAsia="cs-CZ"/>
        </w:rPr>
        <w:t>Rok 2007 je velmi významný, jelikož v tomto roce byla ve Slovinsku přijata jednotná měna euro. V tomto sledovaném období slovinská veřejnost nejvíce utrácela svou finanční hotovost za vzdělání, restaurace a hotely a v neposlední řadě do ostatního zboží a služeb. Opačná situace nastala u složky bydlení, voda, elektřina a plyn, kdy byl zaznamenán nárůst pouze o +4,6%. Ještě rozsáhlejšího poklesu růstu bylo dosaženo u komunikace, kde došlo k poklesu o – 4,4%.</w:t>
      </w:r>
      <w:r w:rsidRPr="00794244">
        <w:rPr>
          <w:lang w:eastAsia="cs-CZ"/>
        </w:rPr>
        <w:t xml:space="preserve"> </w:t>
      </w:r>
      <w:r>
        <w:rPr>
          <w:lang w:eastAsia="cs-CZ"/>
        </w:rPr>
        <w:t>Celkový meziroční růst byl u spotřeby 9,90 %.</w:t>
      </w:r>
      <w:r>
        <w:rPr>
          <w:rStyle w:val="Znakapoznpodarou"/>
          <w:lang w:eastAsia="cs-CZ"/>
        </w:rPr>
        <w:footnoteReference w:id="95"/>
      </w:r>
    </w:p>
    <w:p w:rsidR="00FD7B45" w:rsidRDefault="00FD7B45" w:rsidP="00BF1E38">
      <w:pPr>
        <w:rPr>
          <w:lang w:eastAsia="cs-CZ"/>
        </w:rPr>
      </w:pPr>
    </w:p>
    <w:p w:rsidR="00FD7B45" w:rsidRDefault="00FD7B45" w:rsidP="00BF1E38">
      <w:pPr>
        <w:rPr>
          <w:lang w:eastAsia="cs-CZ"/>
        </w:rPr>
      </w:pPr>
      <w:r>
        <w:rPr>
          <w:lang w:eastAsia="cs-CZ"/>
        </w:rPr>
        <w:lastRenderedPageBreak/>
        <w:t>První charakterizovanou složkou s jedním z nejvyšších kladných nárůstů bylo vzdělání, které vzrostlo o +23,7 % z hodnoty 191,22 mil. EUR na hodnotu 236,58 mil. EUR. O tomto nárůstu lze říci, že je velmi výrazný, proto bylo potřeba se na vzdělání podívat hlouběji a analyzovat jeho části. V 2007 byl zaznamenán</w:t>
      </w:r>
      <w:r w:rsidRPr="008A3998">
        <w:rPr>
          <w:lang w:eastAsia="cs-CZ"/>
        </w:rPr>
        <w:t xml:space="preserve"> </w:t>
      </w:r>
      <w:r>
        <w:rPr>
          <w:lang w:eastAsia="cs-CZ"/>
        </w:rPr>
        <w:t xml:space="preserve">největší nárůst u terciárního vzdělávání a u vzdělání, u kterého nelze identifikovat úroveň. Další výrazný nárůst zaznamenalo i základní vzdělání. Terciární vzdělání v roce 2006 mělo základní spotřebovanou hodnotu 61,95 mil. EUR a o rok později se tato hodnota zvýšila o 30,6 % na celkovou hodnotu 80,89 mil. EUR. Nárůst je to velmi výrazný. Co </w:t>
      </w:r>
      <w:proofErr w:type="gramStart"/>
      <w:r>
        <w:rPr>
          <w:lang w:eastAsia="cs-CZ"/>
        </w:rPr>
        <w:t>týče</w:t>
      </w:r>
      <w:proofErr w:type="gramEnd"/>
      <w:r>
        <w:rPr>
          <w:lang w:eastAsia="cs-CZ"/>
        </w:rPr>
        <w:t xml:space="preserve"> vzdělání nedefinované úrovně, tak u něj se vycházelo z hodnoty 47,23 mil. EUR z roku 2006. Meziroční růst byl ve výši 26,5 %. A v roce 2007 byla celková spotřeba za tento typ vzdělání ve výši 59,58 mil. EUR</w:t>
      </w:r>
      <w:r>
        <w:rPr>
          <w:rStyle w:val="Znakapoznpodarou"/>
          <w:lang w:eastAsia="cs-CZ"/>
        </w:rPr>
        <w:footnoteReference w:id="96"/>
      </w:r>
      <w:r>
        <w:rPr>
          <w:lang w:eastAsia="cs-CZ"/>
        </w:rPr>
        <w:t>.</w:t>
      </w:r>
    </w:p>
    <w:p w:rsidR="00FD7B45" w:rsidRDefault="00FD7B45" w:rsidP="00BF1E38">
      <w:pPr>
        <w:rPr>
          <w:lang w:eastAsia="cs-CZ"/>
        </w:rPr>
      </w:pPr>
    </w:p>
    <w:p w:rsidR="00FD7B45" w:rsidRDefault="00FD7B45" w:rsidP="00BF1E38">
      <w:pPr>
        <w:rPr>
          <w:lang w:eastAsia="cs-CZ"/>
        </w:rPr>
      </w:pPr>
      <w:r>
        <w:rPr>
          <w:lang w:eastAsia="cs-CZ"/>
        </w:rPr>
        <w:t xml:space="preserve">Další významnou oblastí, která se mohla prezentovat výraznými meziročními nárůsty, </w:t>
      </w:r>
      <w:proofErr w:type="gramStart"/>
      <w:r>
        <w:rPr>
          <w:lang w:eastAsia="cs-CZ"/>
        </w:rPr>
        <w:t>byla  skupina</w:t>
      </w:r>
      <w:proofErr w:type="gramEnd"/>
      <w:r>
        <w:rPr>
          <w:lang w:eastAsia="cs-CZ"/>
        </w:rPr>
        <w:t xml:space="preserve"> restaurací a hotelů. V této oblasti byly zpozorovány procentuální meziroční nárůsty ve sledovaném období v hodnotě +22 %. Tedy v rámci peněžního vyjádření to znamená, že z původní hodnoty z roku 2006, která byla 1108,20 mil. EUR </w:t>
      </w:r>
      <w:proofErr w:type="gramStart"/>
      <w:r>
        <w:rPr>
          <w:lang w:eastAsia="cs-CZ"/>
        </w:rPr>
        <w:t>se</w:t>
      </w:r>
      <w:proofErr w:type="gramEnd"/>
      <w:r>
        <w:rPr>
          <w:lang w:eastAsia="cs-CZ"/>
        </w:rPr>
        <w:t xml:space="preserve"> tato následně  v roce 2007 zvýšila na 1351,54 mil. EUR. Při podrobnějším pohledu je zřetelně vidět, že na takto vysokém růstu se podílely všechny podskupiny, a to stravovací služby a ubytovací služby. U sektoru stravovací služby byl meziroční růst ve výši 20 %. Tedy původní hodnota z roku 2006, která byla 861,46 mil. EUR </w:t>
      </w:r>
      <w:proofErr w:type="gramStart"/>
      <w:r>
        <w:rPr>
          <w:lang w:eastAsia="cs-CZ"/>
        </w:rPr>
        <w:t>se</w:t>
      </w:r>
      <w:proofErr w:type="gramEnd"/>
      <w:r>
        <w:rPr>
          <w:lang w:eastAsia="cs-CZ"/>
        </w:rPr>
        <w:t xml:space="preserve"> zvýšila v následujícím roce na hodnotu 1033,59 mil. EUR. A u sektoru ubytovací služby, byl nárůst dokonce ještě </w:t>
      </w:r>
      <w:proofErr w:type="gramStart"/>
      <w:r>
        <w:rPr>
          <w:lang w:eastAsia="cs-CZ"/>
        </w:rPr>
        <w:t>větší     a to</w:t>
      </w:r>
      <w:proofErr w:type="gramEnd"/>
      <w:r>
        <w:rPr>
          <w:lang w:eastAsia="cs-CZ"/>
        </w:rPr>
        <w:t xml:space="preserve"> ve výši 28,9 %. Tedy v roce 2007 veřejnost spotřebovala své peněžní prostředky v této sekci v hodnotě 317,95 mil. EUR. V roce 2006 to bylo pouze 246,73 mil. EUR.  Z tohoto vývoje lze předpokládat, že se veřejnost nebála více spotřebovávat své finanční prostředky.</w:t>
      </w:r>
      <w:r>
        <w:rPr>
          <w:rStyle w:val="Znakapoznpodarou"/>
          <w:lang w:eastAsia="cs-CZ"/>
        </w:rPr>
        <w:footnoteReference w:id="97"/>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t xml:space="preserve">I v tomto sledovaném období výrazně vzrostla spotřeba ostatního zboží a služeb. Oproti předešlému sledovaného období byl nárůst zcela razantní. V řeči čísel to znamená, že spotřeba těchto komodit vzrostla o +16,9%. Tedy z původní hodnoty z roku 2006, která </w:t>
      </w:r>
      <w:proofErr w:type="gramStart"/>
      <w:r>
        <w:rPr>
          <w:lang w:eastAsia="cs-CZ"/>
        </w:rPr>
        <w:t>byla</w:t>
      </w:r>
      <w:proofErr w:type="gramEnd"/>
      <w:r>
        <w:rPr>
          <w:lang w:eastAsia="cs-CZ"/>
        </w:rPr>
        <w:t xml:space="preserve"> 1542,24 mil. EUR </w:t>
      </w:r>
      <w:proofErr w:type="gramStart"/>
      <w:r>
        <w:rPr>
          <w:lang w:eastAsia="cs-CZ"/>
        </w:rPr>
        <w:t>činila</w:t>
      </w:r>
      <w:proofErr w:type="gramEnd"/>
      <w:r>
        <w:rPr>
          <w:lang w:eastAsia="cs-CZ"/>
        </w:rPr>
        <w:t xml:space="preserve"> na konci následujícího roku 1803,28 mil. EUR. Nejvyšší </w:t>
      </w:r>
      <w:r>
        <w:rPr>
          <w:lang w:eastAsia="cs-CZ"/>
        </w:rPr>
        <w:lastRenderedPageBreak/>
        <w:t xml:space="preserve">nárůsty byly v oblasti pojištění a s tím spojené oblasti finančních služeb. Výchozí hodnota v roce 2006 byla 346,05 mil. EUR. Konečná hodnota v roce 2007 představovala 416,51 mil. EUR. Co se týká meziročního růstu, tak ten byl ve výši 20,4 %. V oblasti finančních služeb byla situace podobná, také zde byl velký meziroční nárůst ve výši 29,8 %. V peněžním vyjádření se spotřeba z roku 2006 byla ve výši 431,23 mil. EUR zvýšila </w:t>
      </w:r>
      <w:proofErr w:type="gramStart"/>
      <w:r>
        <w:rPr>
          <w:lang w:eastAsia="cs-CZ"/>
        </w:rPr>
        <w:t>na  559,75</w:t>
      </w:r>
      <w:proofErr w:type="gramEnd"/>
      <w:r>
        <w:rPr>
          <w:lang w:eastAsia="cs-CZ"/>
        </w:rPr>
        <w:t xml:space="preserve"> mil. EUR v 2007. Z toho vyplývá otázka, proč veřejnost měla tendence vkládat své finanční prostředky do různých pojištění a finančních služeb</w:t>
      </w:r>
      <w:r>
        <w:rPr>
          <w:rStyle w:val="Znakapoznpodarou"/>
          <w:lang w:eastAsia="cs-CZ"/>
        </w:rPr>
        <w:footnoteReference w:id="98"/>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t xml:space="preserve">Po zanalyzování částí celkové spotřeby, které zaznamenaly v sledovaném období vysoké nárůsty, se nyní pozornost zaměří na pokles růstu či dokonce na samotný pokles. Nejmenšího kladného nárůstu v tomto období zaznamenala oblast kultury a rekreace. Přírůstek této oblasti činil +6,3%, přesto je vyšší než v předchozím období, kde činil +4,1%. Ve sledovaném období byla konečná spotřeba v peněžním vyjádření u </w:t>
      </w:r>
      <w:proofErr w:type="gramStart"/>
      <w:r>
        <w:rPr>
          <w:lang w:eastAsia="cs-CZ"/>
        </w:rPr>
        <w:t>restaurací     a kultury</w:t>
      </w:r>
      <w:proofErr w:type="gramEnd"/>
      <w:r>
        <w:rPr>
          <w:lang w:eastAsia="cs-CZ"/>
        </w:rPr>
        <w:t xml:space="preserve"> v hodnotě 1880,60 mil. EUR. Tedy oproti minulému období, kde byla celková hodnota 1769,95 mil. EUR, vzrostla o 110,65 mil. EUR</w:t>
      </w:r>
      <w:r>
        <w:rPr>
          <w:rStyle w:val="Znakapoznpodarou"/>
          <w:lang w:eastAsia="cs-CZ"/>
        </w:rPr>
        <w:footnoteReference w:id="99"/>
      </w:r>
      <w:r>
        <w:rPr>
          <w:lang w:eastAsia="cs-CZ"/>
        </w:rPr>
        <w:t>.</w:t>
      </w:r>
    </w:p>
    <w:p w:rsidR="00FD7B45" w:rsidRDefault="00FD7B45" w:rsidP="00BF1E38">
      <w:pPr>
        <w:rPr>
          <w:lang w:eastAsia="cs-CZ"/>
        </w:rPr>
      </w:pPr>
    </w:p>
    <w:p w:rsidR="00FD7B45" w:rsidRDefault="00FD7B45" w:rsidP="00BF1E38">
      <w:pPr>
        <w:rPr>
          <w:lang w:eastAsia="cs-CZ"/>
        </w:rPr>
      </w:pPr>
      <w:r>
        <w:rPr>
          <w:lang w:eastAsia="cs-CZ"/>
        </w:rPr>
        <w:t xml:space="preserve">Menší pokles růstu byl zjištěn i u skupiny, která v sobě zahrnuje bydlení, vodu, </w:t>
      </w:r>
      <w:proofErr w:type="gramStart"/>
      <w:r>
        <w:rPr>
          <w:lang w:eastAsia="cs-CZ"/>
        </w:rPr>
        <w:t>elektřinu    a plyn</w:t>
      </w:r>
      <w:proofErr w:type="gramEnd"/>
      <w:r>
        <w:rPr>
          <w:lang w:eastAsia="cs-CZ"/>
        </w:rPr>
        <w:t>.  V předchozím období byl nárůst +5% a nyní pouze + 4,6%. V peněžním vyjádření to znamená nárůst spotřeby z 3175,41 mil. EUR (2006) na 3322,20 mil. EUR v roce 2007. Při detailnějším prozkoumání lze odhalit opačný trend v komoditě údržba a opravy bytů, kde byl zaznamenán meziroční růst ve výši 14,5 %. Na druhé straně byl zjištěn meziroční pokles tempa růstu u nájemného za bydlení z 3,7 % v 2006/2005 na 3,5 % v 2007/2006.</w:t>
      </w:r>
      <w:r>
        <w:rPr>
          <w:rStyle w:val="Znakapoznpodarou"/>
          <w:lang w:eastAsia="cs-CZ"/>
        </w:rPr>
        <w:footnoteReference w:id="100"/>
      </w:r>
    </w:p>
    <w:p w:rsidR="00FD7B45" w:rsidRDefault="00FD7B45" w:rsidP="00BF1E38">
      <w:pPr>
        <w:rPr>
          <w:lang w:eastAsia="cs-CZ"/>
        </w:rPr>
      </w:pPr>
      <w:r>
        <w:rPr>
          <w:lang w:eastAsia="cs-CZ"/>
        </w:rPr>
        <w:t xml:space="preserve">Ještě výraznější pokles tempa růstu byl zaznamenán u elektřiny, plynu a jiných paliv. Tempo růstu </w:t>
      </w:r>
      <w:proofErr w:type="gramStart"/>
      <w:r>
        <w:rPr>
          <w:lang w:eastAsia="cs-CZ"/>
        </w:rPr>
        <w:t>kleslo z 7,1</w:t>
      </w:r>
      <w:proofErr w:type="gramEnd"/>
      <w:r>
        <w:rPr>
          <w:lang w:eastAsia="cs-CZ"/>
        </w:rPr>
        <w:t xml:space="preserve"> % (2006/2005) na 3,8 % ve sledovaném období.</w:t>
      </w:r>
      <w:r>
        <w:rPr>
          <w:rStyle w:val="Znakapoznpodarou"/>
          <w:lang w:eastAsia="cs-CZ"/>
        </w:rPr>
        <w:footnoteReference w:id="101"/>
      </w:r>
    </w:p>
    <w:p w:rsidR="00FD7B45" w:rsidRDefault="00FD7B45" w:rsidP="00BF1E38">
      <w:pPr>
        <w:rPr>
          <w:lang w:eastAsia="cs-CZ"/>
        </w:rPr>
      </w:pPr>
    </w:p>
    <w:p w:rsidR="00FD7B45" w:rsidRPr="008300FC" w:rsidRDefault="00FD7B45" w:rsidP="00BF1E38">
      <w:pPr>
        <w:rPr>
          <w:u w:val="single"/>
          <w:lang w:eastAsia="cs-CZ"/>
        </w:rPr>
      </w:pPr>
      <w:r>
        <w:rPr>
          <w:lang w:eastAsia="cs-CZ"/>
        </w:rPr>
        <w:t xml:space="preserve">Nejhoršího výsledku zaznamenala oblast komunikace, která v předešlém období velmi dobře rostla. V roce 2007 byl zaznamenán u komunikace pokles -4,4%. Tedy z původní hodnoty 603,12 mil. EUR klesla na konci roku 2007 na hodnotu 576,35 mil. EUR. Největší </w:t>
      </w:r>
      <w:r>
        <w:rPr>
          <w:lang w:eastAsia="cs-CZ"/>
        </w:rPr>
        <w:lastRenderedPageBreak/>
        <w:t xml:space="preserve">propad byl v oblasti telefonů a faxových služeb -4,8%. Další minusový pokles </w:t>
      </w:r>
      <w:proofErr w:type="gramStart"/>
      <w:r>
        <w:rPr>
          <w:lang w:eastAsia="cs-CZ"/>
        </w:rPr>
        <w:t>byl              u poštovních</w:t>
      </w:r>
      <w:proofErr w:type="gramEnd"/>
      <w:r>
        <w:rPr>
          <w:lang w:eastAsia="cs-CZ"/>
        </w:rPr>
        <w:t xml:space="preserve"> zásilek, kde byl meziroční pokles -3,9%</w:t>
      </w:r>
      <w:r>
        <w:rPr>
          <w:rStyle w:val="Znakapoznpodarou"/>
          <w:lang w:eastAsia="cs-CZ"/>
        </w:rPr>
        <w:footnoteReference w:id="102"/>
      </w:r>
      <w:r>
        <w:rPr>
          <w:lang w:eastAsia="cs-CZ"/>
        </w:rPr>
        <w:t>.</w:t>
      </w:r>
    </w:p>
    <w:p w:rsidR="00FD7B45" w:rsidRDefault="00FD7B45" w:rsidP="00BF1E38">
      <w:pPr>
        <w:rPr>
          <w:lang w:eastAsia="cs-CZ"/>
        </w:rPr>
      </w:pPr>
    </w:p>
    <w:p w:rsidR="00FD7B45" w:rsidRDefault="00FD7B45" w:rsidP="00BF1E38">
      <w:pPr>
        <w:rPr>
          <w:lang w:eastAsia="cs-CZ"/>
        </w:rPr>
      </w:pPr>
      <w:r>
        <w:rPr>
          <w:lang w:eastAsia="cs-CZ"/>
        </w:rPr>
        <w:t>V rámci souhrnného pohledu na vývoj jednotlivých oblastí spotřeby ve sledovaném období lze říci, že ve velké většině případů došlo ke kladným meziročním nárůstům. Jedná se především o oblasti vzdělání, restaurace a hotely a ostatní zboží a služby. Jak již bylo zmíněno, tak velmi malého kladného přírůstku zaznamenala oblast bydlení, voda, elektřina, plyn a jiná paliva. Nejhorší výsledek byl v oblasti komunikace, kde byl docílen meziroční pokles.</w:t>
      </w:r>
    </w:p>
    <w:p w:rsidR="00FD7B45" w:rsidRDefault="00FD7B45" w:rsidP="00BF1E38">
      <w:pPr>
        <w:rPr>
          <w:lang w:eastAsia="cs-CZ"/>
        </w:rPr>
      </w:pPr>
    </w:p>
    <w:p w:rsidR="00FD7B45" w:rsidRDefault="00FD7B45" w:rsidP="00BF1E38">
      <w:pPr>
        <w:rPr>
          <w:lang w:eastAsia="cs-CZ"/>
        </w:rPr>
      </w:pPr>
    </w:p>
    <w:p w:rsidR="00FD7B45" w:rsidRDefault="00FD7B45" w:rsidP="00BF1E38">
      <w:pPr>
        <w:rPr>
          <w:b/>
          <w:lang w:eastAsia="cs-CZ"/>
        </w:rPr>
      </w:pPr>
      <w:r w:rsidRPr="0039780B">
        <w:rPr>
          <w:b/>
          <w:lang w:eastAsia="cs-CZ"/>
        </w:rPr>
        <w:t>Meziroční vývoj 200</w:t>
      </w:r>
      <w:r>
        <w:rPr>
          <w:b/>
          <w:lang w:eastAsia="cs-CZ"/>
        </w:rPr>
        <w:t>8</w:t>
      </w:r>
      <w:r w:rsidRPr="0039780B">
        <w:rPr>
          <w:b/>
          <w:lang w:eastAsia="cs-CZ"/>
        </w:rPr>
        <w:t>/200</w:t>
      </w:r>
      <w:r>
        <w:rPr>
          <w:b/>
          <w:lang w:eastAsia="cs-CZ"/>
        </w:rPr>
        <w:t>7</w:t>
      </w:r>
    </w:p>
    <w:p w:rsidR="00FD7B45" w:rsidRDefault="00FD7B45" w:rsidP="00BF1E38">
      <w:pPr>
        <w:rPr>
          <w:lang w:eastAsia="cs-CZ"/>
        </w:rPr>
      </w:pPr>
    </w:p>
    <w:p w:rsidR="00FD7B45" w:rsidRDefault="00FD7B45" w:rsidP="00BF1E38">
      <w:pPr>
        <w:rPr>
          <w:lang w:eastAsia="cs-CZ"/>
        </w:rPr>
      </w:pPr>
      <w:r>
        <w:rPr>
          <w:lang w:eastAsia="cs-CZ"/>
        </w:rPr>
        <w:t xml:space="preserve">Dalším sledovaným obdobím je rok 2008 a jeho vývoj oproti roku 2007. Tento je výjimečný tím, že již po dobu jednoho roku slovinská veřejnost využívala euro jako svojí měnu. Oproti předešlému období nedošlo k takovým razantním kladným nárůstům. Vyšší nárůsty byly zjištěny pouze u oblasti odívání a obuv a také u bydlení a u </w:t>
      </w:r>
      <w:r w:rsidRPr="001F2F64">
        <w:rPr>
          <w:lang w:eastAsia="cs-CZ"/>
        </w:rPr>
        <w:t>vody, elektřiny, plynu a jiných paliv</w:t>
      </w:r>
      <w:r w:rsidRPr="00A803BB">
        <w:rPr>
          <w:color w:val="FF0000"/>
          <w:lang w:eastAsia="cs-CZ"/>
        </w:rPr>
        <w:t>.</w:t>
      </w:r>
      <w:r>
        <w:rPr>
          <w:lang w:eastAsia="cs-CZ"/>
        </w:rPr>
        <w:t xml:space="preserve"> Mírný nárůst byl i u složky komunikace, která v předešlém období zaznamenala pokles. V ostatních případech se jednalo o nižší meziroční procentuální nárůsty oproti předešlému sledovanému období. Nejvýrazněji rostla spotřeba potravin s nealkoholickými nápoji, ale vzrostla také spotřeba alkoholický nápojů, </w:t>
      </w:r>
      <w:proofErr w:type="gramStart"/>
      <w:r>
        <w:rPr>
          <w:lang w:eastAsia="cs-CZ"/>
        </w:rPr>
        <w:t>tabáku                  a  narkotik</w:t>
      </w:r>
      <w:proofErr w:type="gramEnd"/>
      <w:r>
        <w:rPr>
          <w:lang w:eastAsia="cs-CZ"/>
        </w:rPr>
        <w:t>. Nejnižší meziroční růst byl zaznamenán v oblasti rekreace a kultura. Celková spotřeba zaznamenala meziroční růst ve výši 6,31 %.</w:t>
      </w:r>
      <w:r>
        <w:rPr>
          <w:rStyle w:val="Znakapoznpodarou"/>
          <w:lang w:eastAsia="cs-CZ"/>
        </w:rPr>
        <w:footnoteReference w:id="103"/>
      </w:r>
    </w:p>
    <w:p w:rsidR="00FD7B45" w:rsidRDefault="00FD7B45" w:rsidP="00BF1E38">
      <w:pPr>
        <w:rPr>
          <w:lang w:eastAsia="cs-CZ"/>
        </w:rPr>
      </w:pPr>
    </w:p>
    <w:p w:rsidR="00FD7B45" w:rsidRDefault="00FD7B45" w:rsidP="00BF1E38">
      <w:pPr>
        <w:rPr>
          <w:lang w:eastAsia="cs-CZ"/>
        </w:rPr>
      </w:pPr>
      <w:r>
        <w:rPr>
          <w:lang w:eastAsia="cs-CZ"/>
        </w:rPr>
        <w:t xml:space="preserve">Jednou ze složek celkové spotřeby, která zaznamenala výraznější kladný přírůstek ve sledovaném období, byla oblast odívání a obuvi. V roce 2007 celková hodnota této složky činila 1008,40 mil. EUR. O rok později se tato hodnota zvýšila o 12,4% na 1133,49 mil. EUR. V rámci lepšího pohledu na vývoj spotřeby je potřeba analyzovat její jednotlivé komponenty. Velmi výrazný růst spotřeby byl u obuvi, kde procentuální růst činil 19,2%. Spotřeba oblečení zaznamenala také výraznější meziroční růst ve výši 10,4%. Z uvedených </w:t>
      </w:r>
      <w:r>
        <w:rPr>
          <w:lang w:eastAsia="cs-CZ"/>
        </w:rPr>
        <w:lastRenderedPageBreak/>
        <w:t>výsledků lze vyvodit závěr, že se veřejnost nebála vynaložit své finanční prostředky na tyto komodity</w:t>
      </w:r>
      <w:r>
        <w:rPr>
          <w:rStyle w:val="Znakapoznpodarou"/>
          <w:lang w:eastAsia="cs-CZ"/>
        </w:rPr>
        <w:footnoteReference w:id="104"/>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t>Druhý nejvýznamnější růst spotřeby ve sledovaném období zaznamenalo bydlení, voda, elektřina, plyn a jiná paliva. V roce 2007 bylo na tyto služby vynaloženo 3322,20 mil. EUR, o rok později 3635,10 mil. EUR. Meziroční nárůst činil tedy +9,4%. Po bližším pohledu na tuto komponentu spotřeby lze zjistit, v jakých částech došlo k největším nárůstům. Jedná se zejména o podskupiny elektřina, plyn a jiná paliva, kde byl meziroční růst ve výši 18,9 %. Veřejnost dále velmi investovala do oprav a údržby bytů, kde se útraty meziročně navýšily o 13,2 %</w:t>
      </w:r>
      <w:r>
        <w:rPr>
          <w:rStyle w:val="Znakapoznpodarou"/>
          <w:lang w:eastAsia="cs-CZ"/>
        </w:rPr>
        <w:footnoteReference w:id="105"/>
      </w:r>
      <w:r>
        <w:rPr>
          <w:lang w:eastAsia="cs-CZ"/>
        </w:rPr>
        <w:t>.</w:t>
      </w:r>
    </w:p>
    <w:p w:rsidR="00FD7B45" w:rsidRDefault="00FD7B45" w:rsidP="00BF1E38">
      <w:pPr>
        <w:rPr>
          <w:lang w:eastAsia="cs-CZ"/>
        </w:rPr>
      </w:pPr>
    </w:p>
    <w:p w:rsidR="00FD7B45" w:rsidRDefault="00FD7B45" w:rsidP="00BF1E38">
      <w:pPr>
        <w:rPr>
          <w:lang w:eastAsia="cs-CZ"/>
        </w:rPr>
      </w:pPr>
      <w:r>
        <w:rPr>
          <w:lang w:eastAsia="cs-CZ"/>
        </w:rPr>
        <w:t>Další z oblastí, která zaznamenala kladný přírůstek,</w:t>
      </w:r>
      <w:r w:rsidRPr="00B159D9">
        <w:rPr>
          <w:lang w:eastAsia="cs-CZ"/>
        </w:rPr>
        <w:t xml:space="preserve"> </w:t>
      </w:r>
      <w:r>
        <w:rPr>
          <w:lang w:eastAsia="cs-CZ"/>
        </w:rPr>
        <w:t xml:space="preserve">avšak nižší než v předešlém časovém období, byly potraviny a nealkoholické nápoje. V peněžním vyjádření jejich celková hodnota v roce 2007 činila 2658,01 mil. EUR a na konci roku 2008 </w:t>
      </w:r>
      <w:proofErr w:type="gramStart"/>
      <w:r>
        <w:rPr>
          <w:lang w:eastAsia="cs-CZ"/>
        </w:rPr>
        <w:t>dosahovala        2874,55</w:t>
      </w:r>
      <w:proofErr w:type="gramEnd"/>
      <w:r>
        <w:rPr>
          <w:lang w:eastAsia="cs-CZ"/>
        </w:rPr>
        <w:t xml:space="preserve"> mil. EUR. Meziroční procentuální přírůstek činil +8,1%.</w:t>
      </w:r>
      <w:r>
        <w:rPr>
          <w:rStyle w:val="Znakapoznpodarou"/>
          <w:lang w:eastAsia="cs-CZ"/>
        </w:rPr>
        <w:footnoteReference w:id="106"/>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t>Po zanalyzování výsledků s velice vysokými kladnými přírůstky se pozornost přesune na oblasti, které ve sledovaném období dosáhly nízkého nárůstu či dokonce zaznamenaly meziroční pokles.</w:t>
      </w:r>
    </w:p>
    <w:p w:rsidR="00FD7B45" w:rsidRDefault="00FD7B45" w:rsidP="00BF1E38">
      <w:pPr>
        <w:rPr>
          <w:lang w:eastAsia="cs-CZ"/>
        </w:rPr>
      </w:pPr>
    </w:p>
    <w:p w:rsidR="00FD7B45" w:rsidRDefault="00FD7B45" w:rsidP="00BF1E38">
      <w:pPr>
        <w:rPr>
          <w:lang w:eastAsia="cs-CZ"/>
        </w:rPr>
      </w:pPr>
      <w:r>
        <w:rPr>
          <w:lang w:eastAsia="cs-CZ"/>
        </w:rPr>
        <w:t>Nyní se pozorování přenese na oblast rekreace a kultura, kde byl zjištěn nejmenší kladný přírůstek +1 %. V tomto období byla konečná hodnota 1900,00 mil. EUR oproti roku 2007, kdy celková hodnota byla 1880,60 mil. EUR. Pro lepší představivost o vývoji v dané složce, je potřeba zhodnotit i vývoj v jejich jednotlivých komoditách. Při pohledu na první z nich, kterou jsou</w:t>
      </w:r>
      <w:r w:rsidRPr="00011F39">
        <w:t xml:space="preserve"> </w:t>
      </w:r>
      <w:r>
        <w:rPr>
          <w:lang w:eastAsia="cs-CZ"/>
        </w:rPr>
        <w:t>a</w:t>
      </w:r>
      <w:r w:rsidRPr="00011F39">
        <w:rPr>
          <w:lang w:eastAsia="cs-CZ"/>
        </w:rPr>
        <w:t xml:space="preserve">udio-vizuální, fotografická a zařízení pro zpracování </w:t>
      </w:r>
      <w:proofErr w:type="gramStart"/>
      <w:r w:rsidRPr="00011F39">
        <w:rPr>
          <w:lang w:eastAsia="cs-CZ"/>
        </w:rPr>
        <w:t>informac</w:t>
      </w:r>
      <w:r>
        <w:rPr>
          <w:lang w:eastAsia="cs-CZ"/>
        </w:rPr>
        <w:t xml:space="preserve">í             </w:t>
      </w:r>
      <w:r w:rsidRPr="00011F39">
        <w:rPr>
          <w:lang w:eastAsia="cs-CZ"/>
        </w:rPr>
        <w:t>a opravy</w:t>
      </w:r>
      <w:proofErr w:type="gramEnd"/>
      <w:r>
        <w:rPr>
          <w:lang w:eastAsia="cs-CZ"/>
        </w:rPr>
        <w:t>, lze spatřit jediný výrazný kladný růst ve výši 10,4 %. V minulém sledovaném období  2007/2006 tato komodita zaznamenala pokles -0,3 %</w:t>
      </w:r>
      <w:r>
        <w:rPr>
          <w:rStyle w:val="Znakapoznpodarou"/>
          <w:lang w:eastAsia="cs-CZ"/>
        </w:rPr>
        <w:footnoteReference w:id="107"/>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lastRenderedPageBreak/>
        <w:t>Výrazný pokles byl dále u rekreačních a kulturních služeb ve výši -7,6 %. Ve vynaložených finančních prostředcích to znamená, že v roce 2007 veřejnost za danou komoditu vynaložila 742,18 mil. EUR a rok později to bylo pouhých 685,62 mil. EUR.</w:t>
      </w:r>
      <w:r>
        <w:rPr>
          <w:rStyle w:val="Znakapoznpodarou"/>
          <w:lang w:eastAsia="cs-CZ"/>
        </w:rPr>
        <w:footnoteReference w:id="108"/>
      </w:r>
    </w:p>
    <w:p w:rsidR="00FD7B45" w:rsidRDefault="00FD7B45" w:rsidP="00BF1E38">
      <w:pPr>
        <w:rPr>
          <w:lang w:eastAsia="cs-CZ"/>
        </w:rPr>
      </w:pPr>
    </w:p>
    <w:p w:rsidR="00FD7B45" w:rsidRDefault="00FD7B45" w:rsidP="00BF1E38">
      <w:pPr>
        <w:rPr>
          <w:lang w:eastAsia="cs-CZ"/>
        </w:rPr>
      </w:pPr>
      <w:r>
        <w:rPr>
          <w:lang w:eastAsia="cs-CZ"/>
        </w:rPr>
        <w:t xml:space="preserve">Po prozkoumání všech základních skupin celkové spotřeby, lze konstatovat, že v daném období převážné převládaly kladné meziroční nárůsty. Na tomto místě je nutné podotknout, že žádná z komodit nevykázala meziroční pokles. </w:t>
      </w:r>
    </w:p>
    <w:p w:rsidR="00FD7B45" w:rsidRDefault="00FD7B45" w:rsidP="00BF1E38">
      <w:pPr>
        <w:rPr>
          <w:lang w:eastAsia="cs-CZ"/>
        </w:rPr>
      </w:pPr>
    </w:p>
    <w:p w:rsidR="00FD7B45" w:rsidRDefault="00FD7B45" w:rsidP="00BF1E38">
      <w:pPr>
        <w:rPr>
          <w:lang w:eastAsia="cs-CZ"/>
        </w:rPr>
      </w:pPr>
    </w:p>
    <w:p w:rsidR="00FD7B45" w:rsidRDefault="00FD7B45" w:rsidP="00BF1E38">
      <w:pPr>
        <w:rPr>
          <w:b/>
          <w:lang w:eastAsia="cs-CZ"/>
        </w:rPr>
      </w:pPr>
      <w:r w:rsidRPr="0039780B">
        <w:rPr>
          <w:b/>
          <w:lang w:eastAsia="cs-CZ"/>
        </w:rPr>
        <w:t>Meziroční vývoj 200</w:t>
      </w:r>
      <w:r>
        <w:rPr>
          <w:b/>
          <w:lang w:eastAsia="cs-CZ"/>
        </w:rPr>
        <w:t>9</w:t>
      </w:r>
      <w:r w:rsidRPr="0039780B">
        <w:rPr>
          <w:b/>
          <w:lang w:eastAsia="cs-CZ"/>
        </w:rPr>
        <w:t>/200</w:t>
      </w:r>
      <w:r>
        <w:rPr>
          <w:b/>
          <w:lang w:eastAsia="cs-CZ"/>
        </w:rPr>
        <w:t>8</w:t>
      </w:r>
    </w:p>
    <w:p w:rsidR="00FD7B45" w:rsidRPr="00814C22" w:rsidRDefault="00FD7B45" w:rsidP="00BF1E38">
      <w:pPr>
        <w:rPr>
          <w:b/>
          <w:lang w:eastAsia="cs-CZ"/>
        </w:rPr>
      </w:pPr>
    </w:p>
    <w:p w:rsidR="00FD7B45" w:rsidRDefault="00FD7B45" w:rsidP="00BF1E38">
      <w:pPr>
        <w:rPr>
          <w:lang w:eastAsia="cs-CZ"/>
        </w:rPr>
      </w:pPr>
      <w:r>
        <w:rPr>
          <w:lang w:eastAsia="cs-CZ"/>
        </w:rPr>
        <w:t xml:space="preserve">Posledním referenčním obdobím, kterým se tato práce bude zabývat, je období 2009/2008. Jak je známo, tak v tomto období se začala ve Spojených státech amerických projevovat hospodářská krize, která se poté rozšířila na ostatní kontinenty včetně Evropy. V dalším textu bude popsán vývoj spotřeby jednotlivých komponent spotřeby. </w:t>
      </w:r>
    </w:p>
    <w:p w:rsidR="00FD7B45" w:rsidRDefault="00FD7B45" w:rsidP="00BF1E38">
      <w:pPr>
        <w:rPr>
          <w:lang w:eastAsia="cs-CZ"/>
        </w:rPr>
      </w:pPr>
    </w:p>
    <w:p w:rsidR="00FD7B45" w:rsidRDefault="00FD7B45" w:rsidP="00BF1E38">
      <w:pPr>
        <w:rPr>
          <w:lang w:eastAsia="cs-CZ"/>
        </w:rPr>
      </w:pPr>
      <w:r>
        <w:rPr>
          <w:lang w:eastAsia="cs-CZ"/>
        </w:rPr>
        <w:t xml:space="preserve">Dvě složky z celkové spotřeby dosáhly velice výrazného meziročního růstu. Jednou z nich je oblast zdraví, ve které byl meziroční procentuální nárůst 16,3 %. V peněžním vyjádření byl docílen růst spotřeby z 681,84 mil. EUR (2008) na 792,86 mil. EUR v roce 2009. Dvouciferného nárůstu zaznamenala tato oblast ve všech </w:t>
      </w:r>
      <w:bookmarkStart w:id="101" w:name="_Toc278027303"/>
      <w:r>
        <w:rPr>
          <w:lang w:eastAsia="cs-CZ"/>
        </w:rPr>
        <w:t>svých jednotlivých složkách.</w:t>
      </w:r>
      <w:r>
        <w:rPr>
          <w:rStyle w:val="Znakapoznpodarou"/>
          <w:lang w:eastAsia="cs-CZ"/>
        </w:rPr>
        <w:footnoteReference w:id="109"/>
      </w:r>
      <w:r>
        <w:rPr>
          <w:lang w:eastAsia="cs-CZ"/>
        </w:rPr>
        <w:t xml:space="preserve"> </w:t>
      </w:r>
    </w:p>
    <w:p w:rsidR="00FD7B45" w:rsidRDefault="00FD7B45" w:rsidP="00BF1E38">
      <w:pPr>
        <w:rPr>
          <w:lang w:eastAsia="cs-CZ"/>
        </w:rPr>
      </w:pPr>
      <w:r>
        <w:rPr>
          <w:lang w:eastAsia="cs-CZ"/>
        </w:rPr>
        <w:t>Nejvyšší nárůst 17,9 % však byl v </w:t>
      </w:r>
      <w:bookmarkEnd w:id="101"/>
      <w:r>
        <w:rPr>
          <w:lang w:eastAsia="cs-CZ"/>
        </w:rPr>
        <w:t xml:space="preserve">komoditě zdravotnické výrobky, zařízení a vybavení. Spotřeba této komodity se zvýšila na 357,68 mil. EUR (2009) z 303,31 mil. EUR (2008). Podobného růstu (17,8 %) docílila oblast nemocničních služeb. Z původní hodnoty 92,90 mil. EUR z roku 2008 vzrostla spotřeba této složky na hodnotu 109,42 mil. EUR. Poslední zkoumanou </w:t>
      </w:r>
      <w:proofErr w:type="spellStart"/>
      <w:r>
        <w:rPr>
          <w:lang w:eastAsia="cs-CZ"/>
        </w:rPr>
        <w:t>podsložkou</w:t>
      </w:r>
      <w:proofErr w:type="spellEnd"/>
      <w:r>
        <w:rPr>
          <w:lang w:eastAsia="cs-CZ"/>
        </w:rPr>
        <w:t xml:space="preserve"> jsou ambulantní služby, kde meziroční růst činil +14,1 %. Spotřeba v rámci sledovaných období vzrostla z 285,62 mil. EUR na 325,77 mil. EUR</w:t>
      </w:r>
      <w:r>
        <w:rPr>
          <w:rStyle w:val="Znakapoznpodarou"/>
          <w:lang w:eastAsia="cs-CZ"/>
        </w:rPr>
        <w:footnoteReference w:id="110"/>
      </w:r>
      <w:r>
        <w:rPr>
          <w:lang w:eastAsia="cs-CZ"/>
        </w:rPr>
        <w:t>.</w:t>
      </w:r>
    </w:p>
    <w:p w:rsidR="00FD7B45" w:rsidRDefault="00FD7B45" w:rsidP="00BF1E38">
      <w:pPr>
        <w:rPr>
          <w:lang w:eastAsia="cs-CZ"/>
        </w:rPr>
      </w:pPr>
    </w:p>
    <w:p w:rsidR="00FD7B45" w:rsidRDefault="00FD7B45" w:rsidP="00BF1E38">
      <w:pPr>
        <w:rPr>
          <w:lang w:eastAsia="cs-CZ"/>
        </w:rPr>
      </w:pPr>
      <w:r>
        <w:rPr>
          <w:lang w:eastAsia="cs-CZ"/>
        </w:rPr>
        <w:t xml:space="preserve">Další výrazný nárůst +14,2 % byl u spotřeby alkoholických nápojů, tabáku a narkotik. Výchozí spotřebována hodnota z roku 2008 byla 950,14 mil. EUR a konečná hodnota z roku 2009 byla 1085,03 mil. EUR. Při zkoumání jednotlivých dílčích oblastí této </w:t>
      </w:r>
      <w:r>
        <w:rPr>
          <w:lang w:eastAsia="cs-CZ"/>
        </w:rPr>
        <w:lastRenderedPageBreak/>
        <w:t>komodity je překvapující, že největší kladný nárůst byl v oblasti narkotik, a to o + 52,7 %. V peněžním vyjádření to znamená, že původní hodnota z roku 2008 byla pouhých 83,16 mil. EUR a rok později se tato hodnota zvýšila na 126,96 mil. EUR. Tabák je další položkou v této oblasti, která měla vysoký přírůstek, a to 10,6 %. V roce 2008 veřejnost utratila za tabák 555,91 mil. EUR a o rok později za stejnou komoditu zaplatila 614,57 mil. EUR. Podobný meziroční nárůst 10,5 % byl i u alkoholických nápojů.  V hodnotovém vyjádření došlo k růstu spotřeby z 311,07 mil. EUR (2008) na 343,61 mil. EUR v roce 2009</w:t>
      </w:r>
      <w:r>
        <w:rPr>
          <w:rStyle w:val="Znakapoznpodarou"/>
          <w:lang w:eastAsia="cs-CZ"/>
        </w:rPr>
        <w:footnoteReference w:id="111"/>
      </w:r>
      <w:r>
        <w:rPr>
          <w:lang w:eastAsia="cs-CZ"/>
        </w:rPr>
        <w:t>.</w:t>
      </w:r>
    </w:p>
    <w:p w:rsidR="00FD7B45" w:rsidRDefault="00FD7B45" w:rsidP="00BF1E38">
      <w:pPr>
        <w:rPr>
          <w:lang w:eastAsia="cs-CZ"/>
        </w:rPr>
      </w:pPr>
    </w:p>
    <w:p w:rsidR="00FD7B45" w:rsidRDefault="00FD7B45" w:rsidP="00BF1E38">
      <w:pPr>
        <w:rPr>
          <w:lang w:eastAsia="cs-CZ"/>
        </w:rPr>
      </w:pPr>
      <w:r>
        <w:rPr>
          <w:lang w:eastAsia="cs-CZ"/>
        </w:rPr>
        <w:t>Výrazného meziročního růstu 12 % bylo dosaženo také v oblasti vzdělání. Je důležité říci, že v předešlém sledovaném období byl růst pouze 4,8 %. V rámci sledovaného období 2009/2008 činila počáteční hodnota z roku 2008 247,97 mil. EUR a rok později 277,60 mil. EUR. Při bližším pohledu na tuto oblast je patrné, že nárůsty byly ve všech jejích podskupinách. Nejvíce však v terciárním vzdělání, kde byl nárůst 16,1 % oproti roku 2008. Tento nárůst je výrazný i oproti předešlému období, kde tato oblast zaznamenala pokles ve výši -1,3%. Další výraznější nárůst byl v primárním vzdělání, kde meziroční procentuální růst byl 12,1 %</w:t>
      </w:r>
      <w:r>
        <w:rPr>
          <w:rStyle w:val="Znakapoznpodarou"/>
          <w:lang w:eastAsia="cs-CZ"/>
        </w:rPr>
        <w:footnoteReference w:id="112"/>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t>Nižší tempo růstu bylo u komodity komunikace, kde byl meziroční nárůst 5,8%. V peněžním pojetí to značí růst z 609,08 mil. EUR (2008) na 644,30 mil. EUR v roce 2009. Při podrobnějším pohledu na jednotlivé části této složky, lze spatřit rozdílný vývoj ve všech jejich složkách. Např. v oblasti telefon a faxové služby byl zjištěn meziroční nárůst ve výši + 6,9%. Zatímco u poštovních služeb byl zjištěn mírný růst 2,6 % oproti předešlému období 2008/2007, kdy bylo dosáhnuto růstu 6,6 %. Razantní pokles -11,6 % byl u komodity telefon a faxové služby. Tento pokles je velmi výrazný, jelikož v období, které předcházelo analyzovanému období, inkasovaly tyto komodity 6,5% kladný růst. Z uvedených údajů je patrné, že na celkovém vývoji části celkové spotřeby komunikace měla největší vliv pravě složka telefon a faxová vybavení</w:t>
      </w:r>
      <w:r>
        <w:rPr>
          <w:rStyle w:val="Znakapoznpodarou"/>
          <w:lang w:eastAsia="cs-CZ"/>
        </w:rPr>
        <w:footnoteReference w:id="113"/>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lastRenderedPageBreak/>
        <w:t>Snížení kladného tempa růstu bylo zaznamenáno v oblasti b</w:t>
      </w:r>
      <w:r w:rsidRPr="00EC232C">
        <w:rPr>
          <w:lang w:eastAsia="cs-CZ"/>
        </w:rPr>
        <w:t xml:space="preserve">ydlení, voda, elektřina, </w:t>
      </w:r>
      <w:proofErr w:type="gramStart"/>
      <w:r w:rsidRPr="00EC232C">
        <w:rPr>
          <w:lang w:eastAsia="cs-CZ"/>
        </w:rPr>
        <w:t xml:space="preserve">plyn </w:t>
      </w:r>
      <w:r>
        <w:rPr>
          <w:lang w:eastAsia="cs-CZ"/>
        </w:rPr>
        <w:t xml:space="preserve">    </w:t>
      </w:r>
      <w:r w:rsidRPr="00EC232C">
        <w:rPr>
          <w:lang w:eastAsia="cs-CZ"/>
        </w:rPr>
        <w:t>a jiná</w:t>
      </w:r>
      <w:proofErr w:type="gramEnd"/>
      <w:r w:rsidRPr="00EC232C">
        <w:rPr>
          <w:lang w:eastAsia="cs-CZ"/>
        </w:rPr>
        <w:t xml:space="preserve"> paliva</w:t>
      </w:r>
      <w:r>
        <w:rPr>
          <w:lang w:eastAsia="cs-CZ"/>
        </w:rPr>
        <w:t xml:space="preserve"> a p</w:t>
      </w:r>
      <w:r w:rsidRPr="0003183A">
        <w:rPr>
          <w:lang w:eastAsia="cs-CZ"/>
        </w:rPr>
        <w:t>otraviny a nealkoholické nápoje</w:t>
      </w:r>
      <w:r>
        <w:rPr>
          <w:lang w:eastAsia="cs-CZ"/>
        </w:rPr>
        <w:t>. U první zmiňované komponenty (b</w:t>
      </w:r>
      <w:r w:rsidRPr="00EC232C">
        <w:rPr>
          <w:lang w:eastAsia="cs-CZ"/>
        </w:rPr>
        <w:t>ydlení, voda, elektřina, plyn a jiná paliva</w:t>
      </w:r>
      <w:r>
        <w:rPr>
          <w:lang w:eastAsia="cs-CZ"/>
        </w:rPr>
        <w:t xml:space="preserve">) byl meziroční nárůst ve výši 7 %, tj. snížení tempa </w:t>
      </w:r>
      <w:proofErr w:type="gramStart"/>
      <w:r>
        <w:rPr>
          <w:lang w:eastAsia="cs-CZ"/>
        </w:rPr>
        <w:t>růstu  o 2,4</w:t>
      </w:r>
      <w:proofErr w:type="gramEnd"/>
      <w:r>
        <w:rPr>
          <w:lang w:eastAsia="cs-CZ"/>
        </w:rPr>
        <w:t xml:space="preserve"> % oproti předchozímu období. Výchozí hodnotou pro toto srovnání je hodnota z roku 2008, kde celkově vynaložené prostředky byly v celkové výši 3635, 10 mil. EUR a rok později vzrostly na 3888,70 mil. EUR. Při zevrubnějším pohledu je patrné, že se jednotlivé součásti této komponenty nevyvíjely stejným tempem růstu. Nejdynamičtější růst byl u údržby a opravy bytů, kde byl meziroční růst ve výši 46,9 %. Spotřeba vzrostla z 57,90 mil. EUR (2008) na 85,03 mil. EUR v roce následujícím. Z údajů lze usoudit, že se slovinská veřejnost nebála investovat více prostředků do oprav a údržby svých bytů. Co se týká ostatních služeb, které souvisí s bydlením, tak i zde došlo k výraznějšímu růstu oproti předchozímu období ve výši 13 %.  Další významnější nárůst v rámci sledovaného období, je nárůst u složky skutečné nájemné za bydlení. Tato komponenta je veřejností kriticky sledována. V této oblasti byl konstatován růst ve výši 9 %. Lze předpokládat, že došlo ke zvýšení cen za nájemné či se více obyvatelstva rozhodlo bydlet v pronajímaném bytě. Poslední zkoumanou složkou je spotřeba elektřiny, plynu a jiných paliv. U této komponenty došlo ke snížení tempa růst z </w:t>
      </w:r>
      <w:proofErr w:type="gramStart"/>
      <w:r>
        <w:rPr>
          <w:lang w:eastAsia="cs-CZ"/>
        </w:rPr>
        <w:t>18,9 %  (2008/2007</w:t>
      </w:r>
      <w:proofErr w:type="gramEnd"/>
      <w:r>
        <w:rPr>
          <w:lang w:eastAsia="cs-CZ"/>
        </w:rPr>
        <w:t xml:space="preserve">) na 6,6 % za období 2009/2008. </w:t>
      </w:r>
      <w:proofErr w:type="gramStart"/>
      <w:r>
        <w:rPr>
          <w:lang w:eastAsia="cs-CZ"/>
        </w:rPr>
        <w:t>Tedy  na</w:t>
      </w:r>
      <w:proofErr w:type="gramEnd"/>
      <w:r>
        <w:rPr>
          <w:lang w:eastAsia="cs-CZ"/>
        </w:rPr>
        <w:t xml:space="preserve"> konci roku 2009 byly veřejností vynaloženy na elektřinu, plyn a jiná paliva prostředky ve výši 1197,32 mil. EUR. V předchozím roce bylo vynaloženo 1123,56 mil. EUR</w:t>
      </w:r>
      <w:r>
        <w:rPr>
          <w:rStyle w:val="Znakapoznpodarou"/>
          <w:lang w:eastAsia="cs-CZ"/>
        </w:rPr>
        <w:footnoteReference w:id="114"/>
      </w:r>
      <w:r>
        <w:rPr>
          <w:lang w:eastAsia="cs-CZ"/>
        </w:rPr>
        <w:t>.</w:t>
      </w:r>
    </w:p>
    <w:p w:rsidR="00FD7B45" w:rsidRDefault="00FD7B45" w:rsidP="00BF1E38">
      <w:pPr>
        <w:rPr>
          <w:lang w:eastAsia="cs-CZ"/>
        </w:rPr>
      </w:pPr>
    </w:p>
    <w:p w:rsidR="00FD7B45" w:rsidRDefault="00FD7B45" w:rsidP="00BF1E38">
      <w:pPr>
        <w:rPr>
          <w:lang w:eastAsia="cs-CZ"/>
        </w:rPr>
      </w:pPr>
      <w:r>
        <w:rPr>
          <w:lang w:eastAsia="cs-CZ"/>
        </w:rPr>
        <w:t>U druhé zmiňované celkové komodity (p</w:t>
      </w:r>
      <w:r w:rsidRPr="0003183A">
        <w:rPr>
          <w:lang w:eastAsia="cs-CZ"/>
        </w:rPr>
        <w:t>otraviny a nealkoholické nápoje</w:t>
      </w:r>
      <w:r>
        <w:rPr>
          <w:lang w:eastAsia="cs-CZ"/>
        </w:rPr>
        <w:t>) bylo detekováno pomalejší kladné tempo růstu proti předešlému sledovanému období. Ve sledovaném období bylo tempo růstu ve výši 6,4 % a v předešlém období 8,1%. V rámci sledovaného období byl počáteční stav spotřebovaných finančních prostředků 2874,55 mil. EUR a to za výchozí rok 2008. Výsledná hodnota za rok 2009 byla 3038,87 mil. EUR. I zde bude vhodné podívat se na vývoj jednotlivých částí této komponenty. Obě dvě dílčí komponenty ve sledovaném období zaznamenaly růst. U spotřeby jídla byl zaznamenán meziroční nárůst ve výši 6,5 %. U nealkoholických nápojů byl meziroční procentuální růst vyšší než v předešlém období a činil 5,9 %.</w:t>
      </w:r>
      <w:r>
        <w:rPr>
          <w:rStyle w:val="Znakapoznpodarou"/>
          <w:lang w:eastAsia="cs-CZ"/>
        </w:rPr>
        <w:footnoteReference w:id="115"/>
      </w:r>
      <w:r>
        <w:rPr>
          <w:lang w:eastAsia="cs-CZ"/>
        </w:rPr>
        <w:t xml:space="preserve"> </w:t>
      </w:r>
    </w:p>
    <w:p w:rsidR="00FD7B45" w:rsidRDefault="00FD7B45" w:rsidP="00BF1E38">
      <w:pPr>
        <w:rPr>
          <w:lang w:eastAsia="cs-CZ"/>
        </w:rPr>
      </w:pPr>
      <w:r>
        <w:rPr>
          <w:lang w:eastAsia="cs-CZ"/>
        </w:rPr>
        <w:lastRenderedPageBreak/>
        <w:t>Razantnějšího poklesu tempa růstu bylo dosaženo u</w:t>
      </w:r>
      <w:r w:rsidRPr="00C34C43">
        <w:t xml:space="preserve"> </w:t>
      </w:r>
      <w:r>
        <w:rPr>
          <w:lang w:eastAsia="cs-CZ"/>
        </w:rPr>
        <w:t>b</w:t>
      </w:r>
      <w:r w:rsidRPr="00C34C43">
        <w:rPr>
          <w:lang w:eastAsia="cs-CZ"/>
        </w:rPr>
        <w:t>ytové</w:t>
      </w:r>
      <w:r>
        <w:rPr>
          <w:lang w:eastAsia="cs-CZ"/>
        </w:rPr>
        <w:t>ho</w:t>
      </w:r>
      <w:r w:rsidRPr="00C34C43">
        <w:rPr>
          <w:lang w:eastAsia="cs-CZ"/>
        </w:rPr>
        <w:t xml:space="preserve"> vybavení, zařízení a údržby</w:t>
      </w:r>
      <w:r>
        <w:rPr>
          <w:lang w:eastAsia="cs-CZ"/>
        </w:rPr>
        <w:t xml:space="preserve">, kde byl konstatován růst pouze 1,1 %, který byl o 3,2 procentní body nižší než v předchozím období. Ze sledovaného období je patrné, že v počátečním roce (2008) byly vynaloženy celkové peněžní prostředky ve výši 1157,11 mil. EUR. V následujícím roce byly vynaloženy celkové finanční prostředky ve výši 1170,07 mil. EUR. V rámci podrobnější pohledu bylo zjištěno, že více než polovina jednotlivých složek prodělala razantnější pokles. Pouze dvě komponenty dosáhly kladného růstu.  Jednou z položek,        u které byl zjištěn kladný nárůst </w:t>
      </w:r>
      <w:proofErr w:type="gramStart"/>
      <w:r>
        <w:rPr>
          <w:lang w:eastAsia="cs-CZ"/>
        </w:rPr>
        <w:t>je</w:t>
      </w:r>
      <w:proofErr w:type="gramEnd"/>
      <w:r>
        <w:rPr>
          <w:lang w:eastAsia="cs-CZ"/>
        </w:rPr>
        <w:t xml:space="preserve"> položka obsahující z</w:t>
      </w:r>
      <w:r w:rsidRPr="00426E2E">
        <w:rPr>
          <w:lang w:eastAsia="cs-CZ"/>
        </w:rPr>
        <w:t>boží a služby pro běžnou údržbu domácnosti</w:t>
      </w:r>
      <w:r>
        <w:rPr>
          <w:lang w:eastAsia="cs-CZ"/>
        </w:rPr>
        <w:t xml:space="preserve">. U této položky byl 16,2 % nárůst proti roku 2008. Další složkou, u které byl konstatován růst proti roku 2008, byla spotřební oblast domácí spotřebiče, které proti období 2008/2007 vzrostly o +7,9 %. U dalších položek této oblasti byl zjištěn radikální pokles. Tento pokles byl nejznatelnější u </w:t>
      </w:r>
      <w:proofErr w:type="gramStart"/>
      <w:r>
        <w:rPr>
          <w:lang w:eastAsia="cs-CZ"/>
        </w:rPr>
        <w:t>bytové</w:t>
      </w:r>
      <w:proofErr w:type="gramEnd"/>
      <w:r>
        <w:rPr>
          <w:lang w:eastAsia="cs-CZ"/>
        </w:rPr>
        <w:t xml:space="preserve"> textilu, a to -18,2%. Menší, ale stále výrazný pokles byl u skupiny nádobí a kuchyňské potřeby pro domácnost. Zde veřejnost za tyto potřeby vynaložila v roce 2008 peněžní prostředky v celkové hodnotě 75,02 mil. EUR. V roce 2009 se celková suma těchto prostředků snížila o -11,5 % na 66,40 mil. EUR. Poslední komoditou, která patří do oblasti b</w:t>
      </w:r>
      <w:r w:rsidRPr="00551B1F">
        <w:rPr>
          <w:lang w:eastAsia="cs-CZ"/>
        </w:rPr>
        <w:t>ytové vybavení, zařízení a údržby</w:t>
      </w:r>
      <w:r>
        <w:rPr>
          <w:lang w:eastAsia="cs-CZ"/>
        </w:rPr>
        <w:t xml:space="preserve"> je n</w:t>
      </w:r>
      <w:r w:rsidRPr="00551B1F">
        <w:rPr>
          <w:lang w:eastAsia="cs-CZ"/>
        </w:rPr>
        <w:t>ábytek, bytové zařízení a koberce</w:t>
      </w:r>
      <w:r>
        <w:rPr>
          <w:lang w:eastAsia="cs-CZ"/>
        </w:rPr>
        <w:t>. I zde byl zjištěn meziroční pokles a to ve výši -5,5 %.</w:t>
      </w:r>
      <w:r>
        <w:rPr>
          <w:rStyle w:val="Znakapoznpodarou"/>
          <w:lang w:eastAsia="cs-CZ"/>
        </w:rPr>
        <w:footnoteReference w:id="116"/>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t>Za dané období byly nejprve analyzovány u jednotlivých složek spotřeby jejich přírůstky. Nyní je třeba se také zaměřit na opačný pól a to na poklesy meziročního růstu. Pokles byl zjištěn u složek dopravy, ostatního zboží a služeb a také u složky rekreace a kultura.</w:t>
      </w:r>
    </w:p>
    <w:p w:rsidR="00FD7B45" w:rsidRDefault="00FD7B45" w:rsidP="00BF1E38">
      <w:pPr>
        <w:rPr>
          <w:lang w:eastAsia="cs-CZ"/>
        </w:rPr>
      </w:pPr>
    </w:p>
    <w:p w:rsidR="00FD7B45" w:rsidRDefault="00FD7B45" w:rsidP="00BF1E38">
      <w:pPr>
        <w:rPr>
          <w:lang w:eastAsia="cs-CZ"/>
        </w:rPr>
      </w:pPr>
      <w:r>
        <w:rPr>
          <w:lang w:eastAsia="cs-CZ"/>
        </w:rPr>
        <w:t>Nejvýznamnější pokles byl</w:t>
      </w:r>
      <w:r w:rsidRPr="00313CF5">
        <w:rPr>
          <w:lang w:eastAsia="cs-CZ"/>
        </w:rPr>
        <w:t xml:space="preserve"> </w:t>
      </w:r>
      <w:r>
        <w:rPr>
          <w:lang w:eastAsia="cs-CZ"/>
        </w:rPr>
        <w:t xml:space="preserve">zjištěn u komponenty doprava ve výši -7,3 %. Tento pokles byl velmi razantní vzhledem k vývoji v předešlém období, kdy </w:t>
      </w:r>
      <w:proofErr w:type="gramStart"/>
      <w:r>
        <w:rPr>
          <w:lang w:eastAsia="cs-CZ"/>
        </w:rPr>
        <w:t>byl zaznamenám</w:t>
      </w:r>
      <w:proofErr w:type="gramEnd"/>
      <w:r>
        <w:rPr>
          <w:lang w:eastAsia="cs-CZ"/>
        </w:rPr>
        <w:t xml:space="preserve"> kladný růst ve výši 7,4 %. V roce 2008 byla celková výše vynaložených prostředků v dopravě ve výši 3194,04 mil. EUR. Na konci roku 2009 se celková výše snížila na 2960,65 mil. EUR. Při podrobnějším pohledu je patrné, že největší vliv měl pokles u koupě aut. Tento pokles byl ve výši -19 % proti předešlému období. Co se týká dopravních služeb, tak i zde byl zaznamenán určitý pokles ve výši -1,3 %. Poslední komponentou v této oblasti je provoz osobních dopravních prostředků, kde došlo k poklesu o -0,4 %</w:t>
      </w:r>
      <w:r>
        <w:rPr>
          <w:rStyle w:val="Znakapoznpodarou"/>
          <w:lang w:eastAsia="cs-CZ"/>
        </w:rPr>
        <w:footnoteReference w:id="117"/>
      </w:r>
      <w:r>
        <w:rPr>
          <w:lang w:eastAsia="cs-CZ"/>
        </w:rPr>
        <w:t xml:space="preserve">. </w:t>
      </w:r>
    </w:p>
    <w:p w:rsidR="00FD7B45" w:rsidRDefault="00FD7B45" w:rsidP="00BF1E38">
      <w:pPr>
        <w:rPr>
          <w:lang w:eastAsia="cs-CZ"/>
        </w:rPr>
      </w:pPr>
      <w:r>
        <w:rPr>
          <w:lang w:eastAsia="cs-CZ"/>
        </w:rPr>
        <w:lastRenderedPageBreak/>
        <w:t>Pokles, ale již ne tak velkého rázu byl v oblasti ostatní zboží a služby. Tento pokles činil na konci roku 2009 -0,3 % proti roku 2008. V peněžním vyjádření byla celkově vynaložena suma v roce 2008 1925,92 mil. EUR a rok později klesla celkové výše prostředků na úroveň 1920,42 mil. EUR.</w:t>
      </w:r>
      <w:r>
        <w:rPr>
          <w:rStyle w:val="Znakapoznpodarou"/>
          <w:lang w:eastAsia="cs-CZ"/>
        </w:rPr>
        <w:footnoteReference w:id="118"/>
      </w:r>
    </w:p>
    <w:p w:rsidR="00FD7B45" w:rsidRDefault="00FD7B45" w:rsidP="00BF1E38">
      <w:pPr>
        <w:rPr>
          <w:lang w:eastAsia="cs-CZ"/>
        </w:rPr>
      </w:pPr>
    </w:p>
    <w:p w:rsidR="00FD7B45" w:rsidRDefault="00FD7B45" w:rsidP="00BF1E38">
      <w:pPr>
        <w:rPr>
          <w:lang w:eastAsia="cs-CZ"/>
        </w:rPr>
      </w:pPr>
      <w:r>
        <w:rPr>
          <w:lang w:eastAsia="cs-CZ"/>
        </w:rPr>
        <w:t xml:space="preserve">Poslední položkou, která bude v této kapitole analyzována </w:t>
      </w:r>
      <w:proofErr w:type="gramStart"/>
      <w:r>
        <w:rPr>
          <w:lang w:eastAsia="cs-CZ"/>
        </w:rPr>
        <w:t>je</w:t>
      </w:r>
      <w:proofErr w:type="gramEnd"/>
      <w:r>
        <w:rPr>
          <w:lang w:eastAsia="cs-CZ"/>
        </w:rPr>
        <w:t xml:space="preserve"> oblast rekreace a kultura. Zde došlo též k poklesu ve výši -0,2 %. V penězích vyjádřeno to znamená, že v roce 2008 byla celková výše 1900,00 mil. EUR a v roce 2009 1895,54 mil. EUR. I zde bude zajímavé prozkoumat danou oblast hlouběji, a to v rámci meziroční vývoje jednotlivých částí této komponenty. U převážné většiny byl prokázán pokles. Jen u jedné z komodit byl konstatován růst +7 %, a to u výdajů za rekreaci a kulturu. Tento nárůst je zajímavý, neboť v předešlém období (2008/2007) došlo k poklesu ve výši -7,6 %. Ostatní složky jako dovolená s ostatními službami či o</w:t>
      </w:r>
      <w:r w:rsidRPr="005767DE">
        <w:rPr>
          <w:lang w:eastAsia="cs-CZ"/>
        </w:rPr>
        <w:t>statní rekreační předměty a vybavení, zahrady a domácí zvířata</w:t>
      </w:r>
      <w:r>
        <w:rPr>
          <w:lang w:eastAsia="cs-CZ"/>
        </w:rPr>
        <w:t xml:space="preserve"> zaznamenaly pokles. Nejvyšší pokles z těchto složek byl u dovolené a ostatních služeb (-11,5 %).</w:t>
      </w:r>
      <w:r>
        <w:rPr>
          <w:rStyle w:val="Znakapoznpodarou"/>
          <w:lang w:eastAsia="cs-CZ"/>
        </w:rPr>
        <w:footnoteReference w:id="119"/>
      </w:r>
    </w:p>
    <w:p w:rsidR="00FD7B45" w:rsidRPr="00B7218F" w:rsidRDefault="00FD7B45" w:rsidP="00BF1E38">
      <w:pPr>
        <w:rPr>
          <w:lang w:eastAsia="cs-CZ"/>
        </w:rPr>
      </w:pPr>
    </w:p>
    <w:p w:rsidR="00FD7B45" w:rsidRDefault="00FD7B45" w:rsidP="00BF1E38">
      <w:pPr>
        <w:rPr>
          <w:lang w:eastAsia="cs-CZ"/>
        </w:rPr>
      </w:pPr>
      <w:r w:rsidRPr="00B7218F">
        <w:rPr>
          <w:lang w:eastAsia="cs-CZ"/>
        </w:rPr>
        <w:t xml:space="preserve">Po podrobném analyzování vývoje komponent celkové reálné spotřeby, lze vyvodit následující závěry. Vývoj v tomto období byl do jisté míry ovlivněn začínající a postupně se rozšiřující celosvětovou hospodářkou krizí. Je důležité upozornit, že ne každá složka spotřeby na danou situaci reagovala stejně. Nějaké komponenty mohou na tržní změny reagovat citlivěji a v kratším období a jiné naopak a to pomaleji a v delším časovém období. V nejkratším časovém intervalu na změny reagují služby a nejdéle pak průmyslová výroba.   </w:t>
      </w:r>
    </w:p>
    <w:p w:rsidR="00FD7B45" w:rsidRDefault="00FD7B45" w:rsidP="00BF1E38">
      <w:pPr>
        <w:rPr>
          <w:lang w:eastAsia="cs-CZ"/>
        </w:rPr>
      </w:pPr>
    </w:p>
    <w:p w:rsidR="00FD7B45" w:rsidRPr="00B7218F" w:rsidRDefault="00FD7B45" w:rsidP="00BF1E38">
      <w:pPr>
        <w:rPr>
          <w:lang w:eastAsia="cs-CZ"/>
        </w:rPr>
      </w:pPr>
    </w:p>
    <w:p w:rsidR="00FD7B45" w:rsidRPr="00B7218F" w:rsidRDefault="00FD7B45" w:rsidP="00BF1E38">
      <w:pPr>
        <w:pStyle w:val="Nadpis2"/>
        <w:spacing w:before="0"/>
      </w:pPr>
      <w:bookmarkStart w:id="102" w:name="_Toc281759185"/>
      <w:bookmarkStart w:id="103" w:name="_Toc282027386"/>
      <w:r w:rsidRPr="00B7218F">
        <w:t>3.6 Vývoj vládních výdajů ve sledovaném období</w:t>
      </w:r>
      <w:bookmarkEnd w:id="102"/>
      <w:bookmarkEnd w:id="103"/>
    </w:p>
    <w:p w:rsidR="00FD7B45" w:rsidRPr="00B7218F" w:rsidRDefault="00FD7B45" w:rsidP="00BF1E38"/>
    <w:p w:rsidR="00FD7B45" w:rsidRPr="00B7218F" w:rsidRDefault="00FD7B45" w:rsidP="00BF1E38"/>
    <w:p w:rsidR="00FD7B45" w:rsidRDefault="00FD7B45" w:rsidP="00BF1E38">
      <w:r w:rsidRPr="00B7218F">
        <w:t xml:space="preserve">Při zjišťovaní jak jednotlivé složky HDP ovlivňují jeho vývoj, bylo prokázáno, že jej nejvíce ovlivňuje spotřeba a následně pak vládní výdaje a investice. V předešlé kapitole </w:t>
      </w:r>
      <w:r w:rsidRPr="00B7218F">
        <w:lastRenderedPageBreak/>
        <w:t xml:space="preserve">byl charakterizován vývoj spotřeby. Nyní se tato práce zaměří na druhou nejvíce korelovanou složku, a to vládní výdaje. V následující tabulce je přehledně </w:t>
      </w:r>
      <w:r>
        <w:t xml:space="preserve">znázorněn vývoj vládních výdajů, </w:t>
      </w:r>
      <w:proofErr w:type="gramStart"/>
      <w:r>
        <w:t>která</w:t>
      </w:r>
      <w:proofErr w:type="gramEnd"/>
      <w:r>
        <w:t xml:space="preserve"> je rozdělena na kolektivní a individuální výdaje. </w:t>
      </w:r>
    </w:p>
    <w:p w:rsidR="00FD7B45" w:rsidRPr="00B7218F" w:rsidRDefault="00FD7B45" w:rsidP="00BF1E38">
      <w:pPr>
        <w:pStyle w:val="Nadpis5"/>
      </w:pPr>
      <w:bookmarkStart w:id="104" w:name="_Toc281768952"/>
      <w:bookmarkStart w:id="105" w:name="_Toc282364925"/>
      <w:proofErr w:type="spellStart"/>
      <w:proofErr w:type="gramStart"/>
      <w:r w:rsidRPr="00B7218F">
        <w:t>Tab.8</w:t>
      </w:r>
      <w:proofErr w:type="spellEnd"/>
      <w:r w:rsidRPr="00B7218F">
        <w:t>:</w:t>
      </w:r>
      <w:proofErr w:type="gramEnd"/>
      <w:r w:rsidRPr="00B7218F">
        <w:t xml:space="preserve"> Přehled vládních výdajů</w:t>
      </w:r>
      <w:bookmarkEnd w:id="104"/>
      <w:bookmarkEnd w:id="105"/>
    </w:p>
    <w:tbl>
      <w:tblPr>
        <w:tblW w:w="8020" w:type="dxa"/>
        <w:jc w:val="center"/>
        <w:tblInd w:w="60" w:type="dxa"/>
        <w:tblCellMar>
          <w:left w:w="70" w:type="dxa"/>
          <w:right w:w="70" w:type="dxa"/>
        </w:tblCellMar>
        <w:tblLook w:val="00A0"/>
      </w:tblPr>
      <w:tblGrid>
        <w:gridCol w:w="2420"/>
        <w:gridCol w:w="1120"/>
        <w:gridCol w:w="1120"/>
        <w:gridCol w:w="1120"/>
        <w:gridCol w:w="1120"/>
        <w:gridCol w:w="1120"/>
      </w:tblGrid>
      <w:tr w:rsidR="00FD7B45" w:rsidRPr="00501694" w:rsidTr="005C27A4">
        <w:trPr>
          <w:trHeight w:val="300"/>
          <w:jc w:val="center"/>
        </w:trPr>
        <w:tc>
          <w:tcPr>
            <w:tcW w:w="2420" w:type="dxa"/>
            <w:tcBorders>
              <w:top w:val="single" w:sz="8" w:space="0" w:color="auto"/>
              <w:left w:val="single" w:sz="8" w:space="0" w:color="auto"/>
              <w:bottom w:val="nil"/>
              <w:right w:val="single" w:sz="4" w:space="0" w:color="auto"/>
            </w:tcBorders>
            <w:shd w:val="clear" w:color="000000" w:fill="DBE5F1"/>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Rok</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2005</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2006</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FF0000"/>
                <w:sz w:val="20"/>
                <w:szCs w:val="20"/>
                <w:lang w:eastAsia="cs-CZ"/>
              </w:rPr>
            </w:pPr>
            <w:r w:rsidRPr="00B7218F">
              <w:rPr>
                <w:rFonts w:ascii="Verdana" w:hAnsi="Verdana"/>
                <w:b/>
                <w:bCs/>
                <w:color w:val="FF0000"/>
                <w:sz w:val="20"/>
                <w:szCs w:val="20"/>
                <w:lang w:eastAsia="cs-CZ"/>
              </w:rPr>
              <w:t>2007</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2008</w:t>
            </w:r>
          </w:p>
        </w:tc>
        <w:tc>
          <w:tcPr>
            <w:tcW w:w="1120" w:type="dxa"/>
            <w:tcBorders>
              <w:top w:val="single" w:sz="8" w:space="0" w:color="auto"/>
              <w:left w:val="nil"/>
              <w:bottom w:val="nil"/>
              <w:right w:val="single" w:sz="8"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2009</w:t>
            </w:r>
          </w:p>
        </w:tc>
      </w:tr>
      <w:tr w:rsidR="00FD7B45" w:rsidRPr="00501694" w:rsidTr="005C27A4">
        <w:trPr>
          <w:trHeight w:val="900"/>
          <w:jc w:val="center"/>
        </w:trPr>
        <w:tc>
          <w:tcPr>
            <w:tcW w:w="2420" w:type="dxa"/>
            <w:tcBorders>
              <w:top w:val="single" w:sz="4" w:space="0" w:color="auto"/>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Kolektivní výdaje na konečnou spotřebu vládních institucí</w:t>
            </w:r>
          </w:p>
        </w:tc>
        <w:tc>
          <w:tcPr>
            <w:tcW w:w="1120" w:type="dxa"/>
            <w:tcBorders>
              <w:top w:val="single" w:sz="4"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2151,90</w:t>
            </w:r>
          </w:p>
        </w:tc>
        <w:tc>
          <w:tcPr>
            <w:tcW w:w="1120" w:type="dxa"/>
            <w:tcBorders>
              <w:top w:val="single" w:sz="4"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2332,20</w:t>
            </w:r>
          </w:p>
        </w:tc>
        <w:tc>
          <w:tcPr>
            <w:tcW w:w="1120" w:type="dxa"/>
            <w:tcBorders>
              <w:top w:val="single" w:sz="4"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2312,55</w:t>
            </w:r>
          </w:p>
        </w:tc>
        <w:tc>
          <w:tcPr>
            <w:tcW w:w="1120" w:type="dxa"/>
            <w:tcBorders>
              <w:top w:val="single" w:sz="4"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2542,48</w:t>
            </w:r>
          </w:p>
        </w:tc>
        <w:tc>
          <w:tcPr>
            <w:tcW w:w="1120" w:type="dxa"/>
            <w:tcBorders>
              <w:top w:val="single" w:sz="4" w:space="0" w:color="auto"/>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2788,11</w:t>
            </w:r>
          </w:p>
        </w:tc>
      </w:tr>
      <w:tr w:rsidR="00FD7B45" w:rsidRPr="00501694" w:rsidTr="005C27A4">
        <w:trPr>
          <w:trHeight w:val="300"/>
          <w:jc w:val="center"/>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8,38%</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-0,84%</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9,94%</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9,66%</w:t>
            </w:r>
          </w:p>
        </w:tc>
      </w:tr>
      <w:tr w:rsidR="00FD7B45" w:rsidRPr="00501694" w:rsidTr="005C27A4">
        <w:trPr>
          <w:trHeight w:val="900"/>
          <w:jc w:val="center"/>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Individuální výdaje na konečnou spotřebu vládních institucí</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3167,51</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3350,54</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3468,92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3851,37</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4316,25</w:t>
            </w:r>
          </w:p>
        </w:tc>
      </w:tr>
      <w:tr w:rsidR="00FD7B45" w:rsidRPr="00501694" w:rsidTr="005C27A4">
        <w:trPr>
          <w:trHeight w:val="315"/>
          <w:jc w:val="center"/>
        </w:trPr>
        <w:tc>
          <w:tcPr>
            <w:tcW w:w="2420" w:type="dxa"/>
            <w:tcBorders>
              <w:top w:val="nil"/>
              <w:left w:val="single" w:sz="8" w:space="0" w:color="auto"/>
              <w:bottom w:val="nil"/>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5,78%</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3,53%</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11,03%</w:t>
            </w:r>
          </w:p>
        </w:tc>
        <w:tc>
          <w:tcPr>
            <w:tcW w:w="1120" w:type="dxa"/>
            <w:tcBorders>
              <w:top w:val="nil"/>
              <w:left w:val="nil"/>
              <w:bottom w:val="nil"/>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12,07%</w:t>
            </w:r>
          </w:p>
        </w:tc>
      </w:tr>
      <w:tr w:rsidR="00FD7B45" w:rsidRPr="00501694" w:rsidTr="005C27A4">
        <w:trPr>
          <w:trHeight w:val="300"/>
          <w:jc w:val="center"/>
        </w:trPr>
        <w:tc>
          <w:tcPr>
            <w:tcW w:w="2420" w:type="dxa"/>
            <w:tcBorders>
              <w:top w:val="single" w:sz="8" w:space="0" w:color="auto"/>
              <w:left w:val="single" w:sz="8" w:space="0" w:color="auto"/>
              <w:bottom w:val="single" w:sz="4" w:space="0" w:color="auto"/>
              <w:right w:val="single" w:sz="4" w:space="0" w:color="auto"/>
            </w:tcBorders>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xml:space="preserve">Celkem </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5319,32</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5682,63</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5781,47</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6393,85</w:t>
            </w:r>
          </w:p>
        </w:tc>
        <w:tc>
          <w:tcPr>
            <w:tcW w:w="1120" w:type="dxa"/>
            <w:tcBorders>
              <w:top w:val="single" w:sz="8" w:space="0" w:color="auto"/>
              <w:left w:val="nil"/>
              <w:bottom w:val="single" w:sz="4" w:space="0" w:color="auto"/>
              <w:right w:val="single" w:sz="8"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7104,36</w:t>
            </w:r>
          </w:p>
        </w:tc>
      </w:tr>
      <w:tr w:rsidR="00FD7B45" w:rsidRPr="00501694" w:rsidTr="005C27A4">
        <w:trPr>
          <w:trHeight w:val="315"/>
          <w:jc w:val="center"/>
        </w:trPr>
        <w:tc>
          <w:tcPr>
            <w:tcW w:w="2420" w:type="dxa"/>
            <w:tcBorders>
              <w:top w:val="nil"/>
              <w:left w:val="single" w:sz="8" w:space="0" w:color="auto"/>
              <w:bottom w:val="single" w:sz="8" w:space="0" w:color="auto"/>
              <w:right w:val="single" w:sz="4" w:space="0" w:color="auto"/>
            </w:tcBorders>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Meziroční % nárůst</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6,83%</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1,74%</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10,59%</w:t>
            </w:r>
          </w:p>
        </w:tc>
        <w:tc>
          <w:tcPr>
            <w:tcW w:w="1120" w:type="dxa"/>
            <w:tcBorders>
              <w:top w:val="nil"/>
              <w:left w:val="nil"/>
              <w:bottom w:val="single" w:sz="8" w:space="0" w:color="auto"/>
              <w:right w:val="single" w:sz="8"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11,11%</w:t>
            </w:r>
          </w:p>
        </w:tc>
      </w:tr>
    </w:tbl>
    <w:p w:rsidR="00FD7B45" w:rsidRPr="00B7218F" w:rsidRDefault="00FD7B45" w:rsidP="00BF1E38"/>
    <w:p w:rsidR="00FD7B45" w:rsidRDefault="00FD7B45" w:rsidP="00BF1E38">
      <w:pPr>
        <w:pStyle w:val="Podtitul"/>
      </w:pPr>
      <w:r w:rsidRPr="00B7218F">
        <w:t>Zdroj Vlastní konstrukce : Statistický Slovinský úřad[online],Nár</w:t>
      </w:r>
      <w:r>
        <w:t>o</w:t>
      </w:r>
      <w:r w:rsidRPr="00B7218F">
        <w:t xml:space="preserve">dní </w:t>
      </w:r>
      <w:r>
        <w:t>ú</w:t>
      </w:r>
      <w:r w:rsidRPr="00B7218F">
        <w:t>čty,</w:t>
      </w:r>
      <w:r>
        <w:t>2010</w:t>
      </w:r>
      <w:r w:rsidRPr="00B7218F">
        <w:t xml:space="preserve"> ,[cit. </w:t>
      </w:r>
      <w:proofErr w:type="gramStart"/>
      <w:r w:rsidRPr="00B7218F">
        <w:t>2010-10</w:t>
      </w:r>
      <w:proofErr w:type="gramEnd"/>
      <w:r w:rsidRPr="00B7218F">
        <w:t xml:space="preserve">-30]. Dostupný z  </w:t>
      </w:r>
      <w:hyperlink r:id="rId26" w:history="1">
        <w:r w:rsidRPr="00B7218F">
          <w:rPr>
            <w:rStyle w:val="Hypertextovodkaz"/>
            <w:szCs w:val="20"/>
          </w:rPr>
          <w:t>http://www.stat.si/pxweb/Database/Ekonomsko/Ekonomsko.asp</w:t>
        </w:r>
      </w:hyperlink>
    </w:p>
    <w:p w:rsidR="00FD7B45" w:rsidRDefault="00FD7B45" w:rsidP="00BF1E38"/>
    <w:p w:rsidR="00FD7B45" w:rsidRPr="00B7218F" w:rsidRDefault="00FD7B45" w:rsidP="00BF1E38">
      <w:r>
        <w:t xml:space="preserve">Kolektivní výdaje v sobě obsahují </w:t>
      </w:r>
      <w:proofErr w:type="spellStart"/>
      <w:r>
        <w:t>mezispotřebu</w:t>
      </w:r>
      <w:proofErr w:type="spellEnd"/>
      <w:r>
        <w:t xml:space="preserve"> a spotřebu fixního kapitálu. Individuální výdaje v sobě obsahují náhrady zaměstnancům, převody tržních</w:t>
      </w:r>
      <w:r w:rsidRPr="0025633A">
        <w:t xml:space="preserve"> výrobk</w:t>
      </w:r>
      <w:r>
        <w:t>ů</w:t>
      </w:r>
      <w:r w:rsidRPr="0025633A">
        <w:t xml:space="preserve"> v naturáliích prostřednictvím tržních výrobců</w:t>
      </w:r>
      <w:r>
        <w:t>, ostatní daně z výroby a čisté daně z výroby. Od celkového součtu je potřeba odečíst</w:t>
      </w:r>
      <w:r w:rsidRPr="00580BD2">
        <w:t xml:space="preserve"> tržní produkc</w:t>
      </w:r>
      <w:r>
        <w:t>i</w:t>
      </w:r>
      <w:r w:rsidRPr="00580BD2">
        <w:t>, produkc</w:t>
      </w:r>
      <w:r>
        <w:t>i</w:t>
      </w:r>
      <w:r w:rsidRPr="00580BD2">
        <w:t xml:space="preserve"> pro vlastní konečné </w:t>
      </w:r>
      <w:proofErr w:type="gramStart"/>
      <w:r w:rsidRPr="00580BD2">
        <w:t>užití</w:t>
      </w:r>
      <w:r>
        <w:t xml:space="preserve">       </w:t>
      </w:r>
      <w:r w:rsidRPr="00580BD2">
        <w:t xml:space="preserve"> a ostatní</w:t>
      </w:r>
      <w:proofErr w:type="gramEnd"/>
      <w:r w:rsidRPr="00580BD2">
        <w:t xml:space="preserve"> non-tržní produkce</w:t>
      </w:r>
    </w:p>
    <w:p w:rsidR="00FD7B45" w:rsidRDefault="00FD7B45" w:rsidP="00BF1E38"/>
    <w:p w:rsidR="00FD7B45" w:rsidRDefault="00FD7B45" w:rsidP="00BF1E38">
      <w:r w:rsidRPr="00B7218F">
        <w:t xml:space="preserve">Celkové vládní výdaje na domácí úrovní se dají </w:t>
      </w:r>
      <w:r>
        <w:t xml:space="preserve">také </w:t>
      </w:r>
      <w:r w:rsidRPr="00B7218F">
        <w:t xml:space="preserve">rozčlenit na transfery a ostatní výdaje. Transfery jsou sociální dávky vydávány státem občanům, kteří potřebují sociální pomoc. </w:t>
      </w:r>
      <w:r>
        <w:t xml:space="preserve">  </w:t>
      </w:r>
      <w:r w:rsidRPr="00B7218F">
        <w:t>Z hlediska celkových vládních výdajů jsou transfery nejvíce korelovanou složkou k vývoji spotřeby. Ostatní vládní výdaje lze rozčlenit na individuální a kolektivní výdaje. Vývoj těchto složek bude analyzován v jednotlivých obdobích, jako byla analyzována spotřeba. To znamená, že se budou analyzovat údaje, které se vychýlily v rozmezí ± 45 %. Vládní výdaje lze rozdělit i na podrobnější členění viz následující tabulka</w:t>
      </w:r>
    </w:p>
    <w:p w:rsidR="00FD7B45" w:rsidRDefault="00FD7B45" w:rsidP="00BF1E38">
      <w:pPr>
        <w:pStyle w:val="Nadpis5"/>
      </w:pPr>
      <w:bookmarkStart w:id="106" w:name="_Toc281768953"/>
    </w:p>
    <w:p w:rsidR="00C046AA" w:rsidRPr="00C046AA" w:rsidRDefault="00C046AA" w:rsidP="00C046AA">
      <w:pPr>
        <w:rPr>
          <w:lang w:eastAsia="cs-CZ"/>
        </w:rPr>
      </w:pPr>
    </w:p>
    <w:p w:rsidR="00FD7B45" w:rsidRPr="00814C22" w:rsidRDefault="00FD7B45" w:rsidP="00BF1E38">
      <w:pPr>
        <w:pStyle w:val="Nadpis5"/>
      </w:pPr>
      <w:bookmarkStart w:id="107" w:name="_Toc282364926"/>
      <w:proofErr w:type="spellStart"/>
      <w:proofErr w:type="gramStart"/>
      <w:r w:rsidRPr="00B7218F">
        <w:lastRenderedPageBreak/>
        <w:t>Tab.9</w:t>
      </w:r>
      <w:proofErr w:type="spellEnd"/>
      <w:r w:rsidRPr="00B7218F">
        <w:t>:</w:t>
      </w:r>
      <w:proofErr w:type="gramEnd"/>
      <w:r w:rsidRPr="00B7218F">
        <w:t xml:space="preserve"> Podrobný přehled vládních výdajů</w:t>
      </w:r>
      <w:bookmarkEnd w:id="106"/>
      <w:bookmarkEnd w:id="107"/>
    </w:p>
    <w:tbl>
      <w:tblPr>
        <w:tblW w:w="8786" w:type="dxa"/>
        <w:tblInd w:w="60" w:type="dxa"/>
        <w:tblCellMar>
          <w:left w:w="70" w:type="dxa"/>
          <w:right w:w="70" w:type="dxa"/>
        </w:tblCellMar>
        <w:tblLook w:val="00A0"/>
      </w:tblPr>
      <w:tblGrid>
        <w:gridCol w:w="2651"/>
        <w:gridCol w:w="1227"/>
        <w:gridCol w:w="1227"/>
        <w:gridCol w:w="1227"/>
        <w:gridCol w:w="1227"/>
        <w:gridCol w:w="1227"/>
      </w:tblGrid>
      <w:tr w:rsidR="00FD7B45" w:rsidRPr="00501694" w:rsidTr="005C27A4">
        <w:trPr>
          <w:trHeight w:val="308"/>
        </w:trPr>
        <w:tc>
          <w:tcPr>
            <w:tcW w:w="2651" w:type="dxa"/>
            <w:tcBorders>
              <w:top w:val="single" w:sz="8" w:space="0" w:color="auto"/>
              <w:left w:val="single" w:sz="8" w:space="0" w:color="auto"/>
              <w:bottom w:val="nil"/>
              <w:right w:val="single" w:sz="4" w:space="0" w:color="auto"/>
            </w:tcBorders>
            <w:shd w:val="clear" w:color="000000" w:fill="DBE5F1"/>
            <w:noWrap/>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Rok</w:t>
            </w:r>
          </w:p>
        </w:tc>
        <w:tc>
          <w:tcPr>
            <w:tcW w:w="1227" w:type="dxa"/>
            <w:tcBorders>
              <w:top w:val="single" w:sz="8" w:space="0" w:color="auto"/>
              <w:left w:val="nil"/>
              <w:bottom w:val="nil"/>
              <w:right w:val="single" w:sz="4" w:space="0" w:color="000000"/>
            </w:tcBorders>
            <w:shd w:val="clear" w:color="000000" w:fill="D1E1E7"/>
            <w:vAlign w:val="center"/>
          </w:tcPr>
          <w:p w:rsidR="00FD7B45" w:rsidRPr="005B6265" w:rsidRDefault="00FD7B45" w:rsidP="005C27A4">
            <w:pPr>
              <w:spacing w:line="240" w:lineRule="auto"/>
              <w:jc w:val="center"/>
              <w:rPr>
                <w:rFonts w:ascii="Verdana" w:hAnsi="Verdana"/>
                <w:b/>
                <w:bCs/>
                <w:color w:val="000000"/>
                <w:sz w:val="20"/>
                <w:szCs w:val="20"/>
                <w:lang w:eastAsia="cs-CZ"/>
              </w:rPr>
            </w:pPr>
            <w:r w:rsidRPr="005B6265">
              <w:rPr>
                <w:rFonts w:ascii="Verdana" w:hAnsi="Verdana"/>
                <w:b/>
                <w:bCs/>
                <w:color w:val="000000"/>
                <w:sz w:val="20"/>
                <w:szCs w:val="20"/>
                <w:lang w:eastAsia="cs-CZ"/>
              </w:rPr>
              <w:t>2005</w:t>
            </w:r>
          </w:p>
        </w:tc>
        <w:tc>
          <w:tcPr>
            <w:tcW w:w="1227" w:type="dxa"/>
            <w:tcBorders>
              <w:top w:val="single" w:sz="8" w:space="0" w:color="auto"/>
              <w:left w:val="nil"/>
              <w:bottom w:val="nil"/>
              <w:right w:val="single" w:sz="4" w:space="0" w:color="000000"/>
            </w:tcBorders>
            <w:shd w:val="clear" w:color="000000" w:fill="D1E1E7"/>
            <w:vAlign w:val="center"/>
          </w:tcPr>
          <w:p w:rsidR="00FD7B45" w:rsidRPr="005B6265" w:rsidRDefault="00FD7B45" w:rsidP="005C27A4">
            <w:pPr>
              <w:spacing w:line="240" w:lineRule="auto"/>
              <w:jc w:val="center"/>
              <w:rPr>
                <w:rFonts w:ascii="Verdana" w:hAnsi="Verdana"/>
                <w:b/>
                <w:bCs/>
                <w:color w:val="000000"/>
                <w:sz w:val="20"/>
                <w:szCs w:val="20"/>
                <w:lang w:eastAsia="cs-CZ"/>
              </w:rPr>
            </w:pPr>
            <w:r w:rsidRPr="005B6265">
              <w:rPr>
                <w:rFonts w:ascii="Verdana" w:hAnsi="Verdana"/>
                <w:b/>
                <w:bCs/>
                <w:color w:val="000000"/>
                <w:sz w:val="20"/>
                <w:szCs w:val="20"/>
                <w:lang w:eastAsia="cs-CZ"/>
              </w:rPr>
              <w:t>2006</w:t>
            </w:r>
          </w:p>
        </w:tc>
        <w:tc>
          <w:tcPr>
            <w:tcW w:w="1227" w:type="dxa"/>
            <w:tcBorders>
              <w:top w:val="single" w:sz="8" w:space="0" w:color="auto"/>
              <w:left w:val="nil"/>
              <w:bottom w:val="nil"/>
              <w:right w:val="single" w:sz="4" w:space="0" w:color="000000"/>
            </w:tcBorders>
            <w:shd w:val="clear" w:color="000000" w:fill="D1E1E7"/>
            <w:vAlign w:val="center"/>
          </w:tcPr>
          <w:p w:rsidR="00FD7B45" w:rsidRPr="005B6265" w:rsidRDefault="00FD7B45" w:rsidP="005C27A4">
            <w:pPr>
              <w:spacing w:line="240" w:lineRule="auto"/>
              <w:jc w:val="center"/>
              <w:rPr>
                <w:rFonts w:ascii="Verdana" w:hAnsi="Verdana"/>
                <w:b/>
                <w:bCs/>
                <w:color w:val="FF0000"/>
                <w:sz w:val="20"/>
                <w:szCs w:val="20"/>
                <w:lang w:eastAsia="cs-CZ"/>
              </w:rPr>
            </w:pPr>
            <w:r w:rsidRPr="005B6265">
              <w:rPr>
                <w:rFonts w:ascii="Verdana" w:hAnsi="Verdana"/>
                <w:b/>
                <w:bCs/>
                <w:color w:val="FF0000"/>
                <w:sz w:val="20"/>
                <w:szCs w:val="20"/>
                <w:lang w:eastAsia="cs-CZ"/>
              </w:rPr>
              <w:t>2007</w:t>
            </w:r>
          </w:p>
        </w:tc>
        <w:tc>
          <w:tcPr>
            <w:tcW w:w="1227" w:type="dxa"/>
            <w:tcBorders>
              <w:top w:val="single" w:sz="8" w:space="0" w:color="auto"/>
              <w:left w:val="nil"/>
              <w:bottom w:val="nil"/>
              <w:right w:val="single" w:sz="4" w:space="0" w:color="000000"/>
            </w:tcBorders>
            <w:shd w:val="clear" w:color="000000" w:fill="D1E1E7"/>
            <w:vAlign w:val="center"/>
          </w:tcPr>
          <w:p w:rsidR="00FD7B45" w:rsidRPr="005B6265" w:rsidRDefault="00FD7B45" w:rsidP="005C27A4">
            <w:pPr>
              <w:spacing w:line="240" w:lineRule="auto"/>
              <w:jc w:val="center"/>
              <w:rPr>
                <w:rFonts w:ascii="Verdana" w:hAnsi="Verdana"/>
                <w:b/>
                <w:bCs/>
                <w:color w:val="000000"/>
                <w:sz w:val="20"/>
                <w:szCs w:val="20"/>
                <w:lang w:eastAsia="cs-CZ"/>
              </w:rPr>
            </w:pPr>
            <w:r w:rsidRPr="005B6265">
              <w:rPr>
                <w:rFonts w:ascii="Verdana" w:hAnsi="Verdana"/>
                <w:b/>
                <w:bCs/>
                <w:color w:val="000000"/>
                <w:sz w:val="20"/>
                <w:szCs w:val="20"/>
                <w:lang w:eastAsia="cs-CZ"/>
              </w:rPr>
              <w:t>2008</w:t>
            </w:r>
          </w:p>
        </w:tc>
        <w:tc>
          <w:tcPr>
            <w:tcW w:w="1227" w:type="dxa"/>
            <w:tcBorders>
              <w:top w:val="single" w:sz="8" w:space="0" w:color="auto"/>
              <w:left w:val="nil"/>
              <w:bottom w:val="nil"/>
              <w:right w:val="single" w:sz="8" w:space="0" w:color="auto"/>
            </w:tcBorders>
            <w:shd w:val="clear" w:color="000000" w:fill="D1E1E7"/>
            <w:vAlign w:val="center"/>
          </w:tcPr>
          <w:p w:rsidR="00FD7B45" w:rsidRPr="005B6265" w:rsidRDefault="00FD7B45" w:rsidP="005C27A4">
            <w:pPr>
              <w:spacing w:line="240" w:lineRule="auto"/>
              <w:jc w:val="center"/>
              <w:rPr>
                <w:rFonts w:ascii="Verdana" w:hAnsi="Verdana"/>
                <w:b/>
                <w:bCs/>
                <w:color w:val="000000"/>
                <w:sz w:val="20"/>
                <w:szCs w:val="20"/>
                <w:lang w:eastAsia="cs-CZ"/>
              </w:rPr>
            </w:pPr>
            <w:r w:rsidRPr="005B6265">
              <w:rPr>
                <w:rFonts w:ascii="Verdana" w:hAnsi="Verdana"/>
                <w:b/>
                <w:bCs/>
                <w:color w:val="000000"/>
                <w:sz w:val="20"/>
                <w:szCs w:val="20"/>
                <w:lang w:eastAsia="cs-CZ"/>
              </w:rPr>
              <w:t>2009</w:t>
            </w:r>
          </w:p>
        </w:tc>
      </w:tr>
      <w:tr w:rsidR="00FD7B45" w:rsidRPr="00501694" w:rsidTr="005C27A4">
        <w:trPr>
          <w:trHeight w:val="308"/>
        </w:trPr>
        <w:tc>
          <w:tcPr>
            <w:tcW w:w="2651" w:type="dxa"/>
            <w:tcBorders>
              <w:top w:val="single" w:sz="4" w:space="0" w:color="auto"/>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Náhrady zaměstnancům</w:t>
            </w:r>
          </w:p>
        </w:tc>
        <w:tc>
          <w:tcPr>
            <w:tcW w:w="1227" w:type="dxa"/>
            <w:tcBorders>
              <w:top w:val="single" w:sz="4" w:space="0" w:color="auto"/>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3224,00</w:t>
            </w:r>
          </w:p>
        </w:tc>
        <w:tc>
          <w:tcPr>
            <w:tcW w:w="1227" w:type="dxa"/>
            <w:tcBorders>
              <w:top w:val="single" w:sz="4" w:space="0" w:color="auto"/>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3395,02</w:t>
            </w:r>
          </w:p>
        </w:tc>
        <w:tc>
          <w:tcPr>
            <w:tcW w:w="1227" w:type="dxa"/>
            <w:tcBorders>
              <w:top w:val="single" w:sz="4" w:space="0" w:color="auto"/>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3514,48</w:t>
            </w:r>
          </w:p>
        </w:tc>
        <w:tc>
          <w:tcPr>
            <w:tcW w:w="1227" w:type="dxa"/>
            <w:tcBorders>
              <w:top w:val="single" w:sz="4" w:space="0" w:color="auto"/>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3889,88</w:t>
            </w:r>
          </w:p>
        </w:tc>
        <w:tc>
          <w:tcPr>
            <w:tcW w:w="1227" w:type="dxa"/>
            <w:tcBorders>
              <w:top w:val="single" w:sz="4" w:space="0" w:color="auto"/>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4360,16</w:t>
            </w:r>
          </w:p>
        </w:tc>
      </w:tr>
      <w:tr w:rsidR="00FD7B45" w:rsidRPr="00501694" w:rsidTr="005C27A4">
        <w:trPr>
          <w:trHeight w:val="308"/>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Meziroční % nárůst</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 </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5,30%</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3,52%</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10,68%</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12,09%</w:t>
            </w:r>
          </w:p>
        </w:tc>
      </w:tr>
      <w:tr w:rsidR="00FD7B45" w:rsidRPr="00501694" w:rsidTr="005C27A4">
        <w:trPr>
          <w:trHeight w:val="308"/>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proofErr w:type="spellStart"/>
            <w:r w:rsidRPr="005B6265">
              <w:rPr>
                <w:rFonts w:ascii="Calibri" w:hAnsi="Calibri"/>
                <w:color w:val="000000"/>
                <w:sz w:val="22"/>
                <w:lang w:eastAsia="cs-CZ"/>
              </w:rPr>
              <w:t>Mezispotřeba</w:t>
            </w:r>
            <w:proofErr w:type="spellEnd"/>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1734,83</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1886,83</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1871,24</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2124,22</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2289,20</w:t>
            </w:r>
          </w:p>
        </w:tc>
      </w:tr>
      <w:tr w:rsidR="00FD7B45" w:rsidRPr="00501694" w:rsidTr="005C27A4">
        <w:trPr>
          <w:trHeight w:val="308"/>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Meziroční % nárůst</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 </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8,76%</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-0,83%</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13,52%</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7,77%</w:t>
            </w:r>
          </w:p>
        </w:tc>
      </w:tr>
      <w:tr w:rsidR="00FD7B45" w:rsidRPr="00501694" w:rsidTr="005C27A4">
        <w:trPr>
          <w:trHeight w:val="912"/>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Pr>
                <w:rFonts w:ascii="Calibri" w:hAnsi="Calibri"/>
                <w:color w:val="000000"/>
                <w:sz w:val="22"/>
                <w:lang w:eastAsia="cs-CZ"/>
              </w:rPr>
              <w:t xml:space="preserve">Převody </w:t>
            </w:r>
            <w:proofErr w:type="gramStart"/>
            <w:r>
              <w:rPr>
                <w:rFonts w:ascii="Calibri" w:hAnsi="Calibri"/>
                <w:color w:val="000000"/>
                <w:sz w:val="22"/>
                <w:lang w:eastAsia="cs-CZ"/>
              </w:rPr>
              <w:t xml:space="preserve">tržních </w:t>
            </w:r>
            <w:r w:rsidRPr="005B6265">
              <w:rPr>
                <w:rFonts w:ascii="Calibri" w:hAnsi="Calibri"/>
                <w:color w:val="000000"/>
                <w:sz w:val="22"/>
                <w:lang w:eastAsia="cs-CZ"/>
              </w:rPr>
              <w:t xml:space="preserve"> výrobk</w:t>
            </w:r>
            <w:r>
              <w:rPr>
                <w:rFonts w:ascii="Calibri" w:hAnsi="Calibri"/>
                <w:color w:val="000000"/>
                <w:sz w:val="22"/>
                <w:lang w:eastAsia="cs-CZ"/>
              </w:rPr>
              <w:t>ů</w:t>
            </w:r>
            <w:proofErr w:type="gramEnd"/>
            <w:r>
              <w:rPr>
                <w:rFonts w:ascii="Calibri" w:hAnsi="Calibri"/>
                <w:color w:val="000000"/>
                <w:sz w:val="22"/>
                <w:lang w:eastAsia="cs-CZ"/>
              </w:rPr>
              <w:t xml:space="preserve"> </w:t>
            </w:r>
            <w:r w:rsidRPr="005B6265">
              <w:rPr>
                <w:rFonts w:ascii="Calibri" w:hAnsi="Calibri"/>
                <w:color w:val="000000"/>
                <w:sz w:val="22"/>
                <w:lang w:eastAsia="cs-CZ"/>
              </w:rPr>
              <w:t xml:space="preserve"> v naturáliích prostřednictvím tržních výrobců</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578,24</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619,02</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639,00</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680,98</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781,86</w:t>
            </w:r>
          </w:p>
        </w:tc>
      </w:tr>
      <w:tr w:rsidR="00FD7B45" w:rsidRPr="00501694" w:rsidTr="005C27A4">
        <w:trPr>
          <w:trHeight w:val="70"/>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Meziroční % nárůst</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 </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7,05%</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3,23%</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6,57%</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14,81%</w:t>
            </w:r>
          </w:p>
        </w:tc>
      </w:tr>
      <w:tr w:rsidR="00FD7B45" w:rsidRPr="00501694" w:rsidTr="005C27A4">
        <w:trPr>
          <w:trHeight w:val="617"/>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Spotřeba fixního kapitálu</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431,02</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472,10</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511,49</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572,19</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640,73</w:t>
            </w:r>
          </w:p>
        </w:tc>
      </w:tr>
      <w:tr w:rsidR="00FD7B45" w:rsidRPr="00501694" w:rsidTr="005C27A4">
        <w:trPr>
          <w:trHeight w:val="308"/>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Meziroční % nárůst</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 </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9,53%</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8,34%</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11,87%</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11,98%</w:t>
            </w:r>
          </w:p>
        </w:tc>
      </w:tr>
      <w:tr w:rsidR="00FD7B45" w:rsidRPr="00501694" w:rsidTr="005C27A4">
        <w:trPr>
          <w:trHeight w:val="308"/>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Ostatní daně z výroby</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152,10</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131,41</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109,56</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66,89</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9,32</w:t>
            </w:r>
          </w:p>
        </w:tc>
      </w:tr>
      <w:tr w:rsidR="00FD7B45" w:rsidRPr="00501694" w:rsidTr="005C27A4">
        <w:trPr>
          <w:trHeight w:val="308"/>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Meziroční % nárůst</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 </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-13,60%</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-16,63%</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-38,95%</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-86,07%</w:t>
            </w:r>
          </w:p>
        </w:tc>
      </w:tr>
      <w:tr w:rsidR="00FD7B45" w:rsidRPr="00501694" w:rsidTr="005C27A4">
        <w:trPr>
          <w:trHeight w:val="1233"/>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Minus: tržní produkce, produkce pro vlastní konečné užití a ostatní non-tržní produkce</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-804,59</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-826,44</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-869,98</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-942,10</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-980,28</w:t>
            </w:r>
          </w:p>
        </w:tc>
      </w:tr>
      <w:tr w:rsidR="00FD7B45" w:rsidRPr="00501694" w:rsidTr="005C27A4">
        <w:trPr>
          <w:trHeight w:val="308"/>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Meziroční % nárůst</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 </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2,72%</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5,27%</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8,29%</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4,05%</w:t>
            </w:r>
          </w:p>
        </w:tc>
      </w:tr>
      <w:tr w:rsidR="00FD7B45" w:rsidRPr="00501694" w:rsidTr="005C27A4">
        <w:trPr>
          <w:trHeight w:val="308"/>
        </w:trPr>
        <w:tc>
          <w:tcPr>
            <w:tcW w:w="2651" w:type="dxa"/>
            <w:tcBorders>
              <w:top w:val="nil"/>
              <w:left w:val="single" w:sz="8" w:space="0" w:color="auto"/>
              <w:bottom w:val="single" w:sz="4" w:space="0" w:color="auto"/>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Čistý provozní přebytek</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3,80</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4,59</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5,60</w:t>
            </w:r>
          </w:p>
        </w:tc>
        <w:tc>
          <w:tcPr>
            <w:tcW w:w="1227" w:type="dxa"/>
            <w:tcBorders>
              <w:top w:val="nil"/>
              <w:left w:val="nil"/>
              <w:bottom w:val="single" w:sz="4" w:space="0" w:color="auto"/>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1,70</w:t>
            </w:r>
          </w:p>
        </w:tc>
        <w:tc>
          <w:tcPr>
            <w:tcW w:w="1227" w:type="dxa"/>
            <w:tcBorders>
              <w:top w:val="nil"/>
              <w:left w:val="nil"/>
              <w:bottom w:val="single" w:sz="4" w:space="0" w:color="auto"/>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3,37</w:t>
            </w:r>
          </w:p>
        </w:tc>
      </w:tr>
      <w:tr w:rsidR="00FD7B45" w:rsidRPr="00501694" w:rsidTr="005C27A4">
        <w:trPr>
          <w:trHeight w:val="324"/>
        </w:trPr>
        <w:tc>
          <w:tcPr>
            <w:tcW w:w="2651" w:type="dxa"/>
            <w:tcBorders>
              <w:top w:val="nil"/>
              <w:left w:val="single" w:sz="8" w:space="0" w:color="auto"/>
              <w:bottom w:val="nil"/>
              <w:right w:val="single" w:sz="4" w:space="0" w:color="auto"/>
            </w:tcBorders>
            <w:shd w:val="clear" w:color="000000" w:fill="FAC090"/>
            <w:vAlign w:val="bottom"/>
          </w:tcPr>
          <w:p w:rsidR="00FD7B45" w:rsidRPr="005B6265" w:rsidRDefault="00FD7B45" w:rsidP="005C27A4">
            <w:pPr>
              <w:spacing w:line="240" w:lineRule="auto"/>
              <w:jc w:val="left"/>
              <w:rPr>
                <w:rFonts w:ascii="Calibri" w:hAnsi="Calibri"/>
                <w:color w:val="000000"/>
                <w:lang w:eastAsia="cs-CZ"/>
              </w:rPr>
            </w:pPr>
            <w:r w:rsidRPr="005B6265">
              <w:rPr>
                <w:rFonts w:ascii="Calibri" w:hAnsi="Calibri"/>
                <w:color w:val="000000"/>
                <w:sz w:val="22"/>
                <w:lang w:eastAsia="cs-CZ"/>
              </w:rPr>
              <w:t>Meziroční % nárůst</w:t>
            </w:r>
          </w:p>
        </w:tc>
        <w:tc>
          <w:tcPr>
            <w:tcW w:w="1227" w:type="dxa"/>
            <w:tcBorders>
              <w:top w:val="nil"/>
              <w:left w:val="nil"/>
              <w:bottom w:val="nil"/>
              <w:right w:val="single" w:sz="4" w:space="0" w:color="auto"/>
            </w:tcBorders>
            <w:shd w:val="clear" w:color="000000" w:fill="FAC090"/>
            <w:noWrap/>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 </w:t>
            </w:r>
          </w:p>
        </w:tc>
        <w:tc>
          <w:tcPr>
            <w:tcW w:w="1227" w:type="dxa"/>
            <w:tcBorders>
              <w:top w:val="nil"/>
              <w:left w:val="nil"/>
              <w:bottom w:val="nil"/>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20,51%</w:t>
            </w:r>
          </w:p>
        </w:tc>
        <w:tc>
          <w:tcPr>
            <w:tcW w:w="1227" w:type="dxa"/>
            <w:tcBorders>
              <w:top w:val="nil"/>
              <w:left w:val="nil"/>
              <w:bottom w:val="nil"/>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22,09%</w:t>
            </w:r>
          </w:p>
        </w:tc>
        <w:tc>
          <w:tcPr>
            <w:tcW w:w="1227" w:type="dxa"/>
            <w:tcBorders>
              <w:top w:val="nil"/>
              <w:left w:val="nil"/>
              <w:bottom w:val="nil"/>
              <w:right w:val="single" w:sz="4"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-69,58%</w:t>
            </w:r>
          </w:p>
        </w:tc>
        <w:tc>
          <w:tcPr>
            <w:tcW w:w="1227" w:type="dxa"/>
            <w:tcBorders>
              <w:top w:val="nil"/>
              <w:left w:val="nil"/>
              <w:bottom w:val="nil"/>
              <w:right w:val="single" w:sz="8" w:space="0" w:color="auto"/>
            </w:tcBorders>
            <w:shd w:val="clear" w:color="000000" w:fill="FAC090"/>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97,87%</w:t>
            </w:r>
          </w:p>
        </w:tc>
      </w:tr>
      <w:tr w:rsidR="00FD7B45" w:rsidRPr="00501694" w:rsidTr="005C27A4">
        <w:trPr>
          <w:trHeight w:val="308"/>
        </w:trPr>
        <w:tc>
          <w:tcPr>
            <w:tcW w:w="2651" w:type="dxa"/>
            <w:tcBorders>
              <w:top w:val="single" w:sz="8" w:space="0" w:color="auto"/>
              <w:left w:val="single" w:sz="8" w:space="0" w:color="auto"/>
              <w:bottom w:val="single" w:sz="4" w:space="0" w:color="auto"/>
              <w:right w:val="single" w:sz="4" w:space="0" w:color="auto"/>
            </w:tcBorders>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 xml:space="preserve">Celkem  </w:t>
            </w:r>
          </w:p>
        </w:tc>
        <w:tc>
          <w:tcPr>
            <w:tcW w:w="1227" w:type="dxa"/>
            <w:tcBorders>
              <w:top w:val="single" w:sz="8" w:space="0" w:color="auto"/>
              <w:left w:val="nil"/>
              <w:bottom w:val="single" w:sz="4" w:space="0" w:color="auto"/>
              <w:right w:val="single" w:sz="4" w:space="0" w:color="auto"/>
            </w:tcBorders>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5319,32</w:t>
            </w:r>
          </w:p>
        </w:tc>
        <w:tc>
          <w:tcPr>
            <w:tcW w:w="1227" w:type="dxa"/>
            <w:tcBorders>
              <w:top w:val="single" w:sz="8" w:space="0" w:color="auto"/>
              <w:left w:val="nil"/>
              <w:bottom w:val="single" w:sz="4" w:space="0" w:color="auto"/>
              <w:right w:val="single" w:sz="4" w:space="0" w:color="auto"/>
            </w:tcBorders>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5682,63</w:t>
            </w:r>
          </w:p>
        </w:tc>
        <w:tc>
          <w:tcPr>
            <w:tcW w:w="1227" w:type="dxa"/>
            <w:tcBorders>
              <w:top w:val="single" w:sz="8" w:space="0" w:color="auto"/>
              <w:left w:val="nil"/>
              <w:bottom w:val="single" w:sz="4" w:space="0" w:color="auto"/>
              <w:right w:val="single" w:sz="4" w:space="0" w:color="auto"/>
            </w:tcBorders>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5781,47</w:t>
            </w:r>
          </w:p>
        </w:tc>
        <w:tc>
          <w:tcPr>
            <w:tcW w:w="1227" w:type="dxa"/>
            <w:tcBorders>
              <w:top w:val="single" w:sz="8" w:space="0" w:color="auto"/>
              <w:left w:val="nil"/>
              <w:bottom w:val="single" w:sz="4" w:space="0" w:color="auto"/>
              <w:right w:val="single" w:sz="4" w:space="0" w:color="auto"/>
            </w:tcBorders>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6393,85</w:t>
            </w:r>
          </w:p>
        </w:tc>
        <w:tc>
          <w:tcPr>
            <w:tcW w:w="1227" w:type="dxa"/>
            <w:tcBorders>
              <w:top w:val="single" w:sz="8" w:space="0" w:color="auto"/>
              <w:left w:val="nil"/>
              <w:bottom w:val="single" w:sz="4" w:space="0" w:color="auto"/>
              <w:right w:val="single" w:sz="8" w:space="0" w:color="auto"/>
            </w:tcBorders>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7104,36</w:t>
            </w:r>
          </w:p>
        </w:tc>
      </w:tr>
      <w:tr w:rsidR="00FD7B45" w:rsidRPr="00501694" w:rsidTr="005C27A4">
        <w:trPr>
          <w:trHeight w:val="324"/>
        </w:trPr>
        <w:tc>
          <w:tcPr>
            <w:tcW w:w="2651" w:type="dxa"/>
            <w:tcBorders>
              <w:top w:val="nil"/>
              <w:left w:val="single" w:sz="8" w:space="0" w:color="auto"/>
              <w:bottom w:val="single" w:sz="8" w:space="0" w:color="auto"/>
              <w:right w:val="single" w:sz="4" w:space="0" w:color="auto"/>
            </w:tcBorders>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Meziroční % nárůst</w:t>
            </w:r>
          </w:p>
        </w:tc>
        <w:tc>
          <w:tcPr>
            <w:tcW w:w="1227" w:type="dxa"/>
            <w:tcBorders>
              <w:top w:val="nil"/>
              <w:left w:val="nil"/>
              <w:bottom w:val="single" w:sz="8" w:space="0" w:color="auto"/>
              <w:right w:val="single" w:sz="4" w:space="0" w:color="auto"/>
            </w:tcBorders>
            <w:noWrap/>
            <w:vAlign w:val="bottom"/>
          </w:tcPr>
          <w:p w:rsidR="00FD7B45" w:rsidRPr="005B6265" w:rsidRDefault="00FD7B45" w:rsidP="005C27A4">
            <w:pPr>
              <w:spacing w:line="240" w:lineRule="auto"/>
              <w:jc w:val="left"/>
              <w:rPr>
                <w:rFonts w:ascii="Calibri" w:hAnsi="Calibri"/>
                <w:b/>
                <w:bCs/>
                <w:color w:val="000000"/>
                <w:lang w:eastAsia="cs-CZ"/>
              </w:rPr>
            </w:pPr>
            <w:r w:rsidRPr="005B6265">
              <w:rPr>
                <w:rFonts w:ascii="Calibri" w:hAnsi="Calibri"/>
                <w:b/>
                <w:bCs/>
                <w:color w:val="000000"/>
                <w:sz w:val="22"/>
                <w:lang w:eastAsia="cs-CZ"/>
              </w:rPr>
              <w:t> </w:t>
            </w:r>
          </w:p>
        </w:tc>
        <w:tc>
          <w:tcPr>
            <w:tcW w:w="1227" w:type="dxa"/>
            <w:tcBorders>
              <w:top w:val="nil"/>
              <w:left w:val="nil"/>
              <w:bottom w:val="single" w:sz="8" w:space="0" w:color="auto"/>
              <w:right w:val="single" w:sz="4" w:space="0" w:color="auto"/>
            </w:tcBorders>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6,83%</w:t>
            </w:r>
          </w:p>
        </w:tc>
        <w:tc>
          <w:tcPr>
            <w:tcW w:w="1227" w:type="dxa"/>
            <w:tcBorders>
              <w:top w:val="nil"/>
              <w:left w:val="nil"/>
              <w:bottom w:val="single" w:sz="8" w:space="0" w:color="auto"/>
              <w:right w:val="single" w:sz="4" w:space="0" w:color="auto"/>
            </w:tcBorders>
            <w:noWrap/>
            <w:vAlign w:val="bottom"/>
          </w:tcPr>
          <w:p w:rsidR="00FD7B45" w:rsidRPr="005B6265" w:rsidRDefault="00FD7B45" w:rsidP="005C27A4">
            <w:pPr>
              <w:spacing w:line="240" w:lineRule="auto"/>
              <w:jc w:val="right"/>
              <w:rPr>
                <w:rFonts w:ascii="Calibri" w:hAnsi="Calibri"/>
                <w:b/>
                <w:bCs/>
                <w:color w:val="FF0000"/>
                <w:lang w:eastAsia="cs-CZ"/>
              </w:rPr>
            </w:pPr>
            <w:r w:rsidRPr="005B6265">
              <w:rPr>
                <w:rFonts w:ascii="Calibri" w:hAnsi="Calibri"/>
                <w:b/>
                <w:bCs/>
                <w:color w:val="FF0000"/>
                <w:sz w:val="22"/>
                <w:lang w:eastAsia="cs-CZ"/>
              </w:rPr>
              <w:t>1,74%</w:t>
            </w:r>
          </w:p>
        </w:tc>
        <w:tc>
          <w:tcPr>
            <w:tcW w:w="1227" w:type="dxa"/>
            <w:tcBorders>
              <w:top w:val="nil"/>
              <w:left w:val="nil"/>
              <w:bottom w:val="single" w:sz="8" w:space="0" w:color="auto"/>
              <w:right w:val="single" w:sz="4" w:space="0" w:color="auto"/>
            </w:tcBorders>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10,59%</w:t>
            </w:r>
          </w:p>
        </w:tc>
        <w:tc>
          <w:tcPr>
            <w:tcW w:w="1227" w:type="dxa"/>
            <w:tcBorders>
              <w:top w:val="nil"/>
              <w:left w:val="nil"/>
              <w:bottom w:val="single" w:sz="8" w:space="0" w:color="auto"/>
              <w:right w:val="single" w:sz="8" w:space="0" w:color="auto"/>
            </w:tcBorders>
            <w:noWrap/>
            <w:vAlign w:val="bottom"/>
          </w:tcPr>
          <w:p w:rsidR="00FD7B45" w:rsidRPr="005B6265" w:rsidRDefault="00FD7B45" w:rsidP="005C27A4">
            <w:pPr>
              <w:spacing w:line="240" w:lineRule="auto"/>
              <w:jc w:val="right"/>
              <w:rPr>
                <w:rFonts w:ascii="Calibri" w:hAnsi="Calibri"/>
                <w:b/>
                <w:bCs/>
                <w:color w:val="000000"/>
                <w:lang w:eastAsia="cs-CZ"/>
              </w:rPr>
            </w:pPr>
            <w:r w:rsidRPr="005B6265">
              <w:rPr>
                <w:rFonts w:ascii="Calibri" w:hAnsi="Calibri"/>
                <w:b/>
                <w:bCs/>
                <w:color w:val="000000"/>
                <w:sz w:val="22"/>
                <w:lang w:eastAsia="cs-CZ"/>
              </w:rPr>
              <w:t>11,11%</w:t>
            </w:r>
          </w:p>
        </w:tc>
      </w:tr>
    </w:tbl>
    <w:p w:rsidR="00FD7B45" w:rsidRDefault="00FD7B45" w:rsidP="00BF1E38">
      <w:pPr>
        <w:rPr>
          <w:sz w:val="20"/>
          <w:szCs w:val="20"/>
        </w:rPr>
      </w:pPr>
    </w:p>
    <w:p w:rsidR="00FD7B45" w:rsidRPr="00B7218F" w:rsidRDefault="00FD7B45" w:rsidP="00BF1E38">
      <w:pPr>
        <w:pStyle w:val="Podtitul"/>
        <w:rPr>
          <w:lang w:eastAsia="cs-CZ"/>
        </w:rPr>
      </w:pPr>
      <w:r w:rsidRPr="00B7218F">
        <w:t>Zdroj Vlastní konstrukce : Statist</w:t>
      </w:r>
      <w:r>
        <w:t>ický Slovinský úřad[online],Náro</w:t>
      </w:r>
      <w:r w:rsidRPr="00B7218F">
        <w:t xml:space="preserve">dní </w:t>
      </w:r>
      <w:r>
        <w:t>ú</w:t>
      </w:r>
      <w:r w:rsidRPr="00B7218F">
        <w:t>čty,</w:t>
      </w:r>
      <w:r>
        <w:t xml:space="preserve"> 2010</w:t>
      </w:r>
      <w:r w:rsidRPr="00B7218F">
        <w:t xml:space="preserve">,[cit. </w:t>
      </w:r>
      <w:proofErr w:type="gramStart"/>
      <w:r w:rsidRPr="00B7218F">
        <w:t>2010-10</w:t>
      </w:r>
      <w:proofErr w:type="gramEnd"/>
      <w:r w:rsidRPr="00B7218F">
        <w:t xml:space="preserve">-30]. Dostupný z  </w:t>
      </w:r>
      <w:hyperlink r:id="rId27" w:history="1">
        <w:r w:rsidRPr="00B7218F">
          <w:rPr>
            <w:rStyle w:val="Hypertextovodkaz"/>
            <w:szCs w:val="20"/>
          </w:rPr>
          <w:t>http://www.stat.si/pxweb/Database/Ekonomsko/Ekonomsko.asp</w:t>
        </w:r>
      </w:hyperlink>
    </w:p>
    <w:p w:rsidR="00FD7B45" w:rsidRDefault="00FD7B45" w:rsidP="00BF1E38">
      <w:pPr>
        <w:rPr>
          <w:b/>
          <w:lang w:eastAsia="cs-CZ"/>
        </w:rPr>
      </w:pPr>
    </w:p>
    <w:p w:rsidR="00FD7B45" w:rsidRPr="00B7218F" w:rsidRDefault="00FD7B45" w:rsidP="00BF1E38">
      <w:pPr>
        <w:rPr>
          <w:b/>
          <w:lang w:eastAsia="cs-CZ"/>
        </w:rPr>
      </w:pPr>
      <w:r w:rsidRPr="00B7218F">
        <w:rPr>
          <w:b/>
          <w:lang w:eastAsia="cs-CZ"/>
        </w:rPr>
        <w:t>Meziroční vývoj 2006/2005</w:t>
      </w:r>
    </w:p>
    <w:p w:rsidR="00FD7B45" w:rsidRPr="00B7218F" w:rsidRDefault="00FD7B45" w:rsidP="00BF1E38">
      <w:pPr>
        <w:rPr>
          <w:b/>
          <w:lang w:eastAsia="cs-CZ"/>
        </w:rPr>
      </w:pPr>
    </w:p>
    <w:p w:rsidR="00FD7B45" w:rsidRPr="00B7218F" w:rsidRDefault="00FD7B45" w:rsidP="00BF1E38">
      <w:pPr>
        <w:rPr>
          <w:lang w:eastAsia="cs-CZ"/>
        </w:rPr>
      </w:pPr>
      <w:r w:rsidRPr="00B7218F">
        <w:rPr>
          <w:lang w:eastAsia="cs-CZ"/>
        </w:rPr>
        <w:t xml:space="preserve">Celkové vládní výdeje zaznamenaly meziroční růst ve výši 6,83 %. Z toho plyne, že základní hodnota pro srovnání byla z roku 2005 a to 5 319,32 mil. EUR. Díky meziročnímu nárůstu se tato hodnota zvýšila na 5 682,63 mil. EUR. Při podrobnějším pohledu se částí vládních výdajů je třeba říci, že v kolektivních a ani individuálních výdajích žádné neobvyklé nárůsty nebyly proti celkovému růstu vládních výdajů. </w:t>
      </w:r>
      <w:proofErr w:type="gramStart"/>
      <w:r w:rsidRPr="00B7218F">
        <w:rPr>
          <w:lang w:eastAsia="cs-CZ"/>
        </w:rPr>
        <w:t xml:space="preserve">Pouze </w:t>
      </w:r>
      <w:r>
        <w:rPr>
          <w:lang w:eastAsia="cs-CZ"/>
        </w:rPr>
        <w:t xml:space="preserve">    </w:t>
      </w:r>
      <w:r w:rsidRPr="00B7218F">
        <w:rPr>
          <w:lang w:eastAsia="cs-CZ"/>
        </w:rPr>
        <w:t>u ostatních</w:t>
      </w:r>
      <w:proofErr w:type="gramEnd"/>
      <w:r w:rsidRPr="00B7218F">
        <w:rPr>
          <w:lang w:eastAsia="cs-CZ"/>
        </w:rPr>
        <w:t xml:space="preserve"> daní z výroby byl pokles -13,60 % a u čistých provozních přebytků byl růst </w:t>
      </w:r>
      <w:r>
        <w:rPr>
          <w:lang w:eastAsia="cs-CZ"/>
        </w:rPr>
        <w:t xml:space="preserve">     </w:t>
      </w:r>
      <w:r w:rsidRPr="00B7218F">
        <w:rPr>
          <w:lang w:eastAsia="cs-CZ"/>
        </w:rPr>
        <w:t xml:space="preserve">+ 20,51 %.  Výše daní z výroby z roku 2005 (152,10 mil. EUR) klesla na v roce 2006 na </w:t>
      </w:r>
      <w:r w:rsidRPr="00B7218F">
        <w:rPr>
          <w:lang w:eastAsia="cs-CZ"/>
        </w:rPr>
        <w:lastRenderedPageBreak/>
        <w:t>výslednou hodnotu 131,41 mil. EUR. Zatím co výše čistých provozních přebytku vzrostla z 3,8 mil. EUR z roku 2005 na 4,59 mil. EUR v roce 2006</w:t>
      </w:r>
      <w:r>
        <w:rPr>
          <w:rStyle w:val="Znakapoznpodarou"/>
          <w:lang w:eastAsia="cs-CZ"/>
        </w:rPr>
        <w:footnoteReference w:id="120"/>
      </w:r>
      <w:r w:rsidRPr="00B7218F">
        <w:rPr>
          <w:lang w:eastAsia="cs-CZ"/>
        </w:rPr>
        <w:t xml:space="preserve">. </w:t>
      </w:r>
    </w:p>
    <w:p w:rsidR="00FD7B45" w:rsidRPr="00B7218F" w:rsidRDefault="00FD7B45" w:rsidP="00BF1E38">
      <w:pPr>
        <w:rPr>
          <w:lang w:eastAsia="cs-CZ"/>
        </w:rPr>
      </w:pPr>
    </w:p>
    <w:p w:rsidR="00FD7B45" w:rsidRPr="00B7218F" w:rsidRDefault="00FD7B45" w:rsidP="00BF1E38">
      <w:pPr>
        <w:rPr>
          <w:lang w:eastAsia="cs-CZ"/>
        </w:rPr>
      </w:pPr>
      <w:r w:rsidRPr="00B7218F">
        <w:rPr>
          <w:lang w:eastAsia="cs-CZ"/>
        </w:rPr>
        <w:t xml:space="preserve">Závěrem lze říci, že v tomto se jednotlivé složky vládních výdajů se nějak výrazně nevychýlily od meziroční procentuální změny. Jak bylo uvedeno výše, tak pouze ostatní daně z výroby a čisté provozní přebytky. </w:t>
      </w:r>
    </w:p>
    <w:p w:rsidR="00FD7B45" w:rsidRPr="00B7218F" w:rsidRDefault="00FD7B45" w:rsidP="00BF1E38">
      <w:pPr>
        <w:rPr>
          <w:lang w:eastAsia="cs-CZ"/>
        </w:rPr>
      </w:pPr>
    </w:p>
    <w:p w:rsidR="00FD7B45" w:rsidRDefault="00FD7B45" w:rsidP="00BF1E38">
      <w:pPr>
        <w:rPr>
          <w:lang w:eastAsia="cs-CZ"/>
        </w:rPr>
      </w:pPr>
      <w:r w:rsidRPr="00B7218F">
        <w:rPr>
          <w:lang w:eastAsia="cs-CZ"/>
        </w:rPr>
        <w:t xml:space="preserve">Tato situace mohla bytí zapříčiněna stabilní ekonomikou v zemi. Vláda zde nemusela vynaložit více peněžních prostředků, jelikož situace v soukromém sektoru byla vyhovující. A tak nemusela zvyšovat výdej transferu. Lze předpokládat, že klesla míra nezaměstnanosti. Dle dat Slovinského statistického úřadu, míra nezaměstnanosti opravdu klesla. Na konci roku 2005 byla míra nezaměstnanosti 10,2 %. V roce 2006 míra nezaměstnanosti klesla na 8,6 %. Co se týká mezd či platů, tak i zde došlo k růstu. V roce 2006 se výše náhrad zvedla o 6,97 % na celkovou hodnotu 15 290,43 mil. EUR. Díky tomu zvýšení nedošlo tak velkému nárůstů transferu. Jejich výše se proti roku 2006 </w:t>
      </w:r>
      <w:proofErr w:type="gramStart"/>
      <w:r w:rsidRPr="00B7218F">
        <w:rPr>
          <w:lang w:eastAsia="cs-CZ"/>
        </w:rPr>
        <w:t xml:space="preserve">zvýšila </w:t>
      </w:r>
      <w:r>
        <w:rPr>
          <w:lang w:eastAsia="cs-CZ"/>
        </w:rPr>
        <w:t xml:space="preserve">       </w:t>
      </w:r>
      <w:r w:rsidRPr="00B7218F">
        <w:rPr>
          <w:lang w:eastAsia="cs-CZ"/>
        </w:rPr>
        <w:t>o 5,3</w:t>
      </w:r>
      <w:proofErr w:type="gramEnd"/>
      <w:r w:rsidRPr="00B7218F">
        <w:rPr>
          <w:lang w:eastAsia="cs-CZ"/>
        </w:rPr>
        <w:t xml:space="preserve"> % na celkovou hodnotu 3 395,02 mil. EUR</w:t>
      </w:r>
      <w:r>
        <w:rPr>
          <w:rStyle w:val="Znakapoznpodarou"/>
          <w:lang w:eastAsia="cs-CZ"/>
        </w:rPr>
        <w:footnoteReference w:id="121"/>
      </w:r>
      <w:r w:rsidRPr="00B7218F">
        <w:rPr>
          <w:lang w:eastAsia="cs-CZ"/>
        </w:rPr>
        <w:t xml:space="preserve">. </w:t>
      </w:r>
    </w:p>
    <w:p w:rsidR="00FD7B45" w:rsidRPr="00B7218F" w:rsidRDefault="00FD7B45" w:rsidP="00BF1E38">
      <w:pPr>
        <w:rPr>
          <w:lang w:eastAsia="cs-CZ"/>
        </w:rPr>
      </w:pPr>
    </w:p>
    <w:p w:rsidR="00FD7B45" w:rsidRPr="00B7218F" w:rsidRDefault="00FD7B45" w:rsidP="00BF1E38">
      <w:r w:rsidRPr="00B7218F">
        <w:t xml:space="preserve">Dalším faktorem, který ovlivnil výši vládních výdajů, byl výrazný růst u </w:t>
      </w:r>
      <w:proofErr w:type="gramStart"/>
      <w:r w:rsidRPr="00B7218F">
        <w:t>investic</w:t>
      </w:r>
      <w:r>
        <w:t xml:space="preserve">               </w:t>
      </w:r>
      <w:r w:rsidRPr="00B7218F">
        <w:t xml:space="preserve"> a spotřeby</w:t>
      </w:r>
      <w:proofErr w:type="gramEnd"/>
      <w:r w:rsidRPr="00B7218F">
        <w:t xml:space="preserve"> domácností. V tomto období investice vzrostly o 14,78 % a spotřeba domácností vzrostla o 5,23 %. V peněžním vyjádření to znamená, že výchozí hodnota investice z roku 2005 byly 7 636,78 mil. EUR. Ke konci roku 2006 vzrostla na 8 765,66 mil. EUR. Co se týká spotřeby, tak již byla podrobně popsána v předešlé kapitole</w:t>
      </w:r>
      <w:r>
        <w:rPr>
          <w:rStyle w:val="Znakapoznpodarou"/>
        </w:rPr>
        <w:footnoteReference w:id="122"/>
      </w:r>
      <w:r w:rsidRPr="00B7218F">
        <w:t>.</w:t>
      </w:r>
    </w:p>
    <w:p w:rsidR="00FD7B45" w:rsidRDefault="00FD7B45" w:rsidP="00BF1E38"/>
    <w:p w:rsidR="00FD7B45" w:rsidRPr="00B7218F" w:rsidRDefault="00FD7B45" w:rsidP="00BF1E38"/>
    <w:p w:rsidR="00FD7B45" w:rsidRPr="00B7218F" w:rsidRDefault="00FD7B45" w:rsidP="00BF1E38">
      <w:pPr>
        <w:rPr>
          <w:b/>
          <w:lang w:eastAsia="cs-CZ"/>
        </w:rPr>
      </w:pPr>
      <w:r w:rsidRPr="00B7218F">
        <w:rPr>
          <w:b/>
          <w:lang w:eastAsia="cs-CZ"/>
        </w:rPr>
        <w:t>Meziroční vývoj 2007/2006</w:t>
      </w:r>
    </w:p>
    <w:p w:rsidR="00FD7B45" w:rsidRPr="00B7218F" w:rsidRDefault="00FD7B45" w:rsidP="00BF1E38"/>
    <w:p w:rsidR="00FD7B45" w:rsidRPr="00B7218F" w:rsidRDefault="00FD7B45" w:rsidP="00BF1E38">
      <w:r w:rsidRPr="00B7218F">
        <w:t xml:space="preserve">Po úspěšně charakterizovaném období 2006/2005 je na řadě pro zkoumání období 2007/2006. Jak bylo již dříve zmíněno, tak rok 2007 je velice důležitý. V tomto roce ve Slovinsku zavedly euro jako svojí národní měnu. I zde budou analyzovány jak </w:t>
      </w:r>
      <w:r w:rsidRPr="00B7218F">
        <w:lastRenderedPageBreak/>
        <w:t>individuální, tak i kolektivní vládní výdaje. Změny v těchto složkách budou posuzovány dle změny celkových vládních výdajů. Meziroční přírůstek vládních výdajů byl ve výši 1,74 %.</w:t>
      </w:r>
    </w:p>
    <w:p w:rsidR="00FD7B45" w:rsidRPr="00B7218F" w:rsidRDefault="00FD7B45" w:rsidP="00BF1E38"/>
    <w:p w:rsidR="00FD7B45" w:rsidRPr="00B7218F" w:rsidRDefault="00FD7B45" w:rsidP="00BF1E38">
      <w:r w:rsidRPr="00B7218F">
        <w:t xml:space="preserve">Kolektivní výdaje na konečnou spotřebu vládních institucí ke konci roku 2007 zaznamenaly pokles ve výši -0,84 %. V řeči čísel řečeno, to znamená, že v roce 2006 byla celková hodnota ve výši 2 332,20 </w:t>
      </w:r>
      <w:r>
        <w:t>mil. EUR</w:t>
      </w:r>
      <w:r w:rsidRPr="00B7218F">
        <w:t>. Na konci roku 2007 se tato hodnota snížila na 2312,55 mil. EUR. Zatímco kolektivní výdaje zaznamenaly pokles, tak u individuálních výdajů na konečnou spotřebu vládních institucí byl zjištěn růst. Tento růst byl 3,53%</w:t>
      </w:r>
      <w:r>
        <w:rPr>
          <w:rStyle w:val="Znakapoznpodarou"/>
        </w:rPr>
        <w:footnoteReference w:id="123"/>
      </w:r>
      <w:r w:rsidRPr="00B7218F">
        <w:t>.</w:t>
      </w:r>
    </w:p>
    <w:p w:rsidR="00FD7B45" w:rsidRPr="00B7218F" w:rsidRDefault="00FD7B45" w:rsidP="00BF1E38"/>
    <w:p w:rsidR="00FD7B45" w:rsidRPr="00B7218F" w:rsidRDefault="00FD7B45" w:rsidP="00BF1E38">
      <w:r w:rsidRPr="00B7218F">
        <w:t xml:space="preserve">Při pohledu na další dílčí složky je patrné, že u všech složek byl nárůst či pokles byl významný a, že byl nad hranicí pásma ± 45%. Proto zde budou popsány, pouze velmi výrazné hodnoty. Největší pokles byl jako v předešlém období u ostatních daní z výroby. Na konci roku 2007 byl zjištěn pokles ve výši -16,63 %. Tedy hodnotově vyjádřeno tj., že na konci roku 2007 byla celková hodnota ve výši 109,56 mil. EUR. Další pokles </w:t>
      </w:r>
      <w:proofErr w:type="gramStart"/>
      <w:r w:rsidRPr="00B7218F">
        <w:t>byl</w:t>
      </w:r>
      <w:r>
        <w:t xml:space="preserve">          </w:t>
      </w:r>
      <w:r w:rsidRPr="00B7218F">
        <w:t xml:space="preserve"> u mezi</w:t>
      </w:r>
      <w:proofErr w:type="gramEnd"/>
      <w:r w:rsidRPr="00B7218F">
        <w:t xml:space="preserve"> spotřeby a to o -0,83 %. Celková hodnota z roku 2006, která byla 1 886,83 mil. EUR. O rok později se hodnota snížila na 1 871,24 mil. EUR. Tak jako v předešlém oblíbí </w:t>
      </w:r>
      <w:proofErr w:type="gramStart"/>
      <w:r w:rsidRPr="00B7218F">
        <w:t>tak</w:t>
      </w:r>
      <w:r>
        <w:t xml:space="preserve">  </w:t>
      </w:r>
      <w:r w:rsidRPr="00B7218F">
        <w:t xml:space="preserve"> i v tomto</w:t>
      </w:r>
      <w:proofErr w:type="gramEnd"/>
      <w:r w:rsidRPr="00B7218F">
        <w:t xml:space="preserve"> období byl znatelný nárůst u čistých provozních přebytků a to o 22,09 %. Tento nárůst znamená, že se hodnota čistých provozních přebytků zvýšila 4,59 mil. EUR </w:t>
      </w:r>
      <w:proofErr w:type="gramStart"/>
      <w:r w:rsidRPr="00B7218F">
        <w:t>na</w:t>
      </w:r>
      <w:r w:rsidR="00C046AA">
        <w:t xml:space="preserve">  </w:t>
      </w:r>
      <w:r w:rsidRPr="00B7218F">
        <w:t>5,60</w:t>
      </w:r>
      <w:proofErr w:type="gramEnd"/>
      <w:r w:rsidRPr="00B7218F">
        <w:t xml:space="preserve"> mil. EUR. U spotřeby fixního kapitálů byl též zjištěn neobvyklý nárůst vůči celkovým výdajům. Tento nárůst byl menší než v předešlém období. Konečná hodnota fixního kapitálu byla ve výši 511,49 mil. EUR, tedy meziroční nárůst byl 8,34 %</w:t>
      </w:r>
      <w:r>
        <w:rPr>
          <w:rStyle w:val="Znakapoznpodarou"/>
        </w:rPr>
        <w:footnoteReference w:id="124"/>
      </w:r>
      <w:r w:rsidRPr="00B7218F">
        <w:t>.</w:t>
      </w:r>
    </w:p>
    <w:p w:rsidR="00FD7B45" w:rsidRPr="00B7218F" w:rsidRDefault="00FD7B45" w:rsidP="00BF1E38"/>
    <w:p w:rsidR="00FD7B45" w:rsidRPr="00B7218F" w:rsidRDefault="00FD7B45" w:rsidP="00BF1E38">
      <w:r w:rsidRPr="00B7218F">
        <w:t xml:space="preserve">V daném sledovaném období byl daleko nižší celkový nárůst než v období předešlém. Vliv na tento vývoj měli jak nižší kladné přírůstky, tak i výraznější poklesy. Lze vznést předpoklad, že tento velmi nízký růst byl zapříčiněn výrazným nárůstem </w:t>
      </w:r>
      <w:proofErr w:type="gramStart"/>
      <w:r w:rsidRPr="00B7218F">
        <w:t xml:space="preserve">Investic </w:t>
      </w:r>
      <w:r>
        <w:t xml:space="preserve">               </w:t>
      </w:r>
      <w:r w:rsidRPr="00B7218F">
        <w:t>a soukromé</w:t>
      </w:r>
      <w:proofErr w:type="gramEnd"/>
      <w:r w:rsidRPr="00B7218F">
        <w:t xml:space="preserve"> spotřeby. Investice v tomto období zaznamenaly 20,64% růst a spotřeba domácností zaznamenala 9,90% růst. Na základě této situace vláda nemusela do ekonomiky investovat větší množství peněžních prostředků. Dalším impulsem </w:t>
      </w:r>
      <w:proofErr w:type="gramStart"/>
      <w:r w:rsidRPr="00B7218F">
        <w:t>bylo</w:t>
      </w:r>
      <w:r>
        <w:t xml:space="preserve">           </w:t>
      </w:r>
      <w:r w:rsidRPr="00B7218F">
        <w:t xml:space="preserve"> o snížení</w:t>
      </w:r>
      <w:proofErr w:type="gramEnd"/>
      <w:r w:rsidRPr="00B7218F">
        <w:t xml:space="preserve"> míry nezaměstnanosti na 7,3 %, která klesla proti roku 2006 o 1,3 %. Tím je </w:t>
      </w:r>
      <w:r w:rsidRPr="00B7218F">
        <w:lastRenderedPageBreak/>
        <w:t xml:space="preserve">spojen i pokles tempa růstu transferu, které vzrostly ke konci roku 2007 o 3,52 % na celkovou hodnotu 3514,48 </w:t>
      </w:r>
      <w:r>
        <w:t>mil. EUR</w:t>
      </w:r>
      <w:r w:rsidRPr="00B7218F">
        <w:t>. Vývoj investic bude podrobněji analyzován v následující kapitole</w:t>
      </w:r>
      <w:r>
        <w:rPr>
          <w:rStyle w:val="Znakapoznpodarou"/>
        </w:rPr>
        <w:footnoteReference w:id="125"/>
      </w:r>
      <w:r w:rsidRPr="00B7218F">
        <w:t xml:space="preserve">. </w:t>
      </w:r>
    </w:p>
    <w:p w:rsidR="00FD7B45" w:rsidRDefault="00FD7B45" w:rsidP="00BF1E38"/>
    <w:p w:rsidR="00FD7B45" w:rsidRPr="00B7218F" w:rsidRDefault="00FD7B45" w:rsidP="00BF1E38"/>
    <w:p w:rsidR="00FD7B45" w:rsidRPr="00B7218F" w:rsidRDefault="00FD7B45" w:rsidP="00BF1E38">
      <w:pPr>
        <w:rPr>
          <w:b/>
          <w:lang w:eastAsia="cs-CZ"/>
        </w:rPr>
      </w:pPr>
      <w:r w:rsidRPr="00B7218F">
        <w:rPr>
          <w:b/>
          <w:lang w:eastAsia="cs-CZ"/>
        </w:rPr>
        <w:t>Meziroční vývoj 2008/2007</w:t>
      </w:r>
    </w:p>
    <w:p w:rsidR="00FD7B45" w:rsidRPr="00B7218F" w:rsidRDefault="00FD7B45" w:rsidP="00BF1E38"/>
    <w:p w:rsidR="00FD7B45" w:rsidRPr="00B7218F" w:rsidRDefault="00FD7B45" w:rsidP="00BF1E38">
      <w:r w:rsidRPr="00B7218F">
        <w:t xml:space="preserve">Předposledním sledovaným obdobím je časový úsek mezi roky 2007 až 2008. Toto období je zvláštní, tím, že se jedná o první data získaná po zavedení společné měny v zemi. Také se zde však pomalu začínají projevit aspekty začínající hospodářské krize.  V tomto období se meziroční vývoj vládních výdajů zvýšil o 10,59 %. </w:t>
      </w:r>
    </w:p>
    <w:p w:rsidR="00FD7B45" w:rsidRPr="00B7218F" w:rsidRDefault="00FD7B45" w:rsidP="00BF1E38"/>
    <w:p w:rsidR="00FD7B45" w:rsidRPr="00B7218F" w:rsidRDefault="00FD7B45" w:rsidP="00BF1E38">
      <w:r w:rsidRPr="00B7218F">
        <w:t xml:space="preserve">Proti předešlým obdobím je to velký nárůst. Větší nárůst byl u individuálních výdajů na konečnou spotřebu vládních institucí. Tento nárůst byl ve výši 11,03 %. Na konečnou výši v roce 2008 to mělo takový vliv, že </w:t>
      </w:r>
      <w:r>
        <w:t xml:space="preserve">hodnota </w:t>
      </w:r>
      <w:r w:rsidRPr="00B7218F">
        <w:t>vzrostla na 3 851,37 mil. EUR z </w:t>
      </w:r>
      <w:proofErr w:type="gramStart"/>
      <w:r w:rsidRPr="00B7218F">
        <w:t xml:space="preserve">původních </w:t>
      </w:r>
      <w:r>
        <w:t xml:space="preserve">   </w:t>
      </w:r>
      <w:r w:rsidRPr="00B7218F">
        <w:t>3 468,92</w:t>
      </w:r>
      <w:proofErr w:type="gramEnd"/>
      <w:r w:rsidRPr="00B7218F">
        <w:t xml:space="preserve"> mil. EUR z roku 2007. U druhé hlavní složky kolektivní výdaje na konečnou spotřebu vládních institucí byl též nárůst a to ve výši 9,94 %. I zde se jedná o významný nárůst, jelikož v předešlém období zde byl, zaznamenám pokles ve výši -0,84 %. Pro dané sledované období to znamenalo, že v roce 2008 činila celková hodnota peněžních prostředků vynaložených na tuto oblast celkem 2 542,48 mil. EUR</w:t>
      </w:r>
      <w:r>
        <w:rPr>
          <w:rStyle w:val="Znakapoznpodarou"/>
        </w:rPr>
        <w:footnoteReference w:id="126"/>
      </w:r>
      <w:r w:rsidRPr="00B7218F">
        <w:t>.</w:t>
      </w:r>
    </w:p>
    <w:p w:rsidR="00FD7B45" w:rsidRPr="00B7218F" w:rsidRDefault="00FD7B45" w:rsidP="00BF1E38"/>
    <w:p w:rsidR="00FD7B45" w:rsidRPr="00B7218F" w:rsidRDefault="00FD7B45" w:rsidP="00BF1E38">
      <w:r w:rsidRPr="00B7218F">
        <w:t xml:space="preserve">Při detailnějším pohledu na jednotlivé části dvou předem zmíněných komponent je patrné, že většina z nich měla velmi patrný nárůst. Pouze u ostatních daní z výroby a čistého provozního přebytku byl velmi razantní pokles. U ostatních daní byl pokles -38,95 %. Tedy ve finančním vyjádření to znamená, že z původní hodnoty z roku 2007, která byla 109,56 mil. EUR </w:t>
      </w:r>
      <w:proofErr w:type="gramStart"/>
      <w:r w:rsidRPr="00B7218F">
        <w:t>se v roce</w:t>
      </w:r>
      <w:proofErr w:type="gramEnd"/>
      <w:r w:rsidRPr="00B7218F">
        <w:t xml:space="preserve"> 2008 hodnota snížila na 66,89 mil. EUR. U druhé zmiňované složky byl průběh rozdílný, jelikož v předešlých obdobích zde byl nárůst a teprve nyní se objevil velmi výrazný pokles a to o -69,58 %. Ted v peněžním vyjádření to znamená, že z hodnoty, která byla v roce 2007 ve výši 5,6 mil. EUR </w:t>
      </w:r>
      <w:proofErr w:type="gramStart"/>
      <w:r w:rsidRPr="00B7218F">
        <w:t>se</w:t>
      </w:r>
      <w:proofErr w:type="gramEnd"/>
      <w:r w:rsidRPr="00B7218F">
        <w:t xml:space="preserve"> o rok později rapidně snížila na 1,7 mil. EUR. </w:t>
      </w:r>
    </w:p>
    <w:p w:rsidR="00FD7B45" w:rsidRPr="00B7218F" w:rsidRDefault="00FD7B45" w:rsidP="00BF1E38"/>
    <w:p w:rsidR="00FD7B45" w:rsidRPr="00B7218F" w:rsidRDefault="00FD7B45" w:rsidP="00BF1E38">
      <w:r w:rsidRPr="00B7218F">
        <w:t xml:space="preserve">Další složka vládních výdajů </w:t>
      </w:r>
      <w:proofErr w:type="gramStart"/>
      <w:r w:rsidRPr="00B7218F">
        <w:t>mezi - spotřeba</w:t>
      </w:r>
      <w:proofErr w:type="gramEnd"/>
      <w:r w:rsidRPr="00B7218F">
        <w:t xml:space="preserve">, která v předchozím období zaznamenala pokles, tak nyní zaznamenala růst ve výši 13,52 %. Tedy hodnotě vyjádřeno ta znamená, že výchozí hodnota z roku 2007 činila 1871,24 mil. EUR a na konci roku 2008 se zvýšila na 2124,22 mil. EUR. Další výraznější růst byl u spotřeby fixního kapitálu a to ve výši 11,87 %. Tedy z hodnoty 511, 49 mil. EUR z roku 2007 se spotřebovaná hodnota </w:t>
      </w:r>
      <w:proofErr w:type="gramStart"/>
      <w:r w:rsidRPr="00B7218F">
        <w:t xml:space="preserve">zvýšila </w:t>
      </w:r>
      <w:r>
        <w:t xml:space="preserve">  </w:t>
      </w:r>
      <w:r w:rsidRPr="00B7218F">
        <w:t>v roce</w:t>
      </w:r>
      <w:proofErr w:type="gramEnd"/>
      <w:r w:rsidRPr="00B7218F">
        <w:t xml:space="preserve"> 2008 na 572,19 mil. EUR. Meziroční růst byl významný také u náhrad zaměstnanců (transferu). Tyto náhrady meziročně vzrostly o 10,7 %. Na konci roku 2008 bylo státem na tyto náhrady vynaloženo 3889,88 </w:t>
      </w:r>
      <w:r>
        <w:t>mil. EUR</w:t>
      </w:r>
      <w:r w:rsidRPr="00B7218F">
        <w:t xml:space="preserve">. V roce 2007 bylo pouze </w:t>
      </w:r>
      <w:proofErr w:type="gramStart"/>
      <w:r w:rsidRPr="00B7218F">
        <w:t xml:space="preserve">vynaloženo </w:t>
      </w:r>
      <w:r>
        <w:t xml:space="preserve">    </w:t>
      </w:r>
      <w:r w:rsidRPr="00B7218F">
        <w:t>3514,48</w:t>
      </w:r>
      <w:proofErr w:type="gramEnd"/>
      <w:r w:rsidRPr="00B7218F">
        <w:t xml:space="preserve"> mil. EUR.</w:t>
      </w:r>
      <w:r>
        <w:rPr>
          <w:rStyle w:val="Znakapoznpodarou"/>
        </w:rPr>
        <w:footnoteReference w:id="127"/>
      </w:r>
    </w:p>
    <w:p w:rsidR="00FD7B45" w:rsidRPr="00B7218F" w:rsidRDefault="00FD7B45" w:rsidP="00BF1E38"/>
    <w:p w:rsidR="00FD7B45" w:rsidRDefault="00FD7B45" w:rsidP="00BF1E38">
      <w:r w:rsidRPr="00B7218F">
        <w:t xml:space="preserve">Z daných výsledků, lze konstatovat, že v roce 2008 slovinská vláda uvolnila do oběhu více peněžních prostředků. Jedním z důvodů, proč se k tomu </w:t>
      </w:r>
      <w:proofErr w:type="gramStart"/>
      <w:r w:rsidRPr="00B7218F">
        <w:t>uchýlila byl</w:t>
      </w:r>
      <w:proofErr w:type="gramEnd"/>
      <w:r w:rsidRPr="00B7218F">
        <w:t xml:space="preserve"> znatelný pokles v oblasti soukromých investic. Investice v daném období vzrostly pouze o 6,64 %. Je </w:t>
      </w:r>
      <w:proofErr w:type="gramStart"/>
      <w:r w:rsidRPr="00B7218F">
        <w:t xml:space="preserve">to </w:t>
      </w:r>
      <w:r>
        <w:t xml:space="preserve">    </w:t>
      </w:r>
      <w:r w:rsidRPr="00B7218F">
        <w:t>o 14,01</w:t>
      </w:r>
      <w:proofErr w:type="gramEnd"/>
      <w:r w:rsidRPr="00B7218F">
        <w:t xml:space="preserve"> % méně než v roce 2007. Důsledkem tohoto jednání investorů, byl začínající vázanka hospodářské krize, která se začala projevovat v Spojených státech </w:t>
      </w:r>
      <w:proofErr w:type="gramStart"/>
      <w:r w:rsidRPr="00B7218F">
        <w:t>amerických</w:t>
      </w:r>
      <w:r>
        <w:t xml:space="preserve">     </w:t>
      </w:r>
      <w:r w:rsidRPr="00B7218F">
        <w:t xml:space="preserve"> a následně</w:t>
      </w:r>
      <w:proofErr w:type="gramEnd"/>
      <w:r w:rsidRPr="00B7218F">
        <w:t xml:space="preserve"> se začala projevovat i v Evropě. Na tuto situaci vláda reagovala, tak že uvolnila více peněžních prostředků, aby daný odliv nějakým způsobem kompenzovala. Tento výdej </w:t>
      </w:r>
      <w:proofErr w:type="gramStart"/>
      <w:r w:rsidRPr="00B7218F">
        <w:t>se</w:t>
      </w:r>
      <w:proofErr w:type="gramEnd"/>
      <w:r w:rsidRPr="00B7218F">
        <w:t xml:space="preserve"> byl patrný, jak na ostatních vládních výdajích, tak i na transferech. Nebyl zde nejen odliv investic, ale také snížení soukromé spotřeby, který bylo charakterizován v předešlé kapitole. Situace nebyla zas tak vážná, jelikož i v tomto období klesla míra nezaměstnanosti a to na 7 %. Zatímco mzdy zaměstnanců, též zaznamenaly nízký růst a to 7,93 %. Tento růst je o 0,72 % nižší než v roce 2007. V roce 2007 byla celková výše vynaložených mezd 16 631,51 mil. EUR a v roce 2008 to bylo pouze 17 930,65 mil. EUR</w:t>
      </w:r>
      <w:r>
        <w:rPr>
          <w:rStyle w:val="Znakapoznpodarou"/>
        </w:rPr>
        <w:footnoteReference w:id="128"/>
      </w:r>
      <w:r w:rsidRPr="00B7218F">
        <w:t xml:space="preserve">. </w:t>
      </w:r>
    </w:p>
    <w:p w:rsidR="00FD7B45" w:rsidRDefault="00FD7B45" w:rsidP="00BF1E38"/>
    <w:p w:rsidR="00FD7B45" w:rsidRDefault="00FD7B45" w:rsidP="00BF1E38"/>
    <w:p w:rsidR="00FD7B45" w:rsidRPr="00B7218F" w:rsidRDefault="00FD7B45" w:rsidP="00BF1E38"/>
    <w:p w:rsidR="00FD7B45" w:rsidRPr="00B7218F" w:rsidRDefault="00FD7B45" w:rsidP="00BF1E38">
      <w:pPr>
        <w:rPr>
          <w:b/>
          <w:lang w:eastAsia="cs-CZ"/>
        </w:rPr>
      </w:pPr>
      <w:r w:rsidRPr="00B7218F">
        <w:rPr>
          <w:b/>
          <w:lang w:eastAsia="cs-CZ"/>
        </w:rPr>
        <w:t>Meziroční vývoj 2009/2008</w:t>
      </w:r>
    </w:p>
    <w:p w:rsidR="00FD7B45" w:rsidRPr="00B7218F" w:rsidRDefault="00FD7B45" w:rsidP="00BF1E38"/>
    <w:p w:rsidR="00FD7B45" w:rsidRPr="00B7218F" w:rsidRDefault="00FD7B45" w:rsidP="00BF1E38">
      <w:r w:rsidRPr="00B7218F">
        <w:lastRenderedPageBreak/>
        <w:t>Posledním úsekem, který bude z hlediska vývoje vládních výdajů analyzován je období 2009/2008. Zde lze předpokládat rozsáhlejší vlivy na vývoj díky postupující hospodářské krizi. A také na konci tohoto roku lze sledovat vývoj v zemi, ve které byl již druhým rokem platidlo euro. Zle se domnívat, že vývoj spíše ovlivnila krize než samotné zavedení eura.  Srovnání vývoje se bude odvíjet od celkové změny vládních výdajů. Na konci roku 2009 byl evidován meziroční růst ve výši 11,11 %.</w:t>
      </w:r>
      <w:r>
        <w:rPr>
          <w:rStyle w:val="Znakapoznpodarou"/>
        </w:rPr>
        <w:footnoteReference w:id="129"/>
      </w:r>
    </w:p>
    <w:p w:rsidR="00FD7B45" w:rsidRPr="00B7218F" w:rsidRDefault="00FD7B45" w:rsidP="00BF1E38"/>
    <w:p w:rsidR="00FD7B45" w:rsidRPr="00B7218F" w:rsidRDefault="00FD7B45" w:rsidP="00BF1E38">
      <w:r w:rsidRPr="00B7218F">
        <w:t xml:space="preserve">Celková růst je proti předešlému období vyšší. V rámci analyzování základních komponent vládních výdajů lze říci, že rostly úměrně k celkovému růstu vládních výdajů. I v tomto období byl vyšší růst u individuálních výdajů na konečnou spotřebu vládních institucí. Meziroční procentuální růst činil 12,07 %. Finančně vyjádřeno to znamená, že celková vynaložena suma ke konci roku 2009 činila 4316,25 mil. EUR. Tato hodnota je </w:t>
      </w:r>
      <w:proofErr w:type="gramStart"/>
      <w:r w:rsidRPr="00B7218F">
        <w:t xml:space="preserve">tedy </w:t>
      </w:r>
      <w:r>
        <w:t xml:space="preserve">         </w:t>
      </w:r>
      <w:r w:rsidRPr="00B7218F">
        <w:t>o 464,88</w:t>
      </w:r>
      <w:proofErr w:type="gramEnd"/>
      <w:r w:rsidRPr="00B7218F">
        <w:t xml:space="preserve"> mil. EUR více než na konci roku 2008. Kolektivní výdaje na konečnou spotřebu domácností vzrostly o 9,66 %. Proti roku 2008 rostly pomalejším tempem, ale ne nějak zvláště výrazným způsobem. Co se týká množství vynaložených finančních prostředků, tak na konci roku </w:t>
      </w:r>
      <w:proofErr w:type="gramStart"/>
      <w:r w:rsidRPr="00B7218F">
        <w:t>2009, bylo</w:t>
      </w:r>
      <w:proofErr w:type="gramEnd"/>
      <w:r w:rsidRPr="00B7218F">
        <w:t xml:space="preserve"> vynaloženo 2788,11 mil. EUR což je 245,63 mil. EUR více než co </w:t>
      </w:r>
      <w:proofErr w:type="gramStart"/>
      <w:r w:rsidRPr="00B7218F">
        <w:t>bylo</w:t>
      </w:r>
      <w:proofErr w:type="gramEnd"/>
      <w:r w:rsidRPr="00B7218F">
        <w:t xml:space="preserve"> vynaloženo na konci roku 2008.</w:t>
      </w:r>
      <w:r>
        <w:rPr>
          <w:rStyle w:val="Znakapoznpodarou"/>
        </w:rPr>
        <w:footnoteReference w:id="130"/>
      </w:r>
    </w:p>
    <w:p w:rsidR="00FD7B45" w:rsidRPr="00B7218F" w:rsidRDefault="00FD7B45" w:rsidP="00BF1E38"/>
    <w:p w:rsidR="00FD7B45" w:rsidRPr="00B7218F" w:rsidRDefault="00FD7B45" w:rsidP="00BF1E38">
      <w:r w:rsidRPr="00B7218F">
        <w:t>Při detailnějším pohledu na jednotlivé dílčí části celkových vládních výdajů je patrné, že ve vývoji byly dva extrémy. A to jeden extrémní nárůst a jeden extrémní pokles. Výrazného meziročního růstu bylo dosaženo v oblasti čistých provozních přebytků a to vy výši 97,87 %. Je to velice výrazná změna, jelikož v minulém období byl v této oblasti pokles ve výši – 69,58 %. Tedy ve finančním vyjádření to znamená, že výchozí hodnota z roku 2008 byla 1,70 mil. EUR. Tedy na konci roku 2009 v této oblasti bylo vynaloženo 3,37 mil. EUR</w:t>
      </w:r>
      <w:r>
        <w:rPr>
          <w:rStyle w:val="Znakapoznpodarou"/>
        </w:rPr>
        <w:footnoteReference w:id="131"/>
      </w:r>
      <w:r w:rsidRPr="00B7218F">
        <w:t xml:space="preserve">. </w:t>
      </w:r>
    </w:p>
    <w:p w:rsidR="00FD7B45" w:rsidRPr="00B7218F" w:rsidRDefault="00FD7B45" w:rsidP="00BF1E38"/>
    <w:p w:rsidR="00FD7B45" w:rsidRPr="00B7218F" w:rsidRDefault="00FD7B45" w:rsidP="00BF1E38">
      <w:r w:rsidRPr="00B7218F">
        <w:t>Další významnější růst byl u transferu. Transfery v tomto období měly 12,1% růst. Na konci roku 2009 byla jejich vynaložená hodnota ve výši 4360,16 mil. EUR</w:t>
      </w:r>
      <w:r>
        <w:rPr>
          <w:rStyle w:val="Znakapoznpodarou"/>
        </w:rPr>
        <w:footnoteReference w:id="132"/>
      </w:r>
      <w:r w:rsidRPr="00B7218F">
        <w:t>.</w:t>
      </w:r>
    </w:p>
    <w:p w:rsidR="00FD7B45" w:rsidRPr="00B7218F" w:rsidRDefault="00FD7B45" w:rsidP="00BF1E38"/>
    <w:p w:rsidR="00FD7B45" w:rsidRPr="00B7218F" w:rsidRDefault="00FD7B45" w:rsidP="00BF1E38">
      <w:r w:rsidRPr="00B7218F">
        <w:lastRenderedPageBreak/>
        <w:t xml:space="preserve">Zatímco tato oblast čistého provozního přebytku zaznamenala výrazný růst tak u ostatních daní z výroby byl konstatován výrazný pokles. Výchozí hodnotou pro toto srovnání je hodnota z roku 2008, která činila 66,89 </w:t>
      </w:r>
      <w:r>
        <w:t>mil. EUR</w:t>
      </w:r>
      <w:r w:rsidRPr="00B7218F">
        <w:t xml:space="preserve">. Na konci roku 2009 došlo k rapidnímu snížení a to na 9,32 mil. EUR. Toto snížení odpovídá meziročnímu procentuálnímu poklesu ve výši -86,07 %. U této složky je třeba říci, že během všech sledovaných období zaznamenávala </w:t>
      </w:r>
      <w:proofErr w:type="spellStart"/>
      <w:r w:rsidRPr="00B7218F">
        <w:t>pokle</w:t>
      </w:r>
      <w:proofErr w:type="spellEnd"/>
      <w:r>
        <w:rPr>
          <w:rStyle w:val="Znakapoznpodarou"/>
        </w:rPr>
        <w:footnoteReference w:id="133"/>
      </w:r>
      <w:r w:rsidRPr="00B7218F">
        <w:t xml:space="preserve">s. </w:t>
      </w:r>
    </w:p>
    <w:p w:rsidR="00FD7B45" w:rsidRPr="00B7218F" w:rsidRDefault="00FD7B45" w:rsidP="00BF1E38"/>
    <w:p w:rsidR="00FD7B45" w:rsidRPr="00B7218F" w:rsidRDefault="00FD7B45" w:rsidP="00BF1E38">
      <w:r w:rsidRPr="00B7218F">
        <w:t xml:space="preserve">Po charakterizování tohoto období, lze říci, že vyvíjelo podobně jako minulé. Pro potvrzení či vyvrácení toho předpokladu je nutné se podívat na ostatní faktory, jak se vyvíjely. Při pohledu na míru nezaměstnanosti je patrné, že vzrostla o 3,3 % na celkových 10,3 %. Toto vysvětluje zvýšenou hodnotu vydaných transferových plateb. Co se týká mezd či platů, tak zde byl nízký růst a to ve výši 3,94 %. Tedy celková výše vynaložených platů byla v roce 2009 19 432,11 </w:t>
      </w:r>
      <w:r>
        <w:t>mil. EUR</w:t>
      </w:r>
      <w:r w:rsidRPr="00B7218F">
        <w:t>. Velmi výrazného poklesu bylo zjištěno u investic. Investice meziročně poklesy o -28,37 %. Nižšího tempa růstu také zaznamenala celková spotřeba domácností, která vzrostla o 3,94 %. Což bylo o 2,37 % méně než v minulém období. Tato situace měla na celkový vývoj HDP. HDP na konci roku 2009 zaznamenal pokles ve výši -0,64 %. Proti roku 2008 HDP kleslo o 6,58 %. Velkou zásluhu na tom měl významný pokles investice, který budu analyzován v následující kapitole</w:t>
      </w:r>
      <w:r>
        <w:rPr>
          <w:rStyle w:val="Znakapoznpodarou"/>
        </w:rPr>
        <w:footnoteReference w:id="134"/>
      </w:r>
      <w:r w:rsidRPr="00B7218F">
        <w:t>.</w:t>
      </w:r>
    </w:p>
    <w:p w:rsidR="00FD7B45" w:rsidRDefault="00FD7B45" w:rsidP="00BF1E38">
      <w:pPr>
        <w:pStyle w:val="Nadpis2"/>
        <w:spacing w:before="0"/>
      </w:pPr>
      <w:bookmarkStart w:id="108" w:name="_Toc281759186"/>
    </w:p>
    <w:p w:rsidR="00FD7B45" w:rsidRDefault="00FD7B45" w:rsidP="00BF1E38">
      <w:pPr>
        <w:pStyle w:val="Nadpis2"/>
        <w:spacing w:before="0"/>
      </w:pPr>
    </w:p>
    <w:p w:rsidR="00FD7B45" w:rsidRPr="00B7218F" w:rsidRDefault="00FD7B45" w:rsidP="00BF1E38">
      <w:pPr>
        <w:pStyle w:val="Nadpis2"/>
        <w:spacing w:before="0"/>
      </w:pPr>
      <w:bookmarkStart w:id="109" w:name="_Toc282027387"/>
      <w:r w:rsidRPr="00B7218F">
        <w:t>3.8 Vývoj investic ve sledovaném období</w:t>
      </w:r>
      <w:bookmarkEnd w:id="108"/>
      <w:bookmarkEnd w:id="109"/>
    </w:p>
    <w:p w:rsidR="00FD7B45" w:rsidRPr="00B7218F" w:rsidRDefault="00FD7B45" w:rsidP="00BF1E38"/>
    <w:p w:rsidR="00FD7B45" w:rsidRPr="00B7218F" w:rsidRDefault="00FD7B45" w:rsidP="00BF1E38"/>
    <w:p w:rsidR="00FD7B45" w:rsidRPr="00B7218F" w:rsidRDefault="00FD7B45" w:rsidP="00BF1E38">
      <w:r w:rsidRPr="00B7218F">
        <w:t>V předchozích třech kapitolách byl analyzován vývoj prvních třech složek Hrubého domácího produktu, z hlediska domácí ekonomiky. Jak při korelacích, tak i během charakterizování vývoje jednotlivých složek se vycházelo z domácí uzavřené ekonomiky. Tedy opustilo se od vlivu čistého vývozu (</w:t>
      </w:r>
      <w:proofErr w:type="spellStart"/>
      <w:r w:rsidRPr="00B7218F">
        <w:t>NX</w:t>
      </w:r>
      <w:proofErr w:type="spellEnd"/>
      <w:r w:rsidRPr="00B7218F">
        <w:t xml:space="preserve">) a tím celé platební balance. </w:t>
      </w:r>
    </w:p>
    <w:p w:rsidR="00FD7B45" w:rsidRPr="00B7218F" w:rsidRDefault="00FD7B45" w:rsidP="00BF1E38"/>
    <w:p w:rsidR="00FD7B45" w:rsidRPr="00B7218F" w:rsidRDefault="00FD7B45" w:rsidP="00BF1E38">
      <w:r w:rsidRPr="00B7218F">
        <w:t xml:space="preserve">Poslední korelovanou veličinou k vývoji HDP jsou právě investice. Jsou to právě investice, které měly nejnižší míru závislosti a to 60,19 %. Tak, jako předešlé komponenty, </w:t>
      </w:r>
      <w:proofErr w:type="gramStart"/>
      <w:r w:rsidRPr="00B7218F">
        <w:t xml:space="preserve">tak </w:t>
      </w:r>
      <w:r>
        <w:t xml:space="preserve">         </w:t>
      </w:r>
      <w:r w:rsidRPr="00B7218F">
        <w:lastRenderedPageBreak/>
        <w:t>i investice</w:t>
      </w:r>
      <w:proofErr w:type="gramEnd"/>
      <w:r w:rsidRPr="00B7218F">
        <w:t xml:space="preserve"> budou analyzovány dle jednotlivých časových období. Celkové investice lze rozdělit do tří základních skupin a to: tvorbu hrubého fixního kapitálu, změnu stavu zásob a v poslední řadě na cennosti.</w:t>
      </w:r>
    </w:p>
    <w:p w:rsidR="00FD7B45" w:rsidRPr="00B7218F" w:rsidRDefault="00FD7B45" w:rsidP="00BF1E38"/>
    <w:p w:rsidR="00FD7B45" w:rsidRDefault="00FD7B45" w:rsidP="00BF1E38">
      <w:r w:rsidRPr="00B7218F">
        <w:t>U vývoje investic, též bude přihlíženo k hodnotám, které se odchýlily od celkového meziročního růstu či vývoje o ± 45 %. Pro lepší přehled zde bude umístěna tabulka celkovým vývojem investice ve všech sledovaných obdobích.</w:t>
      </w:r>
    </w:p>
    <w:p w:rsidR="00FD7B45" w:rsidRPr="00C046AA" w:rsidRDefault="00FD7B45" w:rsidP="00C046AA">
      <w:pPr>
        <w:pStyle w:val="Nadpis5"/>
      </w:pPr>
      <w:bookmarkStart w:id="110" w:name="_Toc281768954"/>
      <w:bookmarkStart w:id="111" w:name="_Toc282364927"/>
      <w:proofErr w:type="spellStart"/>
      <w:proofErr w:type="gramStart"/>
      <w:r w:rsidRPr="00C046AA">
        <w:t>Tab.</w:t>
      </w:r>
      <w:r w:rsidR="00C046AA" w:rsidRPr="00C046AA">
        <w:t>10</w:t>
      </w:r>
      <w:proofErr w:type="spellEnd"/>
      <w:proofErr w:type="gramEnd"/>
      <w:r w:rsidRPr="00C046AA">
        <w:t>: Podrobný přehled investic</w:t>
      </w:r>
      <w:bookmarkEnd w:id="110"/>
      <w:bookmarkEnd w:id="111"/>
    </w:p>
    <w:tbl>
      <w:tblPr>
        <w:tblW w:w="8020" w:type="dxa"/>
        <w:jc w:val="center"/>
        <w:tblInd w:w="60" w:type="dxa"/>
        <w:tblCellMar>
          <w:left w:w="70" w:type="dxa"/>
          <w:right w:w="70" w:type="dxa"/>
        </w:tblCellMar>
        <w:tblLook w:val="00A0"/>
      </w:tblPr>
      <w:tblGrid>
        <w:gridCol w:w="2420"/>
        <w:gridCol w:w="1120"/>
        <w:gridCol w:w="1120"/>
        <w:gridCol w:w="1120"/>
        <w:gridCol w:w="1120"/>
        <w:gridCol w:w="1120"/>
      </w:tblGrid>
      <w:tr w:rsidR="00FD7B45" w:rsidRPr="00501694" w:rsidTr="005C27A4">
        <w:trPr>
          <w:trHeight w:val="300"/>
          <w:jc w:val="center"/>
        </w:trPr>
        <w:tc>
          <w:tcPr>
            <w:tcW w:w="2420" w:type="dxa"/>
            <w:tcBorders>
              <w:top w:val="single" w:sz="8" w:space="0" w:color="auto"/>
              <w:left w:val="single" w:sz="8" w:space="0" w:color="auto"/>
              <w:bottom w:val="nil"/>
              <w:right w:val="single" w:sz="4" w:space="0" w:color="auto"/>
            </w:tcBorders>
            <w:shd w:val="clear" w:color="000000" w:fill="DBE5F1"/>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Rok</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2005</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2006</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FF0000"/>
                <w:sz w:val="20"/>
                <w:szCs w:val="20"/>
                <w:lang w:eastAsia="cs-CZ"/>
              </w:rPr>
            </w:pPr>
            <w:r w:rsidRPr="00B7218F">
              <w:rPr>
                <w:rFonts w:ascii="Verdana" w:hAnsi="Verdana"/>
                <w:b/>
                <w:bCs/>
                <w:color w:val="FF0000"/>
                <w:sz w:val="20"/>
                <w:szCs w:val="20"/>
                <w:lang w:eastAsia="cs-CZ"/>
              </w:rPr>
              <w:t>2007</w:t>
            </w:r>
          </w:p>
        </w:tc>
        <w:tc>
          <w:tcPr>
            <w:tcW w:w="1120" w:type="dxa"/>
            <w:tcBorders>
              <w:top w:val="single" w:sz="8" w:space="0" w:color="auto"/>
              <w:left w:val="nil"/>
              <w:bottom w:val="nil"/>
              <w:right w:val="single" w:sz="4" w:space="0" w:color="000000"/>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2008</w:t>
            </w:r>
          </w:p>
        </w:tc>
        <w:tc>
          <w:tcPr>
            <w:tcW w:w="1120" w:type="dxa"/>
            <w:tcBorders>
              <w:top w:val="single" w:sz="8" w:space="0" w:color="auto"/>
              <w:left w:val="nil"/>
              <w:bottom w:val="nil"/>
              <w:right w:val="single" w:sz="8"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2009</w:t>
            </w:r>
          </w:p>
        </w:tc>
      </w:tr>
      <w:tr w:rsidR="00FD7B45" w:rsidRPr="00501694" w:rsidTr="005C27A4">
        <w:trPr>
          <w:trHeight w:val="600"/>
          <w:jc w:val="center"/>
        </w:trPr>
        <w:tc>
          <w:tcPr>
            <w:tcW w:w="2420" w:type="dxa"/>
            <w:tcBorders>
              <w:top w:val="single" w:sz="4" w:space="0" w:color="auto"/>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Tvorba hrubého fixního kapitálu</w:t>
            </w:r>
          </w:p>
        </w:tc>
        <w:tc>
          <w:tcPr>
            <w:tcW w:w="1120" w:type="dxa"/>
            <w:tcBorders>
              <w:top w:val="single" w:sz="4"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7142,73</w:t>
            </w:r>
          </w:p>
        </w:tc>
        <w:tc>
          <w:tcPr>
            <w:tcW w:w="1120" w:type="dxa"/>
            <w:tcBorders>
              <w:top w:val="single" w:sz="4"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8041,07</w:t>
            </w:r>
          </w:p>
        </w:tc>
        <w:tc>
          <w:tcPr>
            <w:tcW w:w="1120" w:type="dxa"/>
            <w:tcBorders>
              <w:top w:val="single" w:sz="4"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9238,71</w:t>
            </w:r>
          </w:p>
        </w:tc>
        <w:tc>
          <w:tcPr>
            <w:tcW w:w="1120" w:type="dxa"/>
            <w:tcBorders>
              <w:top w:val="single" w:sz="4" w:space="0" w:color="auto"/>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10164,05</w:t>
            </w:r>
          </w:p>
        </w:tc>
        <w:tc>
          <w:tcPr>
            <w:tcW w:w="1120" w:type="dxa"/>
            <w:tcBorders>
              <w:top w:val="single" w:sz="4" w:space="0" w:color="auto"/>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8396,04</w:t>
            </w:r>
          </w:p>
        </w:tc>
      </w:tr>
      <w:tr w:rsidR="00FD7B45" w:rsidRPr="00501694" w:rsidTr="005C27A4">
        <w:trPr>
          <w:trHeight w:val="300"/>
          <w:jc w:val="center"/>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12,58%</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14,89%</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10,02%</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-17,39%</w:t>
            </w:r>
          </w:p>
        </w:tc>
      </w:tr>
      <w:tr w:rsidR="00FD7B45" w:rsidRPr="00501694" w:rsidTr="005C27A4">
        <w:trPr>
          <w:trHeight w:val="300"/>
          <w:jc w:val="center"/>
        </w:trPr>
        <w:tc>
          <w:tcPr>
            <w:tcW w:w="2420"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Změny stavu zásob</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491,32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715,02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1316,02</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1106,05</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-321,61</w:t>
            </w:r>
          </w:p>
        </w:tc>
      </w:tr>
      <w:tr w:rsidR="00FD7B45" w:rsidRPr="00501694" w:rsidTr="005C27A4">
        <w:trPr>
          <w:trHeight w:val="300"/>
          <w:jc w:val="center"/>
        </w:trPr>
        <w:tc>
          <w:tcPr>
            <w:tcW w:w="2420" w:type="dxa"/>
            <w:tcBorders>
              <w:top w:val="nil"/>
              <w:left w:val="single" w:sz="8" w:space="0" w:color="auto"/>
              <w:bottom w:val="single" w:sz="4" w:space="0" w:color="auto"/>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45,53%</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84,05%</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-15,95%</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-129,08%</w:t>
            </w:r>
          </w:p>
        </w:tc>
      </w:tr>
      <w:tr w:rsidR="00FD7B45" w:rsidRPr="00501694" w:rsidTr="005C27A4">
        <w:trPr>
          <w:trHeight w:val="300"/>
          <w:jc w:val="center"/>
        </w:trPr>
        <w:tc>
          <w:tcPr>
            <w:tcW w:w="2420"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 xml:space="preserve">Cennosti </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2,73</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9,46</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20,27</w:t>
            </w:r>
          </w:p>
        </w:tc>
        <w:tc>
          <w:tcPr>
            <w:tcW w:w="1120"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5,96</w:t>
            </w:r>
          </w:p>
        </w:tc>
        <w:tc>
          <w:tcPr>
            <w:tcW w:w="1120"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2,08</w:t>
            </w:r>
          </w:p>
        </w:tc>
      </w:tr>
      <w:tr w:rsidR="00FD7B45" w:rsidRPr="00501694" w:rsidTr="005C27A4">
        <w:trPr>
          <w:trHeight w:val="315"/>
          <w:jc w:val="center"/>
        </w:trPr>
        <w:tc>
          <w:tcPr>
            <w:tcW w:w="2420" w:type="dxa"/>
            <w:tcBorders>
              <w:top w:val="nil"/>
              <w:left w:val="single" w:sz="8" w:space="0" w:color="auto"/>
              <w:bottom w:val="nil"/>
              <w:right w:val="single" w:sz="4" w:space="0" w:color="auto"/>
            </w:tcBorders>
            <w:shd w:val="clear" w:color="000000" w:fill="FAC090"/>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246,43%</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114,20%</w:t>
            </w:r>
          </w:p>
        </w:tc>
        <w:tc>
          <w:tcPr>
            <w:tcW w:w="1120"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-70,60%</w:t>
            </w:r>
          </w:p>
        </w:tc>
        <w:tc>
          <w:tcPr>
            <w:tcW w:w="1120" w:type="dxa"/>
            <w:tcBorders>
              <w:top w:val="nil"/>
              <w:left w:val="nil"/>
              <w:bottom w:val="nil"/>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-65,08%</w:t>
            </w:r>
          </w:p>
        </w:tc>
      </w:tr>
      <w:tr w:rsidR="00FD7B45" w:rsidRPr="00501694" w:rsidTr="005C27A4">
        <w:trPr>
          <w:trHeight w:val="300"/>
          <w:jc w:val="center"/>
        </w:trPr>
        <w:tc>
          <w:tcPr>
            <w:tcW w:w="2420" w:type="dxa"/>
            <w:tcBorders>
              <w:top w:val="single" w:sz="8" w:space="0" w:color="auto"/>
              <w:left w:val="single" w:sz="8" w:space="0" w:color="auto"/>
              <w:bottom w:val="nil"/>
              <w:right w:val="nil"/>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Celkem</w:t>
            </w:r>
          </w:p>
        </w:tc>
        <w:tc>
          <w:tcPr>
            <w:tcW w:w="1120" w:type="dxa"/>
            <w:tcBorders>
              <w:top w:val="single" w:sz="8" w:space="0" w:color="auto"/>
              <w:left w:val="single" w:sz="4" w:space="0" w:color="auto"/>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7636,78</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8765,66</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10575,00</w:t>
            </w:r>
          </w:p>
        </w:tc>
        <w:tc>
          <w:tcPr>
            <w:tcW w:w="1120"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11276,06</w:t>
            </w:r>
          </w:p>
        </w:tc>
        <w:tc>
          <w:tcPr>
            <w:tcW w:w="1120" w:type="dxa"/>
            <w:tcBorders>
              <w:top w:val="single" w:sz="8" w:space="0" w:color="auto"/>
              <w:left w:val="nil"/>
              <w:bottom w:val="single" w:sz="4" w:space="0" w:color="auto"/>
              <w:right w:val="single" w:sz="8"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8076,51</w:t>
            </w:r>
          </w:p>
        </w:tc>
      </w:tr>
      <w:tr w:rsidR="00FD7B45" w:rsidRPr="00501694" w:rsidTr="005C27A4">
        <w:trPr>
          <w:trHeight w:val="315"/>
          <w:jc w:val="center"/>
        </w:trPr>
        <w:tc>
          <w:tcPr>
            <w:tcW w:w="2420" w:type="dxa"/>
            <w:tcBorders>
              <w:top w:val="single" w:sz="4" w:space="0" w:color="auto"/>
              <w:left w:val="single" w:sz="8" w:space="0" w:color="auto"/>
              <w:bottom w:val="single" w:sz="8" w:space="0" w:color="auto"/>
              <w:right w:val="nil"/>
            </w:tcBorders>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Meziroční % nárůst</w:t>
            </w:r>
          </w:p>
        </w:tc>
        <w:tc>
          <w:tcPr>
            <w:tcW w:w="1120" w:type="dxa"/>
            <w:tcBorders>
              <w:top w:val="nil"/>
              <w:left w:val="single" w:sz="4" w:space="0" w:color="auto"/>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14,78%</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FF0000"/>
                <w:lang w:eastAsia="cs-CZ"/>
              </w:rPr>
            </w:pPr>
            <w:r w:rsidRPr="00B7218F">
              <w:rPr>
                <w:rFonts w:ascii="Calibri" w:hAnsi="Calibri"/>
                <w:b/>
                <w:bCs/>
                <w:color w:val="FF0000"/>
                <w:sz w:val="22"/>
                <w:lang w:eastAsia="cs-CZ"/>
              </w:rPr>
              <w:t>20,64%</w:t>
            </w:r>
          </w:p>
        </w:tc>
        <w:tc>
          <w:tcPr>
            <w:tcW w:w="1120"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6,63%</w:t>
            </w:r>
          </w:p>
        </w:tc>
        <w:tc>
          <w:tcPr>
            <w:tcW w:w="1120" w:type="dxa"/>
            <w:tcBorders>
              <w:top w:val="nil"/>
              <w:left w:val="nil"/>
              <w:bottom w:val="single" w:sz="8" w:space="0" w:color="auto"/>
              <w:right w:val="single" w:sz="8"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-28,37%</w:t>
            </w:r>
          </w:p>
        </w:tc>
      </w:tr>
    </w:tbl>
    <w:p w:rsidR="00FD7B45" w:rsidRPr="00B7218F" w:rsidRDefault="00FD7B45" w:rsidP="00BF1E38">
      <w:pPr>
        <w:rPr>
          <w:sz w:val="20"/>
          <w:szCs w:val="20"/>
        </w:rPr>
      </w:pPr>
    </w:p>
    <w:p w:rsidR="00FD7B45" w:rsidRPr="00B7218F" w:rsidRDefault="00FD7B45" w:rsidP="00BF1E38">
      <w:pPr>
        <w:pStyle w:val="Podtitul"/>
        <w:rPr>
          <w:lang w:eastAsia="cs-CZ"/>
        </w:rPr>
      </w:pPr>
      <w:r w:rsidRPr="00B7218F">
        <w:t xml:space="preserve">Zdroj Vlastní konstrukce : Statistický Slovinský úřad[online],Národní účty, </w:t>
      </w:r>
      <w:r>
        <w:t>2010</w:t>
      </w:r>
      <w:r w:rsidRPr="00B7218F">
        <w:t>,</w:t>
      </w:r>
      <w:r>
        <w:t xml:space="preserve"> </w:t>
      </w:r>
      <w:r w:rsidRPr="00B7218F">
        <w:t xml:space="preserve">[cit. </w:t>
      </w:r>
      <w:proofErr w:type="gramStart"/>
      <w:r w:rsidRPr="00B7218F">
        <w:t>2010-10</w:t>
      </w:r>
      <w:proofErr w:type="gramEnd"/>
      <w:r w:rsidRPr="00B7218F">
        <w:t xml:space="preserve">-30]. Dostupný z  </w:t>
      </w:r>
      <w:hyperlink r:id="rId28" w:history="1">
        <w:r w:rsidRPr="00B7218F">
          <w:rPr>
            <w:rStyle w:val="Hypertextovodkaz"/>
            <w:szCs w:val="20"/>
          </w:rPr>
          <w:t>http://www.stat.si/pxweb/Database/Ekonomsko/Ekonomsko.asp</w:t>
        </w:r>
      </w:hyperlink>
    </w:p>
    <w:p w:rsidR="00FD7B45" w:rsidRPr="00B7218F" w:rsidRDefault="00FD7B45" w:rsidP="00BF1E38"/>
    <w:p w:rsidR="00FD7B45" w:rsidRDefault="00FD7B45" w:rsidP="00BF1E38"/>
    <w:p w:rsidR="00FD7B45" w:rsidRPr="00B7218F" w:rsidRDefault="00FD7B45" w:rsidP="00BF1E38">
      <w:pPr>
        <w:rPr>
          <w:b/>
          <w:lang w:eastAsia="cs-CZ"/>
        </w:rPr>
      </w:pPr>
      <w:r w:rsidRPr="00B7218F">
        <w:rPr>
          <w:b/>
          <w:lang w:eastAsia="cs-CZ"/>
        </w:rPr>
        <w:t>Meziroční vývoj 2006/2005</w:t>
      </w:r>
    </w:p>
    <w:p w:rsidR="00FD7B45" w:rsidRPr="00B7218F" w:rsidRDefault="00FD7B45" w:rsidP="00BF1E38">
      <w:pPr>
        <w:rPr>
          <w:b/>
          <w:lang w:eastAsia="cs-CZ"/>
        </w:rPr>
      </w:pPr>
    </w:p>
    <w:p w:rsidR="00FD7B45" w:rsidRPr="00B7218F" w:rsidRDefault="00FD7B45" w:rsidP="00BF1E38">
      <w:r w:rsidRPr="00B7218F">
        <w:t xml:space="preserve">Prvním obdobím, kterým se bude tato práce u vývoje investic zabývat je období 2006/2005. Ke konci roku 2006 celkové investice zaznamenaly růst ve výši 14,78 %. Na tomto růstu měly podíl všechny tři základní veličiny. Z toho dvě se na tomto podílely výrazněji. Nejvyšší meziroční nárůst byl u cenností. Cennosti na konci roku 2006 měly nárůst ve výši 246,43 %. Na první pohled je patrné, že se jedná o mimořádný nárůst. V peněžním vyjádření to </w:t>
      </w:r>
      <w:proofErr w:type="gramStart"/>
      <w:r w:rsidRPr="00B7218F">
        <w:t>znamená, že</w:t>
      </w:r>
      <w:proofErr w:type="gramEnd"/>
      <w:r w:rsidRPr="00B7218F">
        <w:t xml:space="preserve"> investoři do cenností v roce 2005 investovaly      2,73 mil. </w:t>
      </w:r>
      <w:proofErr w:type="gramStart"/>
      <w:r w:rsidRPr="00B7218F">
        <w:t>EUR.</w:t>
      </w:r>
      <w:proofErr w:type="gramEnd"/>
      <w:r w:rsidRPr="00B7218F">
        <w:t xml:space="preserve">  Na konci roku 2006, se tato hodnoty zvýšila na 9,46 mil. EUR</w:t>
      </w:r>
      <w:r>
        <w:rPr>
          <w:rStyle w:val="Znakapoznpodarou"/>
        </w:rPr>
        <w:footnoteReference w:id="135"/>
      </w:r>
      <w:r w:rsidRPr="00B7218F">
        <w:t xml:space="preserve">. </w:t>
      </w:r>
    </w:p>
    <w:p w:rsidR="00FD7B45" w:rsidRPr="00B7218F" w:rsidRDefault="00FD7B45" w:rsidP="00BF1E38"/>
    <w:p w:rsidR="00FD7B45" w:rsidRDefault="00FD7B45" w:rsidP="00BF1E38">
      <w:r w:rsidRPr="00B7218F">
        <w:lastRenderedPageBreak/>
        <w:t>Změna stavu zásob také zaznamenala výraznější růst, sice ne tak výrazný jako cennosti.  Meziroční růst u změn zásob byl 45,53%. Ve finančním vyjádření to znamená, že výchozí hodnota pro srovnání z roku 2005 činila 491,32 mil. EUR a konečná hodnota z roku 2006 byla vy výši 715,02 mil. EUR</w:t>
      </w:r>
      <w:r>
        <w:rPr>
          <w:rStyle w:val="Znakapoznpodarou"/>
        </w:rPr>
        <w:footnoteReference w:id="136"/>
      </w:r>
      <w:r w:rsidRPr="00B7218F">
        <w:t>.</w:t>
      </w:r>
    </w:p>
    <w:p w:rsidR="00FD7B45" w:rsidRPr="00B7218F" w:rsidRDefault="00FD7B45" w:rsidP="00BF1E38"/>
    <w:p w:rsidR="00FD7B45" w:rsidRPr="00B7218F" w:rsidRDefault="00FD7B45" w:rsidP="00BF1E38">
      <w:r w:rsidRPr="00B7218F">
        <w:t xml:space="preserve">Poslední složkou celkových investic, která zde zatím nebyla zmíněna </w:t>
      </w:r>
      <w:proofErr w:type="gramStart"/>
      <w:r w:rsidRPr="00B7218F">
        <w:t>je</w:t>
      </w:r>
      <w:proofErr w:type="gramEnd"/>
      <w:r w:rsidRPr="00B7218F">
        <w:t xml:space="preserve"> tvorba hrubého fixního kapitálu. Tato součást celkových investic, také zaznamená nárůst ne takový, který by přesáhl hranic + 45 % nad změnou celkových investic. Ale i tak by se měl v této práci zmínit. Meziroční procentuální nárůstek této komponenty byl ve výši 12,58 %. Výchozí hodnota pro meziroční srovnání je z roku 2005. V roce 2005 bylo investováno do hrubého fixního kapitálu 7 142,73 mil. EUR. Z výše meziročního přírůstku plyne, že konečná hodnota z roku 2006 byla 8 041,07 mil. EUR</w:t>
      </w:r>
      <w:r>
        <w:rPr>
          <w:rStyle w:val="Znakapoznpodarou"/>
        </w:rPr>
        <w:footnoteReference w:id="137"/>
      </w:r>
      <w:r w:rsidRPr="00B7218F">
        <w:t>.</w:t>
      </w:r>
    </w:p>
    <w:p w:rsidR="00FD7B45" w:rsidRPr="00B7218F" w:rsidRDefault="00FD7B45" w:rsidP="00BF1E38"/>
    <w:p w:rsidR="00FD7B45" w:rsidRPr="00B7218F" w:rsidRDefault="00FD7B45" w:rsidP="00BF1E38">
      <w:r w:rsidRPr="00B7218F">
        <w:t>Z celkového pohledu na vývoj investic v tomto období, lze říci, že se vyjely velmi dobře. Investoři, zde neměly obavu, že by o své investované prostředky přišly. Tomuto tvrzení napovídá i vývoj HDP spolu s vývojem spotřeby domácností, vládních výdajů a poklesem míry nezaměstnanosti o -1,6 % na hodnotu 8,6 %.</w:t>
      </w:r>
      <w:r>
        <w:rPr>
          <w:rStyle w:val="Znakapoznpodarou"/>
        </w:rPr>
        <w:footnoteReference w:id="138"/>
      </w:r>
    </w:p>
    <w:p w:rsidR="00FD7B45" w:rsidRPr="00B7218F" w:rsidRDefault="00FD7B45" w:rsidP="00BF1E38"/>
    <w:p w:rsidR="00FD7B45" w:rsidRDefault="00FD7B45" w:rsidP="00BF1E38">
      <w:pPr>
        <w:rPr>
          <w:b/>
          <w:lang w:eastAsia="cs-CZ"/>
        </w:rPr>
      </w:pPr>
    </w:p>
    <w:p w:rsidR="00FD7B45" w:rsidRPr="00B7218F" w:rsidRDefault="00FD7B45" w:rsidP="00BF1E38">
      <w:pPr>
        <w:rPr>
          <w:b/>
          <w:lang w:eastAsia="cs-CZ"/>
        </w:rPr>
      </w:pPr>
      <w:r w:rsidRPr="00B7218F">
        <w:rPr>
          <w:b/>
          <w:lang w:eastAsia="cs-CZ"/>
        </w:rPr>
        <w:t>Meziroční vývoj 2007/2006</w:t>
      </w:r>
    </w:p>
    <w:p w:rsidR="00FD7B45" w:rsidRPr="00B7218F" w:rsidRDefault="00FD7B45" w:rsidP="00BF1E38"/>
    <w:p w:rsidR="00FD7B45" w:rsidRPr="00B7218F" w:rsidRDefault="00FD7B45" w:rsidP="00BF1E38">
      <w:r w:rsidRPr="00B7218F">
        <w:t>Výchozí hodnotou pro srovnání vývoje jednotlivých částí investic je meziroční změna celkových investice. Tato změna na konci roku 2007 činila 20,64 %. Proti předchozímu srovnávanému období je to výraznější nárůst. Při pohledu na vývoj jednotlivých komponent je patrné, že výraznější růstu dosáhly cennosti a změna zásob. U cennosti byl jako v minulem období velmi výrazný růst. V tomto období byl meziroční procentuální nárůst ve výši 114,20 %. Je menší nárůst než v předchozím časovém úseku, ale i tak se dá říci, že je významný</w:t>
      </w:r>
      <w:r>
        <w:rPr>
          <w:rStyle w:val="Znakapoznpodarou"/>
        </w:rPr>
        <w:footnoteReference w:id="139"/>
      </w:r>
      <w:r w:rsidRPr="00B7218F">
        <w:t xml:space="preserve">. </w:t>
      </w:r>
    </w:p>
    <w:p w:rsidR="00FD7B45" w:rsidRPr="00B7218F" w:rsidRDefault="00FD7B45" w:rsidP="00BF1E38"/>
    <w:p w:rsidR="00FD7B45" w:rsidRPr="00B7218F" w:rsidRDefault="00FD7B45" w:rsidP="00BF1E38">
      <w:r w:rsidRPr="00B7218F">
        <w:lastRenderedPageBreak/>
        <w:t>Změna zásob taktéž zaznamenala výrazný růst. Tento růst byl ve výši 84,50 %. Vůči předchozímu období se zvýšil o 38,97 %. Na konci roku 2007 hodnota změny zásob dosáhla výše 1316,02 mil. EUR</w:t>
      </w:r>
      <w:r>
        <w:rPr>
          <w:rStyle w:val="Znakapoznpodarou"/>
        </w:rPr>
        <w:footnoteReference w:id="140"/>
      </w:r>
      <w:r w:rsidRPr="00B7218F">
        <w:t>.</w:t>
      </w:r>
    </w:p>
    <w:p w:rsidR="00FD7B45" w:rsidRPr="00B7218F" w:rsidRDefault="00FD7B45" w:rsidP="00BF1E38"/>
    <w:p w:rsidR="00FD7B45" w:rsidRPr="00B7218F" w:rsidRDefault="00FD7B45" w:rsidP="00BF1E38">
      <w:r w:rsidRPr="00B7218F">
        <w:t xml:space="preserve">Poslední složkou investic je tvorba hrubého fixního kapitálu, </w:t>
      </w:r>
      <w:proofErr w:type="gramStart"/>
      <w:r w:rsidRPr="00B7218F">
        <w:t>která</w:t>
      </w:r>
      <w:proofErr w:type="gramEnd"/>
      <w:r w:rsidRPr="00B7218F">
        <w:t xml:space="preserve"> jako jediná v daném časovém úseku zaznamenal nižší tempo růstu. V hodnotovém vyjádření byla výchozí hodnota z roku 2006 ve výši 8041,07 mil. EUR a na konci roku 2007 dosáhla </w:t>
      </w:r>
      <w:proofErr w:type="gramStart"/>
      <w:r w:rsidRPr="00B7218F">
        <w:t>výše</w:t>
      </w:r>
      <w:r>
        <w:t xml:space="preserve"> </w:t>
      </w:r>
      <w:r w:rsidRPr="00B7218F">
        <w:t xml:space="preserve"> 9238,71</w:t>
      </w:r>
      <w:proofErr w:type="gramEnd"/>
      <w:r w:rsidRPr="00B7218F">
        <w:t xml:space="preserve"> mil. EUR. Tedy meziroční procentuální růst byl 14,89 %.</w:t>
      </w:r>
      <w:r>
        <w:rPr>
          <w:rStyle w:val="Znakapoznpodarou"/>
        </w:rPr>
        <w:footnoteReference w:id="141"/>
      </w:r>
      <w:r w:rsidRPr="00B7218F">
        <w:t xml:space="preserve"> </w:t>
      </w:r>
    </w:p>
    <w:p w:rsidR="00FD7B45" w:rsidRPr="00B7218F" w:rsidRDefault="00FD7B45" w:rsidP="00BF1E38"/>
    <w:p w:rsidR="00FD7B45" w:rsidRDefault="00FD7B45" w:rsidP="00BF1E38">
      <w:r w:rsidRPr="00B7218F">
        <w:t>Jak bylo uvedeno, tak investice zaznamenaly vysoký nárůst. Tento nárůst je signálem toho, že investoři našli důvěru investovat ve Slovinsku. Jedním z důvodů, může být právě zavedení společné měny euro. Zavedení jednotné měny má za následek snížení transakčních nákladů např. s výměnou měny. Tato také mohlo být impulsem pro investování. Růst investic následně vyvol pokles vládních výdajů. Vláda v tomto případě nevydávala peněžní prostředky v takové míře, protože k tomu neměla vážnější důvod. Ekonomika v zemi fungovala dobře. Tento krok byl také vidět na nižším tempu růstu transferu. Transfery taky klesly z důsledku zvýšení mezd či platů. Daná situace se také kladně podepsala na růstu HDP (10,15 %) a spotřeby (9,90 %) a také na poklesu míry nezaměstnanosti o 1,3 % na konečných 7,3 %</w:t>
      </w:r>
      <w:r>
        <w:rPr>
          <w:rStyle w:val="Znakapoznpodarou"/>
        </w:rPr>
        <w:footnoteReference w:id="142"/>
      </w:r>
      <w:r w:rsidRPr="00B7218F">
        <w:t xml:space="preserve">. </w:t>
      </w:r>
    </w:p>
    <w:p w:rsidR="00FD7B45" w:rsidRDefault="00FD7B45" w:rsidP="00BF1E38"/>
    <w:p w:rsidR="00FD7B45" w:rsidRPr="00B7218F" w:rsidRDefault="00FD7B45" w:rsidP="00BF1E38"/>
    <w:p w:rsidR="00FD7B45" w:rsidRPr="00B7218F" w:rsidRDefault="00FD7B45" w:rsidP="00BF1E38">
      <w:pPr>
        <w:rPr>
          <w:b/>
          <w:lang w:eastAsia="cs-CZ"/>
        </w:rPr>
      </w:pPr>
      <w:r w:rsidRPr="00B7218F">
        <w:rPr>
          <w:b/>
          <w:lang w:eastAsia="cs-CZ"/>
        </w:rPr>
        <w:t>Meziroční vývoj 2008/2007</w:t>
      </w:r>
    </w:p>
    <w:p w:rsidR="00FD7B45" w:rsidRPr="00B7218F" w:rsidRDefault="00FD7B45" w:rsidP="00BF1E38"/>
    <w:p w:rsidR="00FD7B45" w:rsidRPr="00B7218F" w:rsidRDefault="00FD7B45" w:rsidP="00BF1E38">
      <w:r w:rsidRPr="00B7218F">
        <w:t xml:space="preserve">Období 2008/2007 je již charakterizované již nižším tempem růstu investic. Investice proti předešlému období vzrostly pouze o 6,63 %. Velmi výrazný podíl na snížení tempa růstu mají cennosti a změna stavu zásob. U cennosti je tato situace zcela odlišná vůči minulým obdobím, ve kterých zaznamenaly výrazný růst. V tomto období zaznamenaly pokles ve výši -70,60 %. Což je velmi výrazný pokles. V investovaných prostředcích to znamená, že z původní hodnoty z roku 2007, která byla 20,27 mil. EUR, klesly investice do cenností v roce 2008 na 5,96 mil. EUR. Podobný vývoj byl i u složky změna stavu zásob. Zde také </w:t>
      </w:r>
      <w:r w:rsidRPr="00B7218F">
        <w:lastRenderedPageBreak/>
        <w:t>v předešlých obdobích byly zaznamenány výrazné nárůsty. V roce 2008 zde došlo k poklesu o – 15,95 %. V peněžním z toho plyne, že na konci roku 2008 byla hodnota změny zásob ve výši 1106,05 mil. EUR, na kterou během daného období klesla z výchozí hodnoty 1316,02 mil. EUR z roku 2007</w:t>
      </w:r>
      <w:r>
        <w:rPr>
          <w:rStyle w:val="Znakapoznpodarou"/>
        </w:rPr>
        <w:footnoteReference w:id="143"/>
      </w:r>
      <w:r w:rsidRPr="00B7218F">
        <w:t>.</w:t>
      </w:r>
    </w:p>
    <w:p w:rsidR="00FD7B45" w:rsidRPr="00B7218F" w:rsidRDefault="00FD7B45" w:rsidP="00BF1E38"/>
    <w:p w:rsidR="00FD7B45" w:rsidRPr="00B7218F" w:rsidRDefault="00FD7B45" w:rsidP="00BF1E38">
      <w:r w:rsidRPr="00B7218F">
        <w:t>Jedinou složkou, která v tomto období zaznamenala růst, byla tvorba hrubého fixního kapitálu. Hrubý fixní kapitál zaznamenal meziroční procentuální růst ve výši 10,02 %. V peněžním vyjádření to znamená, že na konci roku 2008 bylo do hrubého fixního kapitálu investováno 10 164,05 mil. EUR. Což je o 925,34 mil. EUR více než v roce 2007</w:t>
      </w:r>
      <w:r>
        <w:rPr>
          <w:rStyle w:val="Znakapoznpodarou"/>
        </w:rPr>
        <w:footnoteReference w:id="144"/>
      </w:r>
      <w:r w:rsidRPr="00B7218F">
        <w:t>.</w:t>
      </w:r>
    </w:p>
    <w:p w:rsidR="00FD7B45" w:rsidRPr="00B7218F" w:rsidRDefault="00FD7B45" w:rsidP="00BF1E38"/>
    <w:p w:rsidR="00FD7B45" w:rsidRPr="00B7218F" w:rsidRDefault="00FD7B45" w:rsidP="00BF1E38">
      <w:r w:rsidRPr="00B7218F">
        <w:t>Z předchozích údajů je patrné, že ve sledovaném období 2008/2007 investice zaznamenaly výrazné snížení tempa růstu. Investoři nevkládali již tolik finančních prostředků jako v minulém období. Při pohledu na ostatní složky, které tvoří HDP je patrné, že došlo ke snížení tempa růstu jak u spotřeby domácností tak i celkového HDP. Zatímco u těchto složek došlo ke snížení, tak u vládních výdajů byl zaznamenán růst ve výši 10,59 %. Proti předchozímu období to byl výrazný růst. Spolu s vládními výdaji rostly také transfery. Slovinská vláda na základě vývoje dané situace rozhodla zvýšit své výdaje z důsledku toho, že si byla vědoma, že došlo ke snížení tempa růstu investic spotřeby a i celkové HDP. Dana situace měla vliv i na míru nezaměstnanosti, která klesla pouze o 0,3 % na celkových 7 %.</w:t>
      </w:r>
      <w:r>
        <w:rPr>
          <w:rStyle w:val="Znakapoznpodarou"/>
        </w:rPr>
        <w:footnoteReference w:id="145"/>
      </w:r>
    </w:p>
    <w:p w:rsidR="00FD7B45" w:rsidRDefault="00FD7B45" w:rsidP="00BF1E38"/>
    <w:p w:rsidR="00FD7B45" w:rsidRPr="00B7218F" w:rsidRDefault="00FD7B45" w:rsidP="00BF1E38"/>
    <w:p w:rsidR="00FD7B45" w:rsidRPr="00B7218F" w:rsidRDefault="00FD7B45" w:rsidP="00BF1E38">
      <w:pPr>
        <w:rPr>
          <w:b/>
          <w:lang w:eastAsia="cs-CZ"/>
        </w:rPr>
      </w:pPr>
      <w:r w:rsidRPr="00B7218F">
        <w:rPr>
          <w:b/>
          <w:lang w:eastAsia="cs-CZ"/>
        </w:rPr>
        <w:t>Meziroční vývoj 2009/2008</w:t>
      </w:r>
    </w:p>
    <w:p w:rsidR="00FD7B45" w:rsidRPr="00B7218F" w:rsidRDefault="00FD7B45" w:rsidP="00BF1E38"/>
    <w:p w:rsidR="00FD7B45" w:rsidRPr="00B7218F" w:rsidRDefault="00FD7B45" w:rsidP="00BF1E38">
      <w:r w:rsidRPr="00B7218F">
        <w:t xml:space="preserve">Poslední časové období, které zde bude analyzováno je období 2009/2008. Zde lze s největší pravděpodobní předpokládat, že vývoj byl ovlivněn hospodářskou krizí. Investice jsou zrovna tou složkou, která na jakékoliv změny v ekonomickém vývoji reaguje velmi rychle. Tato vlastnost, je patrná na první pohled na vývoj celkových </w:t>
      </w:r>
      <w:r w:rsidRPr="00B7218F">
        <w:lastRenderedPageBreak/>
        <w:t>investice. Na konci roku 2009 investice zaznamenaly pokles ve výši -28,37 %. Pokles byl udivován ve všech jednotlivých komponent celkových reálných investic</w:t>
      </w:r>
      <w:r>
        <w:rPr>
          <w:rStyle w:val="Znakapoznpodarou"/>
        </w:rPr>
        <w:footnoteReference w:id="146"/>
      </w:r>
      <w:r w:rsidRPr="00B7218F">
        <w:t xml:space="preserve">. </w:t>
      </w:r>
    </w:p>
    <w:p w:rsidR="00FD7B45" w:rsidRPr="00B7218F" w:rsidRDefault="00FD7B45" w:rsidP="00BF1E38"/>
    <w:p w:rsidR="00FD7B45" w:rsidRPr="00B7218F" w:rsidRDefault="00FD7B45" w:rsidP="00BF1E38">
      <w:r w:rsidRPr="00B7218F">
        <w:t xml:space="preserve">Nejrazantnější pokles byl zaznamenán u složky změna zásob. Ke konci roku 2009 zde byl, zaznamenám pokles ve </w:t>
      </w:r>
      <w:proofErr w:type="gramStart"/>
      <w:r w:rsidRPr="00B7218F">
        <w:t>výši  -129,08</w:t>
      </w:r>
      <w:proofErr w:type="gramEnd"/>
      <w:r w:rsidRPr="00B7218F">
        <w:t xml:space="preserve"> %.  Pokles je velmi výrazný a slovinská vláda musela </w:t>
      </w:r>
      <w:proofErr w:type="gramStart"/>
      <w:r w:rsidRPr="00B7218F">
        <w:t>ně něj</w:t>
      </w:r>
      <w:proofErr w:type="gramEnd"/>
      <w:r w:rsidRPr="00B7218F">
        <w:t xml:space="preserve"> nějakým způsobem reagovat. Výchozí hodnota z roku 2008 u změn zásob činila 1106,05 mil. EUR. Na základě tak výrazného poklesu se na konci roku 2009 dostala do minusových položek. Tedy na konci roku 2009 byla hodnota změny zásob ztrátová a to ve výši -321,60 mil. EUR.</w:t>
      </w:r>
      <w:r>
        <w:rPr>
          <w:rStyle w:val="Znakapoznpodarou"/>
        </w:rPr>
        <w:footnoteReference w:id="147"/>
      </w:r>
    </w:p>
    <w:p w:rsidR="00FD7B45" w:rsidRPr="00B7218F" w:rsidRDefault="00FD7B45" w:rsidP="00BF1E38"/>
    <w:p w:rsidR="00FD7B45" w:rsidRPr="00B7218F" w:rsidRDefault="00FD7B45" w:rsidP="00BF1E38">
      <w:pPr>
        <w:rPr>
          <w:vanish/>
          <w:specVanish/>
        </w:rPr>
      </w:pPr>
      <w:r w:rsidRPr="00B7218F">
        <w:t xml:space="preserve">Druhý velmi výrazný pokles byl u cenností, které v letech 2005 – 2007 zaznamenávaly velmi výrazný kladný růst. Na konci roku 2009 cennosti zaznamenaly pokles ve </w:t>
      </w:r>
      <w:proofErr w:type="gramStart"/>
      <w:r w:rsidRPr="00B7218F">
        <w:t>výši           - 17,39</w:t>
      </w:r>
      <w:proofErr w:type="gramEnd"/>
      <w:r w:rsidRPr="00B7218F">
        <w:t xml:space="preserve"> %. V hodnotovém vyjádření to znamená, že do cenností investoři investovaly pouze 2,08 mil. EUR, což je o 3,88 </w:t>
      </w:r>
      <w:r>
        <w:t>mil. EUR</w:t>
      </w:r>
      <w:r w:rsidRPr="00B7218F">
        <w:t xml:space="preserve"> méně než v roce 2008.</w:t>
      </w:r>
    </w:p>
    <w:p w:rsidR="00FD7B45" w:rsidRPr="00B7218F" w:rsidRDefault="00FD7B45" w:rsidP="00BF1E38">
      <w:r w:rsidRPr="00B7218F">
        <w:t xml:space="preserve"> </w:t>
      </w:r>
    </w:p>
    <w:p w:rsidR="00FD7B45" w:rsidRPr="00B7218F" w:rsidRDefault="00FD7B45" w:rsidP="00BF1E38"/>
    <w:p w:rsidR="00FD7B45" w:rsidRPr="00B7218F" w:rsidRDefault="00FD7B45" w:rsidP="00BF1E38">
      <w:pPr>
        <w:rPr>
          <w:szCs w:val="21"/>
          <w:lang w:eastAsia="cs-CZ"/>
        </w:rPr>
      </w:pPr>
      <w:r w:rsidRPr="00B7218F">
        <w:t xml:space="preserve">Pokles byl také zjištěn u tvorby hrubého fixního kapitálu. Hrubý fixní kapitál zaznamenal pokles ve výši -17,39 %. V peněžním hodnocení to znamená, že výchozí hodnota z roku 2008, která byla ve výši </w:t>
      </w:r>
      <w:proofErr w:type="gramStart"/>
      <w:r w:rsidRPr="00B7218F">
        <w:t>10 164,05  mil.</w:t>
      </w:r>
      <w:proofErr w:type="gramEnd"/>
      <w:r w:rsidRPr="00B7218F">
        <w:t xml:space="preserve"> EUR. Na konci roku 2009 se tato částka snížila na </w:t>
      </w:r>
      <w:r w:rsidRPr="00B7218F">
        <w:rPr>
          <w:szCs w:val="21"/>
          <w:lang w:eastAsia="cs-CZ"/>
        </w:rPr>
        <w:t>8 396,04 mil. EUR.</w:t>
      </w:r>
      <w:r>
        <w:rPr>
          <w:rStyle w:val="Znakapoznpodarou"/>
          <w:szCs w:val="21"/>
          <w:lang w:eastAsia="cs-CZ"/>
        </w:rPr>
        <w:footnoteReference w:id="148"/>
      </w:r>
    </w:p>
    <w:p w:rsidR="00FD7B45" w:rsidRPr="00B7218F" w:rsidRDefault="00FD7B45" w:rsidP="00BF1E38">
      <w:pPr>
        <w:rPr>
          <w:szCs w:val="21"/>
          <w:lang w:eastAsia="cs-CZ"/>
        </w:rPr>
      </w:pPr>
    </w:p>
    <w:p w:rsidR="00FD7B45" w:rsidRPr="00B7218F" w:rsidRDefault="00FD7B45" w:rsidP="00BF1E38">
      <w:r w:rsidRPr="00B7218F">
        <w:t xml:space="preserve">Z výše uvedených dat je patrné, že investice v období 2009/2008 zaznamenaly velmi výrazný pokles. Investoři se na základě daného ekonomického vývoje rozhodly své prostředky ze slovinské ekonomiky stáhnout a raději je přesunout pro ně do </w:t>
      </w:r>
      <w:proofErr w:type="gramStart"/>
      <w:r w:rsidRPr="00B7218F">
        <w:t>bezpečnějších</w:t>
      </w:r>
      <w:proofErr w:type="gramEnd"/>
      <w:r w:rsidRPr="00B7218F">
        <w:t xml:space="preserve"> segmentu v jiných zemích. Na tento pokles investice slovinská vláda zareagovala tak, že zvýšila vládní výdaje a tím chtěla podpořit domácí ekonomiku. Při pohledu na vývoj HDP, spotřeby a vládních výdajů, je patrné, že se celková situace projevila na poklesu HDP a </w:t>
      </w:r>
      <w:proofErr w:type="gramStart"/>
      <w:r w:rsidRPr="00B7218F">
        <w:t>to  o -0,64</w:t>
      </w:r>
      <w:proofErr w:type="gramEnd"/>
      <w:r w:rsidRPr="00B7218F">
        <w:t xml:space="preserve"> %. U spotřeby </w:t>
      </w:r>
      <w:proofErr w:type="gramStart"/>
      <w:r w:rsidRPr="00B7218F">
        <w:t>byl zaznamenám</w:t>
      </w:r>
      <w:proofErr w:type="gramEnd"/>
      <w:r w:rsidRPr="00B7218F">
        <w:t xml:space="preserve"> nižší růst než v předešlém období. Spotřeba vzrostla pouze o 3,94 %. Bylo již zmíněno, že vláda vynaložila více finančních prostředků. A to jak ve formě transferu a tak i ostatních vládních výdajů. Co se týká transferu, tak meziročně vzrostly o 12,09 %. Tedy slovinská vláda v roce 2009 uvolnila ve formě </w:t>
      </w:r>
      <w:r w:rsidRPr="00B7218F">
        <w:lastRenderedPageBreak/>
        <w:t xml:space="preserve">transferových plateb do oběhu finanční prostředky ve výši 4 360,16 mil. EUR, což </w:t>
      </w:r>
      <w:proofErr w:type="gramStart"/>
      <w:r w:rsidRPr="00B7218F">
        <w:t>je</w:t>
      </w:r>
      <w:r>
        <w:t xml:space="preserve">         </w:t>
      </w:r>
      <w:r w:rsidRPr="00B7218F">
        <w:t xml:space="preserve"> o 470,28</w:t>
      </w:r>
      <w:proofErr w:type="gramEnd"/>
      <w:r w:rsidRPr="00B7218F">
        <w:t xml:space="preserve"> mil. EUR více než v roce 2008. Další výraznější změnu zaznamenala míra nezaměstnanosti. Ke konci roku 2009 zde byl zjištěn růst </w:t>
      </w:r>
      <w:proofErr w:type="gramStart"/>
      <w:r w:rsidRPr="00B7218F">
        <w:t>ve</w:t>
      </w:r>
      <w:proofErr w:type="gramEnd"/>
      <w:r w:rsidRPr="00B7218F">
        <w:t xml:space="preserve"> o 3,3 %. Tedy celková míra nezaměstnanosti činila 10,3 %. Tato situace též vedla k nárůstu o oblasti transferových plateb.</w:t>
      </w:r>
      <w:r>
        <w:rPr>
          <w:rStyle w:val="Znakapoznpodarou"/>
        </w:rPr>
        <w:footnoteReference w:id="149"/>
      </w:r>
      <w:r w:rsidRPr="00B7218F">
        <w:t xml:space="preserve"> </w:t>
      </w:r>
    </w:p>
    <w:p w:rsidR="00FD7B45" w:rsidRPr="00B7218F" w:rsidRDefault="00FD7B45" w:rsidP="00BF1E38"/>
    <w:p w:rsidR="00FD7B45" w:rsidRPr="00B7218F" w:rsidRDefault="00FD7B45" w:rsidP="00BF1E38">
      <w:r w:rsidRPr="00B7218F">
        <w:t>Celkový vývoj ve sledovaných obdobích bude shrnut v následující kapitole.  Následující kapitola se bude zabývat, jak se navzájem jednotlivé složky měnily v rámci vývoje celkového reálného HDP.</w:t>
      </w:r>
    </w:p>
    <w:p w:rsidR="00FD7B45" w:rsidRPr="00B7218F" w:rsidRDefault="00FD7B45" w:rsidP="00BF1E38"/>
    <w:p w:rsidR="00FD7B45" w:rsidRPr="00B7218F" w:rsidRDefault="00FD7B45" w:rsidP="00BF1E38"/>
    <w:p w:rsidR="00FD7B45" w:rsidRPr="00B7218F" w:rsidRDefault="00FD7B45" w:rsidP="00BF1E38">
      <w:pPr>
        <w:pStyle w:val="Nadpis2"/>
        <w:spacing w:before="0"/>
      </w:pPr>
      <w:bookmarkStart w:id="112" w:name="_Toc281759187"/>
      <w:bookmarkStart w:id="113" w:name="_Toc282027388"/>
      <w:r>
        <w:t xml:space="preserve">3.9 </w:t>
      </w:r>
      <w:r w:rsidRPr="00B7218F">
        <w:t>Shrnutí vývoje všech komponent HDP</w:t>
      </w:r>
      <w:bookmarkEnd w:id="112"/>
      <w:bookmarkEnd w:id="113"/>
    </w:p>
    <w:p w:rsidR="00FD7B45" w:rsidRPr="00B7218F" w:rsidRDefault="00FD7B45" w:rsidP="00BF1E38"/>
    <w:p w:rsidR="00FD7B45" w:rsidRPr="00B7218F" w:rsidRDefault="00FD7B45" w:rsidP="00BF1E38"/>
    <w:p w:rsidR="00FD7B45" w:rsidRDefault="00FD7B45" w:rsidP="00B07446">
      <w:r w:rsidRPr="00B7218F">
        <w:t xml:space="preserve">V předchozích </w:t>
      </w:r>
      <w:proofErr w:type="spellStart"/>
      <w:r w:rsidRPr="00B7218F">
        <w:t>subkapitolách</w:t>
      </w:r>
      <w:proofErr w:type="spellEnd"/>
      <w:r w:rsidRPr="00B7218F">
        <w:t xml:space="preserve"> byl popsán vývoj Hrubého domácího produktu a s ním spojených velečin jako je spotřeba domácností, vládní výdaje a investice. Jednotlivé komponenty byly charakterizovány dle jejich závislosti na vývoj HDP. Nejprve byla charakterizována spotřeba, jelikož právě ona měla a nejsilnější závislost na růstu HDP. Druhou komponentou, kterou se tato práce zabývala, byly vládní výdaje. A v poslední řadě byl popsán vývoj investic. Pro připomenutí vývoje všech komponent slouží níže uvedena tabulka.</w:t>
      </w:r>
      <w:bookmarkStart w:id="114" w:name="_Toc281768955"/>
    </w:p>
    <w:p w:rsidR="00FD7B45" w:rsidRPr="00B7218F" w:rsidRDefault="00FD7B45" w:rsidP="00C046AA">
      <w:pPr>
        <w:pStyle w:val="Nadpis5"/>
      </w:pPr>
      <w:bookmarkStart w:id="115" w:name="_Toc282364928"/>
      <w:proofErr w:type="spellStart"/>
      <w:proofErr w:type="gramStart"/>
      <w:r>
        <w:t>T</w:t>
      </w:r>
      <w:r w:rsidRPr="00B7218F">
        <w:t>ab.1</w:t>
      </w:r>
      <w:r w:rsidR="00C046AA">
        <w:t>1</w:t>
      </w:r>
      <w:proofErr w:type="spellEnd"/>
      <w:proofErr w:type="gramEnd"/>
      <w:r w:rsidRPr="00B7218F">
        <w:t>: Vývoj všech komponent HDP</w:t>
      </w:r>
      <w:bookmarkEnd w:id="114"/>
      <w:bookmarkEnd w:id="115"/>
    </w:p>
    <w:tbl>
      <w:tblPr>
        <w:tblW w:w="8146" w:type="dxa"/>
        <w:jc w:val="center"/>
        <w:tblInd w:w="60" w:type="dxa"/>
        <w:tblCellMar>
          <w:left w:w="70" w:type="dxa"/>
          <w:right w:w="70" w:type="dxa"/>
        </w:tblCellMar>
        <w:tblLook w:val="00A0"/>
      </w:tblPr>
      <w:tblGrid>
        <w:gridCol w:w="2526"/>
        <w:gridCol w:w="1124"/>
        <w:gridCol w:w="1124"/>
        <w:gridCol w:w="1124"/>
        <w:gridCol w:w="1124"/>
        <w:gridCol w:w="1124"/>
      </w:tblGrid>
      <w:tr w:rsidR="00FD7B45" w:rsidRPr="00501694" w:rsidTr="00B07446">
        <w:trPr>
          <w:trHeight w:val="264"/>
          <w:jc w:val="center"/>
        </w:trPr>
        <w:tc>
          <w:tcPr>
            <w:tcW w:w="2526" w:type="dxa"/>
            <w:tcBorders>
              <w:top w:val="single" w:sz="8" w:space="0" w:color="auto"/>
              <w:left w:val="single" w:sz="8" w:space="0" w:color="auto"/>
              <w:bottom w:val="single" w:sz="4" w:space="0" w:color="auto"/>
              <w:right w:val="single" w:sz="4" w:space="0" w:color="auto"/>
            </w:tcBorders>
            <w:shd w:val="clear" w:color="000000" w:fill="DBE5F1"/>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Rok</w:t>
            </w:r>
          </w:p>
        </w:tc>
        <w:tc>
          <w:tcPr>
            <w:tcW w:w="1124"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2005</w:t>
            </w:r>
          </w:p>
        </w:tc>
        <w:tc>
          <w:tcPr>
            <w:tcW w:w="1124"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2006</w:t>
            </w:r>
          </w:p>
        </w:tc>
        <w:tc>
          <w:tcPr>
            <w:tcW w:w="1124"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2007</w:t>
            </w:r>
          </w:p>
        </w:tc>
        <w:tc>
          <w:tcPr>
            <w:tcW w:w="1124" w:type="dxa"/>
            <w:tcBorders>
              <w:top w:val="single" w:sz="8" w:space="0" w:color="auto"/>
              <w:left w:val="nil"/>
              <w:bottom w:val="single" w:sz="4" w:space="0" w:color="auto"/>
              <w:right w:val="single" w:sz="4"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2008</w:t>
            </w:r>
          </w:p>
        </w:tc>
        <w:tc>
          <w:tcPr>
            <w:tcW w:w="1124" w:type="dxa"/>
            <w:tcBorders>
              <w:top w:val="single" w:sz="8" w:space="0" w:color="auto"/>
              <w:left w:val="nil"/>
              <w:bottom w:val="single" w:sz="4" w:space="0" w:color="auto"/>
              <w:right w:val="single" w:sz="8" w:space="0" w:color="auto"/>
            </w:tcBorders>
            <w:shd w:val="clear" w:color="000000" w:fill="D1E1E7"/>
            <w:vAlign w:val="center"/>
          </w:tcPr>
          <w:p w:rsidR="00FD7B45" w:rsidRPr="00B7218F" w:rsidRDefault="00FD7B45" w:rsidP="005C27A4">
            <w:pPr>
              <w:spacing w:line="240" w:lineRule="auto"/>
              <w:jc w:val="center"/>
              <w:rPr>
                <w:rFonts w:ascii="Verdana" w:hAnsi="Verdana"/>
                <w:b/>
                <w:bCs/>
                <w:color w:val="000000"/>
                <w:sz w:val="20"/>
                <w:szCs w:val="20"/>
                <w:lang w:eastAsia="cs-CZ"/>
              </w:rPr>
            </w:pPr>
            <w:r w:rsidRPr="00B7218F">
              <w:rPr>
                <w:rFonts w:ascii="Verdana" w:hAnsi="Verdana"/>
                <w:b/>
                <w:bCs/>
                <w:color w:val="000000"/>
                <w:sz w:val="20"/>
                <w:szCs w:val="20"/>
                <w:lang w:eastAsia="cs-CZ"/>
              </w:rPr>
              <w:t>2009</w:t>
            </w:r>
          </w:p>
        </w:tc>
      </w:tr>
      <w:tr w:rsidR="00FD7B45" w:rsidRPr="00501694" w:rsidTr="00B07446">
        <w:trPr>
          <w:trHeight w:val="264"/>
          <w:jc w:val="center"/>
        </w:trPr>
        <w:tc>
          <w:tcPr>
            <w:tcW w:w="2526"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Reálná C</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15 206,73</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16 001,56</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17 585,04</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18 695,18</w:t>
            </w:r>
          </w:p>
        </w:tc>
        <w:tc>
          <w:tcPr>
            <w:tcW w:w="1124"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19 432,21</w:t>
            </w:r>
          </w:p>
        </w:tc>
      </w:tr>
      <w:tr w:rsidR="00FD7B45" w:rsidRPr="00501694" w:rsidTr="00B07446">
        <w:trPr>
          <w:trHeight w:val="264"/>
          <w:jc w:val="center"/>
        </w:trPr>
        <w:tc>
          <w:tcPr>
            <w:tcW w:w="2526"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5,23%</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9,90%</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6,31%</w:t>
            </w:r>
          </w:p>
        </w:tc>
        <w:tc>
          <w:tcPr>
            <w:tcW w:w="1124"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3,94%</w:t>
            </w:r>
          </w:p>
        </w:tc>
      </w:tr>
      <w:tr w:rsidR="00FD7B45" w:rsidRPr="00501694" w:rsidTr="00B07446">
        <w:trPr>
          <w:trHeight w:val="264"/>
          <w:jc w:val="center"/>
        </w:trPr>
        <w:tc>
          <w:tcPr>
            <w:tcW w:w="2526"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Reálné I</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7 636,78</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8 765,66</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10 575,00</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11 276,06</w:t>
            </w:r>
          </w:p>
        </w:tc>
        <w:tc>
          <w:tcPr>
            <w:tcW w:w="1124"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8 076,51</w:t>
            </w:r>
          </w:p>
        </w:tc>
      </w:tr>
      <w:tr w:rsidR="00FD7B45" w:rsidRPr="00501694" w:rsidTr="00B07446">
        <w:trPr>
          <w:trHeight w:val="264"/>
          <w:jc w:val="center"/>
        </w:trPr>
        <w:tc>
          <w:tcPr>
            <w:tcW w:w="2526"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14,78%</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20,64%</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6,63%</w:t>
            </w:r>
          </w:p>
        </w:tc>
        <w:tc>
          <w:tcPr>
            <w:tcW w:w="1124"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-28,37%</w:t>
            </w:r>
          </w:p>
        </w:tc>
      </w:tr>
      <w:tr w:rsidR="00FD7B45" w:rsidRPr="00501694" w:rsidTr="00B07446">
        <w:trPr>
          <w:trHeight w:val="264"/>
          <w:jc w:val="center"/>
        </w:trPr>
        <w:tc>
          <w:tcPr>
            <w:tcW w:w="2526" w:type="dxa"/>
            <w:tcBorders>
              <w:top w:val="nil"/>
              <w:left w:val="single" w:sz="8" w:space="0" w:color="auto"/>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Reálné G</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5 319,32</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5 682,63</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5 781,47</w:t>
            </w:r>
          </w:p>
        </w:tc>
        <w:tc>
          <w:tcPr>
            <w:tcW w:w="1124" w:type="dxa"/>
            <w:tcBorders>
              <w:top w:val="nil"/>
              <w:left w:val="nil"/>
              <w:bottom w:val="single" w:sz="4" w:space="0" w:color="auto"/>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6 393,85</w:t>
            </w:r>
          </w:p>
        </w:tc>
        <w:tc>
          <w:tcPr>
            <w:tcW w:w="1124" w:type="dxa"/>
            <w:tcBorders>
              <w:top w:val="nil"/>
              <w:left w:val="nil"/>
              <w:bottom w:val="single" w:sz="4" w:space="0" w:color="auto"/>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7 104,36</w:t>
            </w:r>
          </w:p>
        </w:tc>
      </w:tr>
      <w:tr w:rsidR="00FD7B45" w:rsidRPr="00501694" w:rsidTr="00B07446">
        <w:trPr>
          <w:trHeight w:val="277"/>
          <w:jc w:val="center"/>
        </w:trPr>
        <w:tc>
          <w:tcPr>
            <w:tcW w:w="2526" w:type="dxa"/>
            <w:tcBorders>
              <w:top w:val="nil"/>
              <w:left w:val="single" w:sz="8" w:space="0" w:color="auto"/>
              <w:bottom w:val="nil"/>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color w:val="000000"/>
                <w:lang w:eastAsia="cs-CZ"/>
              </w:rPr>
            </w:pPr>
            <w:r w:rsidRPr="00B7218F">
              <w:rPr>
                <w:rFonts w:ascii="Calibri" w:hAnsi="Calibri"/>
                <w:color w:val="000000"/>
                <w:sz w:val="22"/>
                <w:lang w:eastAsia="cs-CZ"/>
              </w:rPr>
              <w:t>Meziroční % nárůst</w:t>
            </w:r>
          </w:p>
        </w:tc>
        <w:tc>
          <w:tcPr>
            <w:tcW w:w="1124"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4"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6,83%</w:t>
            </w:r>
          </w:p>
        </w:tc>
        <w:tc>
          <w:tcPr>
            <w:tcW w:w="1124"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1,74%</w:t>
            </w:r>
          </w:p>
        </w:tc>
        <w:tc>
          <w:tcPr>
            <w:tcW w:w="1124" w:type="dxa"/>
            <w:tcBorders>
              <w:top w:val="nil"/>
              <w:left w:val="nil"/>
              <w:bottom w:val="nil"/>
              <w:right w:val="single" w:sz="4"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10,59%</w:t>
            </w:r>
          </w:p>
        </w:tc>
        <w:tc>
          <w:tcPr>
            <w:tcW w:w="1124" w:type="dxa"/>
            <w:tcBorders>
              <w:top w:val="nil"/>
              <w:left w:val="nil"/>
              <w:bottom w:val="nil"/>
              <w:right w:val="single" w:sz="8" w:space="0" w:color="auto"/>
            </w:tcBorders>
            <w:shd w:val="clear" w:color="000000" w:fill="FAC090"/>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11,11%</w:t>
            </w:r>
          </w:p>
        </w:tc>
      </w:tr>
      <w:tr w:rsidR="00FD7B45" w:rsidRPr="00501694" w:rsidTr="00B07446">
        <w:trPr>
          <w:trHeight w:val="264"/>
          <w:jc w:val="center"/>
        </w:trPr>
        <w:tc>
          <w:tcPr>
            <w:tcW w:w="2526" w:type="dxa"/>
            <w:tcBorders>
              <w:top w:val="single" w:sz="8" w:space="0" w:color="auto"/>
              <w:left w:val="single" w:sz="8" w:space="0" w:color="auto"/>
              <w:bottom w:val="single" w:sz="4"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Reálné HDP celkem</w:t>
            </w:r>
          </w:p>
        </w:tc>
        <w:tc>
          <w:tcPr>
            <w:tcW w:w="1124"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28 048,39</w:t>
            </w:r>
          </w:p>
        </w:tc>
        <w:tc>
          <w:tcPr>
            <w:tcW w:w="1124"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30 293,07</w:t>
            </w:r>
          </w:p>
        </w:tc>
        <w:tc>
          <w:tcPr>
            <w:tcW w:w="1124"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33 366,99</w:t>
            </w:r>
          </w:p>
        </w:tc>
        <w:tc>
          <w:tcPr>
            <w:tcW w:w="1124" w:type="dxa"/>
            <w:tcBorders>
              <w:top w:val="single" w:sz="8" w:space="0" w:color="auto"/>
              <w:left w:val="nil"/>
              <w:bottom w:val="single" w:sz="4"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35 293,00</w:t>
            </w:r>
          </w:p>
        </w:tc>
        <w:tc>
          <w:tcPr>
            <w:tcW w:w="1124" w:type="dxa"/>
            <w:tcBorders>
              <w:top w:val="single" w:sz="8" w:space="0" w:color="auto"/>
              <w:left w:val="nil"/>
              <w:bottom w:val="single" w:sz="4" w:space="0" w:color="auto"/>
              <w:right w:val="single" w:sz="8"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35 068,78</w:t>
            </w:r>
          </w:p>
        </w:tc>
      </w:tr>
      <w:tr w:rsidR="00FD7B45" w:rsidRPr="00501694" w:rsidTr="00B07446">
        <w:trPr>
          <w:trHeight w:val="277"/>
          <w:jc w:val="center"/>
        </w:trPr>
        <w:tc>
          <w:tcPr>
            <w:tcW w:w="2526" w:type="dxa"/>
            <w:tcBorders>
              <w:top w:val="nil"/>
              <w:left w:val="single" w:sz="8" w:space="0" w:color="auto"/>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Meziroční % nárůst</w:t>
            </w:r>
          </w:p>
        </w:tc>
        <w:tc>
          <w:tcPr>
            <w:tcW w:w="1124"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left"/>
              <w:rPr>
                <w:rFonts w:ascii="Calibri" w:hAnsi="Calibri"/>
                <w:b/>
                <w:bCs/>
                <w:color w:val="000000"/>
                <w:lang w:eastAsia="cs-CZ"/>
              </w:rPr>
            </w:pPr>
            <w:r w:rsidRPr="00B7218F">
              <w:rPr>
                <w:rFonts w:ascii="Calibri" w:hAnsi="Calibri"/>
                <w:b/>
                <w:bCs/>
                <w:color w:val="000000"/>
                <w:sz w:val="22"/>
                <w:lang w:eastAsia="cs-CZ"/>
              </w:rPr>
              <w:t> </w:t>
            </w:r>
          </w:p>
        </w:tc>
        <w:tc>
          <w:tcPr>
            <w:tcW w:w="1124"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8,00%</w:t>
            </w:r>
          </w:p>
        </w:tc>
        <w:tc>
          <w:tcPr>
            <w:tcW w:w="1124"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10,15%</w:t>
            </w:r>
          </w:p>
        </w:tc>
        <w:tc>
          <w:tcPr>
            <w:tcW w:w="1124" w:type="dxa"/>
            <w:tcBorders>
              <w:top w:val="nil"/>
              <w:left w:val="nil"/>
              <w:bottom w:val="single" w:sz="8" w:space="0" w:color="auto"/>
              <w:right w:val="single" w:sz="4"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5,77%</w:t>
            </w:r>
          </w:p>
        </w:tc>
        <w:tc>
          <w:tcPr>
            <w:tcW w:w="1124" w:type="dxa"/>
            <w:tcBorders>
              <w:top w:val="nil"/>
              <w:left w:val="nil"/>
              <w:bottom w:val="single" w:sz="8" w:space="0" w:color="auto"/>
              <w:right w:val="single" w:sz="8" w:space="0" w:color="auto"/>
            </w:tcBorders>
            <w:noWrap/>
            <w:vAlign w:val="bottom"/>
          </w:tcPr>
          <w:p w:rsidR="00FD7B45" w:rsidRPr="00B7218F" w:rsidRDefault="00FD7B45" w:rsidP="005C27A4">
            <w:pPr>
              <w:spacing w:line="240" w:lineRule="auto"/>
              <w:jc w:val="right"/>
              <w:rPr>
                <w:rFonts w:ascii="Calibri" w:hAnsi="Calibri"/>
                <w:b/>
                <w:bCs/>
                <w:color w:val="000000"/>
                <w:lang w:eastAsia="cs-CZ"/>
              </w:rPr>
            </w:pPr>
            <w:r w:rsidRPr="00B7218F">
              <w:rPr>
                <w:rFonts w:ascii="Calibri" w:hAnsi="Calibri"/>
                <w:b/>
                <w:bCs/>
                <w:color w:val="000000"/>
                <w:sz w:val="22"/>
                <w:lang w:eastAsia="cs-CZ"/>
              </w:rPr>
              <w:t>-0,64%</w:t>
            </w:r>
          </w:p>
        </w:tc>
      </w:tr>
    </w:tbl>
    <w:p w:rsidR="00FD7B45" w:rsidRDefault="00FD7B45" w:rsidP="00BF1E38">
      <w:pPr>
        <w:pStyle w:val="Podtitul"/>
      </w:pPr>
      <w:r w:rsidRPr="00B7218F">
        <w:t>Zdroj Vlastní konstrukce : Statistický Slovinský úřad[online],</w:t>
      </w:r>
      <w:r>
        <w:t xml:space="preserve"> </w:t>
      </w:r>
      <w:r w:rsidRPr="00B7218F">
        <w:t xml:space="preserve">Národní účty, </w:t>
      </w:r>
      <w:r>
        <w:t>2010</w:t>
      </w:r>
      <w:r w:rsidRPr="00B7218F">
        <w:t>,</w:t>
      </w:r>
      <w:r>
        <w:t xml:space="preserve"> </w:t>
      </w:r>
      <w:r w:rsidRPr="00B7218F">
        <w:t xml:space="preserve">[cit. </w:t>
      </w:r>
      <w:proofErr w:type="gramStart"/>
      <w:r w:rsidRPr="00B7218F">
        <w:t>2010-10</w:t>
      </w:r>
      <w:proofErr w:type="gramEnd"/>
      <w:r w:rsidRPr="00B7218F">
        <w:t xml:space="preserve">-30]. Dostupný z  </w:t>
      </w:r>
      <w:hyperlink r:id="rId29" w:history="1">
        <w:r w:rsidRPr="00B7218F">
          <w:rPr>
            <w:rStyle w:val="Hypertextovodkaz"/>
            <w:szCs w:val="20"/>
          </w:rPr>
          <w:t>http://www.stat.si/pxweb/Database/Ekonomsko/Ekonomsko.asp</w:t>
        </w:r>
      </w:hyperlink>
    </w:p>
    <w:p w:rsidR="00FD7B45" w:rsidRPr="00B7218F" w:rsidRDefault="00FD7B45" w:rsidP="00BF1E38">
      <w:pPr>
        <w:rPr>
          <w:b/>
          <w:lang w:eastAsia="cs-CZ"/>
        </w:rPr>
      </w:pPr>
      <w:r w:rsidRPr="00B7218F">
        <w:rPr>
          <w:b/>
          <w:lang w:eastAsia="cs-CZ"/>
        </w:rPr>
        <w:lastRenderedPageBreak/>
        <w:t>Meziroční vývoj 2006/2005</w:t>
      </w:r>
    </w:p>
    <w:p w:rsidR="00FD7B45" w:rsidRDefault="00FD7B45" w:rsidP="00BF1E38"/>
    <w:p w:rsidR="00FD7B45" w:rsidRDefault="00FD7B45" w:rsidP="00BF1E38">
      <w:r>
        <w:t xml:space="preserve">Vývoj v období 2006/2005 lze hodnotit kladně. Veškeré komponenty včetně samotného HDP zaznamenaly růst. Nejvíce však vzrostly investice a to o 14,78 %. V peněžním vyjádření to </w:t>
      </w:r>
      <w:proofErr w:type="gramStart"/>
      <w:r>
        <w:t>znamená, že</w:t>
      </w:r>
      <w:proofErr w:type="gramEnd"/>
      <w:r>
        <w:t xml:space="preserve"> investoři na konci roku 2006  investovaly peněžní prostředky ve výši 7 636,78 mil. </w:t>
      </w:r>
      <w:proofErr w:type="gramStart"/>
      <w:r>
        <w:t>EUR.</w:t>
      </w:r>
      <w:proofErr w:type="gramEnd"/>
      <w:r>
        <w:t xml:space="preserve"> Nejvíce se na tomto růstu podílela složka cennosti, která zaznamenala 246,43% nárůst. Mimo cennosti byl výrazný růst také u změny stavu </w:t>
      </w:r>
      <w:proofErr w:type="gramStart"/>
      <w:r>
        <w:t>zásob    a to</w:t>
      </w:r>
      <w:proofErr w:type="gramEnd"/>
      <w:r>
        <w:t xml:space="preserve"> ve výši 45,53 %. Jak bylo již zmíněno v </w:t>
      </w:r>
      <w:proofErr w:type="spellStart"/>
      <w:r>
        <w:t>subkapitole</w:t>
      </w:r>
      <w:proofErr w:type="spellEnd"/>
      <w:r>
        <w:t xml:space="preserve"> vývoj investic, tak za tento stav mohou kladné postoje investorů k vývoji slovinské domácí ekonomiky. Také na tento stav může mít vliv i pokles míry nezaměstnanosti, která klesla na 8,6 % z původních 10,2 % z roku 2005</w:t>
      </w:r>
      <w:r>
        <w:rPr>
          <w:rStyle w:val="Znakapoznpodarou"/>
        </w:rPr>
        <w:footnoteReference w:id="150"/>
      </w:r>
      <w:r>
        <w:t xml:space="preserve">.  </w:t>
      </w:r>
    </w:p>
    <w:p w:rsidR="00FD7B45" w:rsidRDefault="00FD7B45" w:rsidP="00BF1E38"/>
    <w:p w:rsidR="00FD7B45" w:rsidRDefault="00FD7B45" w:rsidP="00BF1E38">
      <w:r>
        <w:t xml:space="preserve">Na kladný vývoj investic, reagovala kladně také spotřeba domácností, která též zaznamenala růst o 5,23 %. Takže hodnota spotřebovaných finančních prostředků byly na konci roku 15 206,73 mil. EUR. Na celkový vývoj spotřeby měly největší vliv složky komunikace, vzdělání a ostatní služby. U složky komunikace byl zaznamenán nárůst ve výši 8,3 %. U vzdělání byl meziroční procentuální nárůst ve výši 8,2 %. Poslední významnou složkou bylo ostatní zboží a služby. U této složky byl meziroční nárůst ve výši 8,0 %. V rámci komunikace bylo zaznamenáno nejvyšší nárůstu u telefonu a faxového vybavení a to ve výši 20,3 %. V rámci vývoje vzdělání bylo nejvyšší nárůstů zaznamenáno u primárního vzdělání a to ve výši 13,2 %. U ostatního zboží a služeb byl největší </w:t>
      </w:r>
      <w:proofErr w:type="gramStart"/>
      <w:r>
        <w:t>nárůst    u prostituce</w:t>
      </w:r>
      <w:proofErr w:type="gramEnd"/>
      <w:r>
        <w:t xml:space="preserve"> a finančních služeb. U prostituce byl nárůst ve výši 24,6 % a u finančních služeb to bylo 18,1 %</w:t>
      </w:r>
      <w:r>
        <w:rPr>
          <w:rStyle w:val="Znakapoznpodarou"/>
        </w:rPr>
        <w:footnoteReference w:id="151"/>
      </w:r>
      <w:r>
        <w:t>.</w:t>
      </w:r>
    </w:p>
    <w:p w:rsidR="00FD7B45" w:rsidRDefault="00FD7B45" w:rsidP="00BF1E38"/>
    <w:p w:rsidR="00FD7B45" w:rsidRDefault="00FD7B45" w:rsidP="00BF1E38">
      <w:r>
        <w:t xml:space="preserve">Co </w:t>
      </w:r>
      <w:proofErr w:type="gramStart"/>
      <w:r>
        <w:t>týče</w:t>
      </w:r>
      <w:proofErr w:type="gramEnd"/>
      <w:r>
        <w:t xml:space="preserve"> reakce vládních výdajů, tak ty vzrostly o 6,83 % a na konci roku 2006 činila celková výše vládních výdajů 5 139,32 mil. EUR. Zvýšení vládních výdajů se projevilo ve formě zvýšení výdajů v oblasti transferu o 5,30% a pak také ve zvýšení hodnoty čistého přebytku o 20,51 %. Na druhou stranu zde došlo k poklesu u ostatních daní z výroby a </w:t>
      </w:r>
      <w:proofErr w:type="gramStart"/>
      <w:r>
        <w:t xml:space="preserve">to    </w:t>
      </w:r>
      <w:r>
        <w:lastRenderedPageBreak/>
        <w:t>o – 13,63</w:t>
      </w:r>
      <w:proofErr w:type="gramEnd"/>
      <w:r>
        <w:t xml:space="preserve"> %. Další výraznější růst byl zjištěn u spotřeby fixního kapitálu. Tento růst byl ve výši 9, 53 %. I </w:t>
      </w:r>
      <w:proofErr w:type="spellStart"/>
      <w:r>
        <w:t>mezispotřeba</w:t>
      </w:r>
      <w:proofErr w:type="spellEnd"/>
      <w:r>
        <w:t xml:space="preserve"> zaznamenala nárůst a to o 8,67 %</w:t>
      </w:r>
      <w:r>
        <w:rPr>
          <w:rStyle w:val="Znakapoznpodarou"/>
        </w:rPr>
        <w:footnoteReference w:id="152"/>
      </w:r>
    </w:p>
    <w:p w:rsidR="00FD7B45" w:rsidRDefault="00FD7B45" w:rsidP="00BF1E38"/>
    <w:p w:rsidR="00FD7B45" w:rsidRDefault="00FD7B45" w:rsidP="00BF1E38">
      <w:r>
        <w:t>O období 2006/2005 lze jednoznačné říci, že všechny komponenty HDP se vyvíjeli pozitivně. Všechny složky HDP zaznamenaly růst, který byl větší než 5 %. Na celkovém vývoji všech komponent se projevil v růstu celkového reálného HDP ve výši 8 %. Tato období bylo posledním před zavedením jednotné měny euro.</w:t>
      </w:r>
      <w:r>
        <w:rPr>
          <w:rStyle w:val="Znakapoznpodarou"/>
        </w:rPr>
        <w:footnoteReference w:id="153"/>
      </w:r>
    </w:p>
    <w:p w:rsidR="00FD7B45" w:rsidRDefault="00FD7B45" w:rsidP="00BF1E38"/>
    <w:p w:rsidR="00FD7B45" w:rsidRDefault="00FD7B45" w:rsidP="00BF1E38"/>
    <w:p w:rsidR="00FD7B45" w:rsidRPr="00B7218F" w:rsidRDefault="00FD7B45" w:rsidP="00BF1E38">
      <w:pPr>
        <w:rPr>
          <w:b/>
          <w:lang w:eastAsia="cs-CZ"/>
        </w:rPr>
      </w:pPr>
      <w:r w:rsidRPr="00B7218F">
        <w:rPr>
          <w:b/>
          <w:lang w:eastAsia="cs-CZ"/>
        </w:rPr>
        <w:t>Meziroční vývoj 200</w:t>
      </w:r>
      <w:r>
        <w:rPr>
          <w:b/>
          <w:lang w:eastAsia="cs-CZ"/>
        </w:rPr>
        <w:t>7</w:t>
      </w:r>
      <w:r w:rsidRPr="00B7218F">
        <w:rPr>
          <w:b/>
          <w:lang w:eastAsia="cs-CZ"/>
        </w:rPr>
        <w:t>/200</w:t>
      </w:r>
      <w:r>
        <w:rPr>
          <w:b/>
          <w:lang w:eastAsia="cs-CZ"/>
        </w:rPr>
        <w:t>6</w:t>
      </w:r>
    </w:p>
    <w:p w:rsidR="00FD7B45" w:rsidRDefault="00FD7B45" w:rsidP="00BF1E38"/>
    <w:p w:rsidR="00FD7B45" w:rsidRDefault="00FD7B45" w:rsidP="00BF1E38">
      <w:r>
        <w:t xml:space="preserve">Po charakterizování období 2006/2005 se nyní tato práce přesune na analyzování období 2007/2006. Rok 2007 je významný díky zavedení společné měny euro. Lze předpokládat, že společná měna přivede do země více investoru to díky snížení transakčních nákladu při směně měn. </w:t>
      </w:r>
    </w:p>
    <w:p w:rsidR="00FD7B45" w:rsidRDefault="00FD7B45" w:rsidP="00BF1E38"/>
    <w:p w:rsidR="00FD7B45" w:rsidRDefault="00FD7B45" w:rsidP="00BF1E38">
      <w:r>
        <w:t>Při pohledu na vývoj jednotlivých komponent je zřejmé, že spotřeba spolu s investicemi zaznamenaly výrazný růst. Spotřeba vzrostla o 9,90 %. Investice zaznamenaly daleko větší nárůst a to ve výši 20,64 %. Celkové růst reálného HDP činil v tomto období 10,15 %. Zatímco spotřeba a investice zaznamenaly výraznější růst, tak vládní výdaje vzrostly pouze o 1,74 %.</w:t>
      </w:r>
      <w:r>
        <w:rPr>
          <w:rStyle w:val="Znakapoznpodarou"/>
        </w:rPr>
        <w:footnoteReference w:id="154"/>
      </w:r>
    </w:p>
    <w:p w:rsidR="00FD7B45" w:rsidRDefault="00FD7B45" w:rsidP="00BF1E38"/>
    <w:p w:rsidR="00FD7B45" w:rsidRDefault="00FD7B45" w:rsidP="00BF1E38">
      <w:r>
        <w:t>V oblasti investic byl výrazný růst to již dříve zmiňovaný ve výši 20,64 %. Ke konci roku 2007 byla celková výše investovaných prostředků ve výši 8 765,66 mil. EUR.  Při pohledu na vývoj jednotlivých částí spotřeby je vidět, že největší zásluhu na tomto růstu mají tak jako v minulém období cennosti a změna stavu zásob. U cenností byl meziroční procentuální nárůst ve výši 114,20 % a u změny zásob to bylo 84,05 %. Oba dva nárůstu jsou velice výrazné a lze z nich předpokládat velkou důvěru investorů</w:t>
      </w:r>
      <w:r>
        <w:rPr>
          <w:rStyle w:val="Znakapoznpodarou"/>
        </w:rPr>
        <w:footnoteReference w:id="155"/>
      </w:r>
      <w:r>
        <w:t>.</w:t>
      </w:r>
    </w:p>
    <w:p w:rsidR="00FD7B45" w:rsidRDefault="00FD7B45" w:rsidP="00BF1E38"/>
    <w:p w:rsidR="00FD7B45" w:rsidRDefault="00FD7B45" w:rsidP="00BF1E38">
      <w:r>
        <w:lastRenderedPageBreak/>
        <w:t xml:space="preserve">U spotřeby byly zaznamenány růstu u vzdělání, restaurací a hotelů a v poslední řadě také u ostatního zboží a služeb. U vzdělání byl růst 23,7 %. Na tomto růst mělo největší podíl terciární vzdělání ve výši 30,6 %. U vzdělání nedefinované úrovně byl růst ve výši 26,5 %. Další výrazný růst byl u primárního vzdělání. Tento meziroční přírůstek činil 19,1 %.        Je patrné, že většina ze složek vzdělání ovlivnila celkový růst této oblasti. Tedy veřejnost do vzdělání investoval ke konci roku 2007 236,56 mil. EUR. Oblast restaurací a hotelů zaznamenal růst ve výši 22 %. Na tomto podílů měly zásluhu obě dílčí složky a to ubytovací služby a stravovací služby. V oblasti ubytovací služby byl růst ve výši 28,9 %.  Ve stravovacích službách byl růst ve výši 20 %. Poslední složkou celkové spotřeby, která zaznamenala výraznější růst, byla oblast ostatní zboží a služby. V této oblasti byl zjištěn růst ve výši 16,9 %. Při detailnějším pohledu je patrné, že se na toto podílu nejvýrazněji podílelo pojištění a finanční služby. V pojištění byl zjištěn nárůst ve výši 20,4 %.              U finančních služeb to bylo 29,8 %. Celkové vynaložení finanční prostředky za reálnou spotřebu </w:t>
      </w:r>
      <w:proofErr w:type="gramStart"/>
      <w:r>
        <w:t>činili</w:t>
      </w:r>
      <w:proofErr w:type="gramEnd"/>
      <w:r>
        <w:t xml:space="preserve"> 17 585,04 mil. EUR</w:t>
      </w:r>
      <w:r>
        <w:rPr>
          <w:rStyle w:val="Znakapoznpodarou"/>
        </w:rPr>
        <w:footnoteReference w:id="156"/>
      </w:r>
      <w:r>
        <w:t>.</w:t>
      </w:r>
    </w:p>
    <w:p w:rsidR="00FD7B45" w:rsidRDefault="00FD7B45" w:rsidP="00BF1E38"/>
    <w:p w:rsidR="00FD7B45" w:rsidRDefault="00FD7B45" w:rsidP="00BF1E38">
      <w:r>
        <w:t>Další nedílnou součástí HDP jsou vládní výdaje. Vládní výdaje vzrostly pouze o 1,74 %. V hodnotovém vyjádření to znamená, že vláda na konci roku 2007 vydala do oběhu finanční prostředky ve výši 5 781,47 mil. EUR. Oproti ostatním složkám, které tvoří reálný HDP je to nejnižší nárůst. Při pohledu na složky, které tvoří celkové vládní výdaje, lze zpozorovat, že většina z nich zaznamenala přírůstky, které vzrostly nižším tempem než v předchozím období. Výjimku tvoří pouze čisté provozní přebytky, které rostly rychlejším tempem. Meziroční procentuální růst provozních přebytků byl ve výši 22,09 %. V tomto období tak vzrostly transfery a to o 3,52 %. Jediného poklesu v tomto období zaznamenaly kolektivní vládní výdaje. Tento pokles byl ve výši -0,84 %.</w:t>
      </w:r>
      <w:r>
        <w:rPr>
          <w:rStyle w:val="Znakapoznpodarou"/>
        </w:rPr>
        <w:footnoteReference w:id="157"/>
      </w:r>
      <w:r>
        <w:t xml:space="preserve"> </w:t>
      </w:r>
    </w:p>
    <w:p w:rsidR="00FD7B45" w:rsidRDefault="00FD7B45" w:rsidP="00BF1E38"/>
    <w:p w:rsidR="00FD7B45" w:rsidRDefault="00FD7B45" w:rsidP="00BF1E38">
      <w:r>
        <w:t xml:space="preserve">Z celkové a podrobnějšího vývoje, lze usoudit, že slovinská ekonomika si nevedla špatně. Všechny složky HDP včetně samotného HDP zaznamenaly růst. Velký nárůst investic do země znamená, že věřitele cítili, že jejich investice budou v bezpečí. Vláda si toho byla vědoma a tak snížila své výdaje. Neměla potřebu více do domácí ekonomiky zasahovat, protože sama o sobě prosperovala. Dá se říci, že zavedení eura mělo kladný efekt v daném </w:t>
      </w:r>
      <w:r>
        <w:lastRenderedPageBreak/>
        <w:t>roce na vývoj slovinské ekonomiky. Například míra nezaměstnanosti poklesla 7,3 %, i tato změna byla signálem dobře prosperující ekonomiky.</w:t>
      </w:r>
      <w:r>
        <w:rPr>
          <w:rStyle w:val="Znakapoznpodarou"/>
        </w:rPr>
        <w:footnoteReference w:id="158"/>
      </w:r>
    </w:p>
    <w:p w:rsidR="00FD7B45" w:rsidRDefault="00FD7B45" w:rsidP="00BF1E38"/>
    <w:p w:rsidR="00FD7B45" w:rsidRDefault="00FD7B45" w:rsidP="00BF1E38">
      <w:r>
        <w:t xml:space="preserve"> </w:t>
      </w:r>
    </w:p>
    <w:p w:rsidR="00FD7B45" w:rsidRDefault="00FD7B45" w:rsidP="00BF1E38">
      <w:pPr>
        <w:rPr>
          <w:b/>
          <w:lang w:eastAsia="cs-CZ"/>
        </w:rPr>
      </w:pPr>
      <w:r w:rsidRPr="00B7218F">
        <w:rPr>
          <w:b/>
          <w:lang w:eastAsia="cs-CZ"/>
        </w:rPr>
        <w:t>Meziroční vývoj 200</w:t>
      </w:r>
      <w:r>
        <w:rPr>
          <w:b/>
          <w:lang w:eastAsia="cs-CZ"/>
        </w:rPr>
        <w:t>8</w:t>
      </w:r>
      <w:r w:rsidRPr="00B7218F">
        <w:rPr>
          <w:b/>
          <w:lang w:eastAsia="cs-CZ"/>
        </w:rPr>
        <w:t>/200</w:t>
      </w:r>
      <w:r>
        <w:rPr>
          <w:b/>
          <w:lang w:eastAsia="cs-CZ"/>
        </w:rPr>
        <w:t>7</w:t>
      </w:r>
    </w:p>
    <w:p w:rsidR="00FD7B45" w:rsidRDefault="00FD7B45" w:rsidP="00BF1E38">
      <w:pPr>
        <w:rPr>
          <w:b/>
          <w:lang w:eastAsia="cs-CZ"/>
        </w:rPr>
      </w:pPr>
    </w:p>
    <w:p w:rsidR="00FD7B45" w:rsidRDefault="00FD7B45" w:rsidP="00BF1E38">
      <w:pPr>
        <w:rPr>
          <w:lang w:eastAsia="cs-CZ"/>
        </w:rPr>
      </w:pPr>
      <w:r>
        <w:rPr>
          <w:lang w:eastAsia="cs-CZ"/>
        </w:rPr>
        <w:t>Období 2008/2007 je předposledním obdobím, kterým se tato práce zabývá. Ve Slovinsku je již druhým rokem zavedeno euro.  Analýza vlivu zavedené eura v zemi je zkreslena díky začínají hospodářské krizi, která vyvrcholila v roce 2009. Celkový růst HDP byl ke konci roku 2008 5,77 %. Meziroční procentuální vývoj rostly nižším tempem než v předešlém období. Při pohledu na vývoj investic a spotřeby je zřetelně vidět, že obě dvě komponenty rostly pomalejším tempem než v předešlém období. Jediné vládní výdaje zaznamenaly růst rychlejším tempem. Pro lepší představu o vývoji je dobré se podívat na vývoj dílčích složek.</w:t>
      </w:r>
      <w:r>
        <w:rPr>
          <w:rStyle w:val="Znakapoznpodarou"/>
          <w:lang w:eastAsia="cs-CZ"/>
        </w:rPr>
        <w:footnoteReference w:id="159"/>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t>Spotřeba na konci roku 2008 zaznamenala meziroční růst ve výši 6,31 %. Ve finančním vyjádření to znamená, že spotřebitelce konci roku 2008 spotřebovali finanční prostředky ve výši 18 695,18 mil. EUR.  Ze spotřebních složek nejvyšší nárůst byl u odívání a obuvi (12,4 %) a také u bydlení, vody, elektřiny, plynu a jiných paliv a to ve výši 9,4 %. Při detailnějším pohledu na vývoj složky odívání a obuv je vidět, že u obuvi byl růst ve výši 19,2 % a u odívání 10,4 %. U dílčích částí sekce voda, elektřina, plyn a jiná paliva byl výrazné nárůsty u elektřiny plynu a jiných paliv a to ve výši 18,9 % a u údržby a oprav bytů byl meziroční procentuální růst ve výši 13,2 %. V tomto období nebyl zjištěn pokles, ale pouze velmi nízké tempo růstu a to u složky rekreace a kultura. Tento meziroční růst byl 1%. Na tomto výsledku se nejvíce podílel pokles u rekreačních a kulturních služeb, který byl ve výši – 7,6 %. Jediného velmi kladného výsledku docílila komodita a</w:t>
      </w:r>
      <w:r w:rsidRPr="00384B07">
        <w:rPr>
          <w:lang w:eastAsia="cs-CZ"/>
        </w:rPr>
        <w:t>udio-vizuální, fotografická a zařízení pro zpracování informací a opravy</w:t>
      </w:r>
      <w:r>
        <w:rPr>
          <w:lang w:eastAsia="cs-CZ"/>
        </w:rPr>
        <w:t xml:space="preserve"> kde byl růst ve výši 10,4 %. U dalších složek spotřeby nebyly zpozorovány žádné zvláštní nárůsty či poklesy.</w:t>
      </w:r>
      <w:r>
        <w:rPr>
          <w:rStyle w:val="Znakapoznpodarou"/>
          <w:lang w:eastAsia="cs-CZ"/>
        </w:rPr>
        <w:footnoteReference w:id="160"/>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lastRenderedPageBreak/>
        <w:t>Zatímco u spotřeby nebylo nižší tempo růstu tak výrazné, tak u investic ano. Investice trotyl pouze o 6,63 %.  Je to o 14,01 % nižší růst než v předešlém období. Ke konci roku 2008 investoři investovali své finanční prostředky ve výši 11 276,06 mil. EUR. Jediný růst byl tvorby hrubého fixního kapitálu a to 10,02 %. Ostatní složky zaznamenaly pokles. Nejvyšší pokles byl u cenností a to ve výši -70,60 %. U změny stavu zásoby byl zjištěn pokles -15,95 %.</w:t>
      </w:r>
      <w:r>
        <w:rPr>
          <w:rStyle w:val="Znakapoznpodarou"/>
          <w:lang w:eastAsia="cs-CZ"/>
        </w:rPr>
        <w:footnoteReference w:id="161"/>
      </w:r>
    </w:p>
    <w:p w:rsidR="00FD7B45" w:rsidRDefault="00FD7B45" w:rsidP="00BF1E38">
      <w:pPr>
        <w:rPr>
          <w:lang w:eastAsia="cs-CZ"/>
        </w:rPr>
      </w:pPr>
    </w:p>
    <w:p w:rsidR="00FD7B45" w:rsidRDefault="00FD7B45" w:rsidP="00BF1E38">
      <w:pPr>
        <w:rPr>
          <w:lang w:eastAsia="cs-CZ"/>
        </w:rPr>
      </w:pPr>
      <w:r>
        <w:rPr>
          <w:lang w:eastAsia="cs-CZ"/>
        </w:rPr>
        <w:t xml:space="preserve">Pokles růstu investic vykompenzoval růst vládních výdajů, které vzrostly o 10,59 %. Nejvyšší nárůst byl u </w:t>
      </w:r>
      <w:proofErr w:type="spellStart"/>
      <w:r>
        <w:rPr>
          <w:lang w:eastAsia="cs-CZ"/>
        </w:rPr>
        <w:t>mezispotřeby</w:t>
      </w:r>
      <w:proofErr w:type="spellEnd"/>
      <w:r>
        <w:rPr>
          <w:lang w:eastAsia="cs-CZ"/>
        </w:rPr>
        <w:t xml:space="preserve"> (10,68 %). U spotřeby fixního kapitálů byl také </w:t>
      </w:r>
      <w:proofErr w:type="gramStart"/>
      <w:r>
        <w:rPr>
          <w:lang w:eastAsia="cs-CZ"/>
        </w:rPr>
        <w:t>růst     a to</w:t>
      </w:r>
      <w:proofErr w:type="gramEnd"/>
      <w:r>
        <w:rPr>
          <w:lang w:eastAsia="cs-CZ"/>
        </w:rPr>
        <w:t xml:space="preserve"> ve výši 11,87 %. Další zajímavý nárůst byl u mzdových náhrad (transferu) a to ve výši 10,68 %Výrazný pokles byl zjištěn na konci roku 2008 u čistého provozního přebytku a to -69,58 % a dále pak u ostatních daní z výroby. U ostatních daní z výroby byl pokles ve </w:t>
      </w:r>
      <w:proofErr w:type="gramStart"/>
      <w:r>
        <w:rPr>
          <w:lang w:eastAsia="cs-CZ"/>
        </w:rPr>
        <w:t>výši  -38,95</w:t>
      </w:r>
      <w:proofErr w:type="gramEnd"/>
      <w:r>
        <w:rPr>
          <w:lang w:eastAsia="cs-CZ"/>
        </w:rPr>
        <w:t xml:space="preserve"> %</w:t>
      </w:r>
      <w:r>
        <w:rPr>
          <w:rStyle w:val="Znakapoznpodarou"/>
          <w:lang w:eastAsia="cs-CZ"/>
        </w:rPr>
        <w:footnoteReference w:id="162"/>
      </w:r>
      <w:r>
        <w:rPr>
          <w:lang w:eastAsia="cs-CZ"/>
        </w:rPr>
        <w:t xml:space="preserve">. </w:t>
      </w:r>
    </w:p>
    <w:p w:rsidR="00FD7B45" w:rsidRDefault="00FD7B45" w:rsidP="00BF1E38">
      <w:pPr>
        <w:rPr>
          <w:lang w:eastAsia="cs-CZ"/>
        </w:rPr>
      </w:pPr>
    </w:p>
    <w:p w:rsidR="00FD7B45" w:rsidRDefault="00FD7B45" w:rsidP="00BF1E38">
      <w:pPr>
        <w:rPr>
          <w:lang w:eastAsia="cs-CZ"/>
        </w:rPr>
      </w:pPr>
      <w:r>
        <w:rPr>
          <w:lang w:eastAsia="cs-CZ"/>
        </w:rPr>
        <w:t>Při souhrnem pohledu na jednotlivé veličiny ovlivňující růst HDP zle soudit, že se na jejich vývoji začala projevovat hospodářská krize. Odliv investic z domácí ekonomiky vláda musela nahradit vyššími vládními výdaji. Dále došlo ke snížení tempa růstu spotřeby.         I míra nezaměstnanosti zaznamenala minimální pokles a to o -0,3 % z původní hodnoty z roku 2007, která byla 7,3 %. I přes značnější snížení tempa růstu jednotlivých složek HDP zaznamenalo jistý růst.</w:t>
      </w:r>
      <w:r>
        <w:rPr>
          <w:rStyle w:val="Znakapoznpodarou"/>
          <w:lang w:eastAsia="cs-CZ"/>
        </w:rPr>
        <w:footnoteReference w:id="163"/>
      </w:r>
    </w:p>
    <w:p w:rsidR="00FD7B45" w:rsidRDefault="00FD7B45" w:rsidP="00BF1E38">
      <w:pPr>
        <w:rPr>
          <w:lang w:eastAsia="cs-CZ"/>
        </w:rPr>
      </w:pPr>
    </w:p>
    <w:p w:rsidR="00FD7B45" w:rsidRPr="00B7218F" w:rsidRDefault="00FD7B45" w:rsidP="00BF1E38">
      <w:pPr>
        <w:rPr>
          <w:b/>
          <w:lang w:eastAsia="cs-CZ"/>
        </w:rPr>
      </w:pPr>
      <w:r w:rsidRPr="00B7218F">
        <w:rPr>
          <w:b/>
          <w:lang w:eastAsia="cs-CZ"/>
        </w:rPr>
        <w:t>Meziroční vývoj 200</w:t>
      </w:r>
      <w:r>
        <w:rPr>
          <w:b/>
          <w:lang w:eastAsia="cs-CZ"/>
        </w:rPr>
        <w:t>9</w:t>
      </w:r>
      <w:r w:rsidRPr="00B7218F">
        <w:rPr>
          <w:b/>
          <w:lang w:eastAsia="cs-CZ"/>
        </w:rPr>
        <w:t>/200</w:t>
      </w:r>
      <w:r>
        <w:rPr>
          <w:b/>
          <w:lang w:eastAsia="cs-CZ"/>
        </w:rPr>
        <w:t>8</w:t>
      </w:r>
    </w:p>
    <w:p w:rsidR="00FD7B45" w:rsidRPr="00B7218F" w:rsidRDefault="00FD7B45" w:rsidP="00BF1E38">
      <w:pPr>
        <w:rPr>
          <w:b/>
          <w:lang w:eastAsia="cs-CZ"/>
        </w:rPr>
      </w:pPr>
    </w:p>
    <w:p w:rsidR="00FD7B45" w:rsidRDefault="00FD7B45" w:rsidP="00BF1E38">
      <w:r>
        <w:t>Posledním obdobím, kterým se tato práce zabývala, bylo období 2009/2008. Zde už byl znát na vývoji domácí ekonomiky vliv světové hospodářské krize. HDP zaznamenal pokles ve výši -0,64 %. Spotřeba zaznamenala spolu s vládními výdaji růst. Vládní výdaje vzrostly o 11,11 % a spotřeba o 3,94 %. U poslední složky investice byl zjištěn na konci roku 2009 pokles ve výši -28,37 %.</w:t>
      </w:r>
      <w:r>
        <w:rPr>
          <w:rStyle w:val="Znakapoznpodarou"/>
        </w:rPr>
        <w:footnoteReference w:id="164"/>
      </w:r>
    </w:p>
    <w:p w:rsidR="00FD7B45" w:rsidRDefault="00FD7B45" w:rsidP="00BF1E38"/>
    <w:p w:rsidR="00FD7B45" w:rsidRDefault="00FD7B45" w:rsidP="00BF1E38">
      <w:r>
        <w:lastRenderedPageBreak/>
        <w:t>Při bližším pohledu na spotřebu je zřetelně vidět, že její dílčí složky vyvíjely rozdílně.       U většiny z nich bylo zpozorováno nižší tempo růstu. Pouze vzdělání, zdraví a oblast alkoholických</w:t>
      </w:r>
      <w:r w:rsidRPr="001724CB">
        <w:t xml:space="preserve"> nápoj</w:t>
      </w:r>
      <w:r>
        <w:t>ů</w:t>
      </w:r>
      <w:r w:rsidRPr="001724CB">
        <w:t>, tabák</w:t>
      </w:r>
      <w:r>
        <w:t>u</w:t>
      </w:r>
      <w:r w:rsidRPr="001724CB">
        <w:t xml:space="preserve"> a narkotik</w:t>
      </w:r>
      <w:r>
        <w:t xml:space="preserve"> zaznamenal vyšší růst než v předešlém období. Ve vzdělání bylo spotřebováno o 12 % více peněžních prostředků než v předešlém období. Nárůst byl ve všech jeho složkách, zvláště pak u terciárního vzdělání (16,1 %). V oblasti zdraví nejvíce dominovaly z</w:t>
      </w:r>
      <w:r w:rsidRPr="007A60A8">
        <w:t>dravotnické výrobky, zařízení a vybavení</w:t>
      </w:r>
      <w:r>
        <w:t>, u kterých byl růst 17,9 %. Po nich následně nemocniční služby ve výši 17,8 %. U poslední složky ambulantní služby byl nárůst 14,1 %. U poslední oblasti, ve které byl zjištěn výraznější růst (a</w:t>
      </w:r>
      <w:r w:rsidRPr="00DD1EB2">
        <w:t>lkoholické nápoje, tabák a narkotika</w:t>
      </w:r>
      <w:r>
        <w:t xml:space="preserve">) byl růst ve výši 14,2 %. U </w:t>
      </w:r>
      <w:proofErr w:type="spellStart"/>
      <w:r>
        <w:t>podsložky</w:t>
      </w:r>
      <w:proofErr w:type="spellEnd"/>
      <w:r>
        <w:t xml:space="preserve"> narkotika byl nárůst 52,7 %. Což je velmi vážný nárůst. U tabáku byl růst 10,6 % a u alkoholu 10,5 %.</w:t>
      </w:r>
      <w:r>
        <w:rPr>
          <w:rStyle w:val="Znakapoznpodarou"/>
        </w:rPr>
        <w:footnoteReference w:id="165"/>
      </w:r>
    </w:p>
    <w:p w:rsidR="00FD7B45" w:rsidRDefault="00FD7B45" w:rsidP="00BF1E38"/>
    <w:p w:rsidR="00FD7B45" w:rsidRPr="003D03FC" w:rsidRDefault="00FD7B45" w:rsidP="00BF1E38">
      <w:pPr>
        <w:rPr>
          <w:vertAlign w:val="subscript"/>
        </w:rPr>
      </w:pPr>
      <w:r>
        <w:t>Velmi výrazný pokles byl zjištěn na konci roku 2009 u investic a to -28,37 %. Nejvíce poklesla změna stavu zásob a to o 129,08 %. U cenností byl pokles -65,08 %. Nejnižšího poklesu bylo dosaženo u tvorby fixního kapitálu. Tvorba fixního kapitálů meziročně poklesla o -17,39 %.</w:t>
      </w:r>
      <w:r>
        <w:rPr>
          <w:rStyle w:val="Znakapoznpodarou"/>
        </w:rPr>
        <w:footnoteReference w:id="166"/>
      </w:r>
      <w:r>
        <w:t xml:space="preserve"> </w:t>
      </w:r>
    </w:p>
    <w:p w:rsidR="00FD7B45" w:rsidRDefault="00FD7B45" w:rsidP="00BF1E38"/>
    <w:p w:rsidR="00FD7B45" w:rsidRDefault="00FD7B45" w:rsidP="00BF1E38">
      <w:r>
        <w:t>Vláda na tuto situaci reagoval zvýšením vládních výdajů ve výši 12,07 % proti roku 2008. Při pohledu na dílčí složky vládních výdajů lze spatřit nárůst u čistých provozních přebytků ve výši 97,87 %. Také mzdové náhrady zaznamenaly růst. Tento růst byl ve výši 12,09 %. Jediný pokles byl u ostatních daní z výroby a to ve výši -86,07 %</w:t>
      </w:r>
      <w:r>
        <w:rPr>
          <w:rStyle w:val="Znakapoznpodarou"/>
        </w:rPr>
        <w:footnoteReference w:id="167"/>
      </w:r>
    </w:p>
    <w:p w:rsidR="00FD7B45" w:rsidRDefault="00FD7B45" w:rsidP="00BF1E38"/>
    <w:p w:rsidR="00FD7B45" w:rsidRDefault="00FD7B45" w:rsidP="00BF1E38">
      <w:r>
        <w:t>Ze shrnutí údajů za vývoj v roce 2009 je patrné, že zde byl ovlivněn vývoj hospodářskou krizí. Celkové HDP kleslo o -0,64 %. Největší podíl na tom měl výrazný pokles investic, který vláda musela a nahradit vyšší výdajem vládních výdajů. I toto zvýšení nedokázalo odvrátit pokles HDP. Co se týká míry nezaměstnanosti tak ta vzrostla o 3,3 % na 10,3 %. Toto zvýšení mělo vliv na větší výdej prostředků na transferové platby. Jediná spotřeba si udržela jakýsi růst ve většině svých jednotlivých složek. U investic investoři ztratily důvěru a tak své prostředky raději stáhly či přesunuly do jiných pro ně bezpečnějších oblastí. Je otázkou času kdy Slovinsko přiláká investory zpět.</w:t>
      </w:r>
      <w:r>
        <w:rPr>
          <w:rStyle w:val="Znakapoznpodarou"/>
        </w:rPr>
        <w:footnoteReference w:id="168"/>
      </w:r>
      <w:r>
        <w:t xml:space="preserve"> </w:t>
      </w:r>
    </w:p>
    <w:p w:rsidR="00FD7B45" w:rsidRDefault="00FD7B45" w:rsidP="00BF1E38"/>
    <w:p w:rsidR="00FD7B45" w:rsidRDefault="00FD7B45" w:rsidP="00BF1E38">
      <w:r>
        <w:t xml:space="preserve">Praktická část měla za cíl prokázat, zda je vývoj HDP závislý na jednotlivých veličinách, které jej tvoří. Danými složkami jsou spotřeba domácnosti, vládní výdaje a investic.           U všech třech složek byla prokázána silná a přímá závislost. Tato závislost byla prokázána na základě korelační analýzy. </w:t>
      </w:r>
    </w:p>
    <w:p w:rsidR="00FD7B45" w:rsidRDefault="00FD7B45" w:rsidP="00BF1E38"/>
    <w:p w:rsidR="00FD7B45" w:rsidRDefault="00FD7B45" w:rsidP="00BF1E38">
      <w:r>
        <w:t>Po provedení korelační analýzy bylo prokázáno, že největší závislost ve vývoji je mezi HDP a spotřebou a to ve výši 97,51 %. Druhou veličinou v pořadí byly vládní výdaje (84,71 %). Nejnižší závislost byla mezi HDP a investicemi. Tato závislost byla ve výši 60,19 %. Díky tomu, že spotřeba prokázala nevyšší závislost tak byla analyzována její závislost na transferech a mzdách či platech. U obou těchto faktorů, byla též prokázána silná závislost. V rámci mezd či platů byla závislost ve výši 99,83 % a u transferu byla ve výši 93,81 %.</w:t>
      </w:r>
    </w:p>
    <w:p w:rsidR="00FD7B45" w:rsidRDefault="00FD7B45" w:rsidP="00BF1E38"/>
    <w:p w:rsidR="00FD7B45" w:rsidRDefault="00FD7B45" w:rsidP="00BF1E38"/>
    <w:p w:rsidR="00FD7B45" w:rsidRDefault="00FD7B45" w:rsidP="00BF1E38"/>
    <w:p w:rsidR="00FD7B45" w:rsidRDefault="00FD7B45" w:rsidP="00BF1E38"/>
    <w:p w:rsidR="00FD7B45" w:rsidRDefault="00FD7B45" w:rsidP="00BF1E38"/>
    <w:p w:rsidR="00FD7B45" w:rsidRDefault="00FD7B45" w:rsidP="00BF1E38"/>
    <w:p w:rsidR="00FD7B45" w:rsidRDefault="00FD7B45" w:rsidP="00BF1E38"/>
    <w:p w:rsidR="00FD7B45" w:rsidRDefault="00FD7B45" w:rsidP="00BF1E38"/>
    <w:p w:rsidR="00FD7B45" w:rsidRDefault="00FD7B45" w:rsidP="00BF1E38"/>
    <w:p w:rsidR="00FD7B45" w:rsidRPr="00B7218F" w:rsidRDefault="00FD7B45" w:rsidP="00BF1E38">
      <w:pPr>
        <w:pStyle w:val="Nadpis1"/>
        <w:spacing w:before="0"/>
        <w:rPr>
          <w:caps/>
          <w:szCs w:val="22"/>
        </w:rPr>
      </w:pPr>
      <w:bookmarkStart w:id="116" w:name="_Toc281759188"/>
      <w:bookmarkStart w:id="117" w:name="_Toc282027389"/>
      <w:r w:rsidRPr="00B7218F">
        <w:rPr>
          <w:caps/>
        </w:rPr>
        <w:t>Závěr a zhodnocení dosažných cílů</w:t>
      </w:r>
      <w:bookmarkEnd w:id="116"/>
      <w:bookmarkEnd w:id="117"/>
    </w:p>
    <w:p w:rsidR="00FD7B45" w:rsidRPr="00B7218F" w:rsidRDefault="00FD7B45" w:rsidP="00BF1E38"/>
    <w:p w:rsidR="00FD7B45" w:rsidRDefault="00FD7B45" w:rsidP="00BF1E38">
      <w:pPr>
        <w:rPr>
          <w:lang w:eastAsia="cs-CZ"/>
        </w:rPr>
      </w:pPr>
      <w:r>
        <w:t xml:space="preserve">Eurozóna byla založena z většiny států, které zakládaly Evropské společenství, jenž je nyní známo jako Evropská Unie. První vlny rozšiřování jednotné měny se nezúčastnily státy Velká Británie, Dánsko a Švédsko. První dva jmenované státy si vyjednaly trvalou podmínku pro nezavedení eura. Tato podmínka je známa pod názvem </w:t>
      </w:r>
      <w:proofErr w:type="spellStart"/>
      <w:r>
        <w:t>Opt</w:t>
      </w:r>
      <w:proofErr w:type="spellEnd"/>
      <w:r>
        <w:t>-</w:t>
      </w:r>
      <w:proofErr w:type="spellStart"/>
      <w:r>
        <w:t>out</w:t>
      </w:r>
      <w:proofErr w:type="spellEnd"/>
      <w:r>
        <w:t xml:space="preserve">. Po první vlně zavedení eura se přijetí eura stalo povinností, která je známa pod názvem </w:t>
      </w:r>
      <w:proofErr w:type="spellStart"/>
      <w:r w:rsidRPr="003B4744">
        <w:t>acqius</w:t>
      </w:r>
      <w:proofErr w:type="spellEnd"/>
      <w:r w:rsidRPr="003B4744">
        <w:t xml:space="preserve"> </w:t>
      </w:r>
      <w:proofErr w:type="spellStart"/>
      <w:r w:rsidRPr="003B4744">
        <w:t>communautaire</w:t>
      </w:r>
      <w:proofErr w:type="spellEnd"/>
      <w:r>
        <w:t>. V s</w:t>
      </w:r>
      <w:r w:rsidRPr="00953612">
        <w:t xml:space="preserve">oučasné době to platí pro Bulharsko, Českou republiku, Estonsko, </w:t>
      </w:r>
      <w:r w:rsidRPr="00953612">
        <w:lastRenderedPageBreak/>
        <w:t>Litvu, Lotyšsko, Maďarsko, Polsko, Rumunsko a Švédsko</w:t>
      </w:r>
      <w:r>
        <w:t xml:space="preserve">. </w:t>
      </w:r>
      <w:r w:rsidRPr="00B7218F">
        <w:rPr>
          <w:lang w:eastAsia="cs-CZ"/>
        </w:rPr>
        <w:t>Rozšiřování</w:t>
      </w:r>
      <w:r>
        <w:rPr>
          <w:lang w:eastAsia="cs-CZ"/>
        </w:rPr>
        <w:t xml:space="preserve"> eurozóny </w:t>
      </w:r>
      <w:r w:rsidRPr="00B7218F">
        <w:rPr>
          <w:lang w:eastAsia="cs-CZ"/>
        </w:rPr>
        <w:t xml:space="preserve">probíhalo postupně. Řecko </w:t>
      </w:r>
      <w:r>
        <w:rPr>
          <w:lang w:eastAsia="cs-CZ"/>
        </w:rPr>
        <w:t>se jako první připojilo 1. 1. 2001,</w:t>
      </w:r>
      <w:r w:rsidRPr="00B7218F">
        <w:rPr>
          <w:lang w:eastAsia="cs-CZ"/>
        </w:rPr>
        <w:t xml:space="preserve"> 1. 1. 2007 </w:t>
      </w:r>
      <w:r>
        <w:rPr>
          <w:lang w:eastAsia="cs-CZ"/>
        </w:rPr>
        <w:t xml:space="preserve">jej </w:t>
      </w:r>
      <w:r w:rsidRPr="00B7218F">
        <w:rPr>
          <w:lang w:eastAsia="cs-CZ"/>
        </w:rPr>
        <w:t>následovalo Slovinsko. O rok později přistoupily k eurozóně Kypr a Malta. Zatím posledním členem, kter</w:t>
      </w:r>
      <w:r>
        <w:rPr>
          <w:lang w:eastAsia="cs-CZ"/>
        </w:rPr>
        <w:t>ý</w:t>
      </w:r>
      <w:r w:rsidRPr="00B7218F">
        <w:rPr>
          <w:lang w:eastAsia="cs-CZ"/>
        </w:rPr>
        <w:t xml:space="preserve"> přijalo jednotnou měnu euro</w:t>
      </w:r>
      <w:r>
        <w:rPr>
          <w:lang w:eastAsia="cs-CZ"/>
        </w:rPr>
        <w:t xml:space="preserve"> </w:t>
      </w:r>
      <w:proofErr w:type="gramStart"/>
      <w:r>
        <w:rPr>
          <w:lang w:eastAsia="cs-CZ"/>
        </w:rPr>
        <w:t>1.1.2009</w:t>
      </w:r>
      <w:proofErr w:type="gramEnd"/>
      <w:r>
        <w:rPr>
          <w:lang w:eastAsia="cs-CZ"/>
        </w:rPr>
        <w:t>,</w:t>
      </w:r>
      <w:r w:rsidRPr="00B7218F">
        <w:rPr>
          <w:lang w:eastAsia="cs-CZ"/>
        </w:rPr>
        <w:t xml:space="preserve"> je Slovensko. V okamžiku vstupu země do eurozóny se její národní banka stává nedílnou součásti Eurosystému</w:t>
      </w:r>
      <w:r>
        <w:rPr>
          <w:lang w:eastAsia="cs-CZ"/>
        </w:rPr>
        <w:t xml:space="preserve">.  </w:t>
      </w:r>
    </w:p>
    <w:p w:rsidR="00FD7B45" w:rsidRDefault="00FD7B45" w:rsidP="00BF1E38">
      <w:pPr>
        <w:rPr>
          <w:lang w:eastAsia="cs-CZ"/>
        </w:rPr>
      </w:pPr>
    </w:p>
    <w:p w:rsidR="00FD7B45" w:rsidRDefault="00FD7B45" w:rsidP="00BF1E38">
      <w:r>
        <w:rPr>
          <w:lang w:eastAsia="cs-CZ"/>
        </w:rPr>
        <w:t xml:space="preserve">Pro přijetí jednotné měny si každá kandidátská země musí zvolit scénář přechodu.             V současné době existují tři scénáře (Madridský scénář, Scénář </w:t>
      </w:r>
      <w:proofErr w:type="spellStart"/>
      <w:r>
        <w:rPr>
          <w:lang w:eastAsia="cs-CZ"/>
        </w:rPr>
        <w:t>Big</w:t>
      </w:r>
      <w:proofErr w:type="spellEnd"/>
      <w:r>
        <w:rPr>
          <w:lang w:eastAsia="cs-CZ"/>
        </w:rPr>
        <w:t xml:space="preserve"> </w:t>
      </w:r>
      <w:proofErr w:type="spellStart"/>
      <w:r>
        <w:rPr>
          <w:lang w:eastAsia="cs-CZ"/>
        </w:rPr>
        <w:t>Bang</w:t>
      </w:r>
      <w:proofErr w:type="spellEnd"/>
      <w:r>
        <w:rPr>
          <w:lang w:eastAsia="cs-CZ"/>
        </w:rPr>
        <w:t xml:space="preserve"> a Scénář </w:t>
      </w:r>
      <w:proofErr w:type="spellStart"/>
      <w:r>
        <w:rPr>
          <w:lang w:eastAsia="cs-CZ"/>
        </w:rPr>
        <w:t>Phasing</w:t>
      </w:r>
      <w:proofErr w:type="spellEnd"/>
      <w:r>
        <w:rPr>
          <w:lang w:eastAsia="cs-CZ"/>
        </w:rPr>
        <w:t xml:space="preserve"> </w:t>
      </w:r>
      <w:proofErr w:type="spellStart"/>
      <w:r>
        <w:rPr>
          <w:lang w:eastAsia="cs-CZ"/>
        </w:rPr>
        <w:t>out</w:t>
      </w:r>
      <w:proofErr w:type="spellEnd"/>
      <w:r>
        <w:rPr>
          <w:lang w:eastAsia="cs-CZ"/>
        </w:rPr>
        <w:t xml:space="preserve">), podle kterých lze euro zavést. Pokud se země rozhodne zavést euro jako svojí měnu, musí </w:t>
      </w:r>
      <w:r w:rsidRPr="00B7218F">
        <w:t>požáda</w:t>
      </w:r>
      <w:r>
        <w:t>t</w:t>
      </w:r>
      <w:r w:rsidRPr="00B7218F">
        <w:t xml:space="preserve"> Evropskou komisi a Evropskou centrální banku o posouzení připravenosti zaveden</w:t>
      </w:r>
      <w:r>
        <w:t>í měny. Rozhodnutí je interpretováno v</w:t>
      </w:r>
      <w:r w:rsidRPr="00B7218F">
        <w:t> konvergenčních zprávách. Konvergenční zprávy jsou definované dle čl.</w:t>
      </w:r>
      <w:r>
        <w:t xml:space="preserve"> </w:t>
      </w:r>
      <w:r w:rsidRPr="00B7218F">
        <w:t>121 (1) Smlouvy o založení Evropského společenství.</w:t>
      </w:r>
      <w:r w:rsidRPr="009E1D37">
        <w:t xml:space="preserve"> </w:t>
      </w:r>
      <w:r w:rsidRPr="00B7218F">
        <w:t xml:space="preserve">Úkolem </w:t>
      </w:r>
      <w:r>
        <w:t xml:space="preserve">těchto </w:t>
      </w:r>
      <w:r w:rsidRPr="00B7218F">
        <w:t>zpráv je prozkoumání kompatibility národní legislativy a národní centrální banky v dané zemi včetně ověření vysokého stupně udržitelnosti konvergence, tj. jestli daná země plní konvergenční kritéria.</w:t>
      </w:r>
      <w:r>
        <w:rPr>
          <w:rStyle w:val="Znakapoznpodarou"/>
        </w:rPr>
        <w:t xml:space="preserve"> </w:t>
      </w:r>
      <w:r w:rsidRPr="00B7218F">
        <w:t>Tento proces je také nazýván jako „Procedura zrušení výjimky pro zavedení eura“.</w:t>
      </w:r>
      <w:r>
        <w:t xml:space="preserve"> Mimo to, si každá země zpracovává svůj národní plán pro zavedení eura. Tento plán bývá doplněn dalšími dokumenty, které upravují různé specifické oblasti. </w:t>
      </w:r>
    </w:p>
    <w:p w:rsidR="00FD7B45" w:rsidRDefault="00FD7B45" w:rsidP="00BF1E38"/>
    <w:p w:rsidR="00FD7B45" w:rsidRDefault="00FD7B45" w:rsidP="00BF1E38">
      <w:r>
        <w:t>Konvergenční zprávy jsou vytvářeny na základě plnění konvergenčních (přístupových) kritérií, která lze dělit na měnová a fiskální. Měnová kritéria v sobě zahrnují cenovou stabilitu, kritérium dlouhodobých úrokových sazeb a kritérium směnného kurzu. V rámci fiskálních kritérií mluvíme o deficitu veřejných financí a o veřejném zadlužení. Mimo konvergenčních kritérií se dbá také na legislativní kritéria. Legislativní kritérium se zabývá</w:t>
      </w:r>
      <w:r w:rsidRPr="00B7218F">
        <w:t xml:space="preserve"> nezávislost</w:t>
      </w:r>
      <w:r>
        <w:t>í</w:t>
      </w:r>
      <w:r w:rsidRPr="00B7218F">
        <w:t xml:space="preserve"> centrální banky státu, který chce zavést euro a právní integrace národní banky do </w:t>
      </w:r>
      <w:proofErr w:type="spellStart"/>
      <w:r w:rsidRPr="00B7218F">
        <w:t>ESCB</w:t>
      </w:r>
      <w:proofErr w:type="spellEnd"/>
      <w:r w:rsidRPr="00B7218F">
        <w:t xml:space="preserve">. V požadavku </w:t>
      </w:r>
      <w:r>
        <w:t>nezávislosti u centrální banky</w:t>
      </w:r>
      <w:r w:rsidRPr="00B7218F">
        <w:t xml:space="preserve"> </w:t>
      </w:r>
      <w:r>
        <w:t xml:space="preserve">je zejména </w:t>
      </w:r>
      <w:r w:rsidRPr="00B7218F">
        <w:t>posuzována funkční, finanční a personální nezávislost</w:t>
      </w:r>
      <w:r>
        <w:t xml:space="preserve">i.  </w:t>
      </w:r>
    </w:p>
    <w:p w:rsidR="00FD7B45" w:rsidRDefault="00FD7B45" w:rsidP="00BF1E38"/>
    <w:p w:rsidR="00FD7B45" w:rsidRDefault="00FD7B45" w:rsidP="00BF1E38">
      <w:r>
        <w:t>V této práci byl uveden pojem Reálná konvergence.</w:t>
      </w:r>
      <w:r w:rsidRPr="00E116D1">
        <w:t xml:space="preserve"> </w:t>
      </w:r>
      <w:r w:rsidRPr="00B7218F">
        <w:t>Pro vstupující stát je</w:t>
      </w:r>
      <w:r>
        <w:t xml:space="preserve"> velmi</w:t>
      </w:r>
      <w:r w:rsidRPr="00B7218F">
        <w:t xml:space="preserve"> důležité, aby konvergoval se členy eurozóny také reálně. </w:t>
      </w:r>
      <w:r>
        <w:t>Reálnou konvergencí jsou míněny</w:t>
      </w:r>
      <w:r w:rsidRPr="00B7218F">
        <w:t xml:space="preserve"> určité neformální požadavky pro vstup do měnové unie. </w:t>
      </w:r>
      <w:r>
        <w:t xml:space="preserve">Těmito požadavky je míněno </w:t>
      </w:r>
      <w:r w:rsidRPr="00B7218F">
        <w:t xml:space="preserve">přibližování ekonomické úrovně kandidátské země k ekonomické úrovni ostatních </w:t>
      </w:r>
      <w:r w:rsidRPr="00B7218F">
        <w:lastRenderedPageBreak/>
        <w:t>členských zemí EMU. Přibližování kandid</w:t>
      </w:r>
      <w:r>
        <w:t xml:space="preserve">átské země se provádí na základě ukazatele   HDP </w:t>
      </w:r>
      <w:proofErr w:type="spellStart"/>
      <w:proofErr w:type="gramStart"/>
      <w:r>
        <w:t>p.c</w:t>
      </w:r>
      <w:proofErr w:type="spellEnd"/>
      <w:r>
        <w:t>.</w:t>
      </w:r>
      <w:proofErr w:type="gramEnd"/>
      <w:r>
        <w:t>, který</w:t>
      </w:r>
      <w:r w:rsidRPr="00B7218F">
        <w:t xml:space="preserve"> je ukazatelem rozvinutosti země. Tato kritéria nejsou výslovně formulována v žádném dokumentu vyd</w:t>
      </w:r>
      <w:r>
        <w:t xml:space="preserve">ávaným </w:t>
      </w:r>
      <w:proofErr w:type="spellStart"/>
      <w:r>
        <w:t>ECB</w:t>
      </w:r>
      <w:proofErr w:type="spellEnd"/>
      <w:r>
        <w:t xml:space="preserve"> či Evropskou komisí, avšak lze je </w:t>
      </w:r>
      <w:r w:rsidRPr="00B7218F">
        <w:t>odvodit na základě některých ustanovení Smlouvy o ES</w:t>
      </w:r>
      <w:r>
        <w:t xml:space="preserve">. </w:t>
      </w:r>
    </w:p>
    <w:p w:rsidR="00FD7B45" w:rsidRDefault="00FD7B45" w:rsidP="00BF1E38"/>
    <w:p w:rsidR="00FD7B45" w:rsidRDefault="00FD7B45" w:rsidP="00BF1E38">
      <w:r>
        <w:t xml:space="preserve">První kapitolu teoretické části uzavírají přínosy a náklady společné měny. </w:t>
      </w:r>
      <w:r w:rsidRPr="00B7218F">
        <w:t>Zastánci měnové uni</w:t>
      </w:r>
      <w:r>
        <w:t>e</w:t>
      </w:r>
      <w:r w:rsidRPr="00B7218F">
        <w:t xml:space="preserve"> nejčastěji argumentují výhodami, jako je např</w:t>
      </w:r>
      <w:r>
        <w:t>.</w:t>
      </w:r>
      <w:r w:rsidRPr="00B7218F">
        <w:t xml:space="preserve"> rostoucí ekonomická stabilita, zahraniční investice, integrace obchodu, transparentnost c</w:t>
      </w:r>
      <w:r>
        <w:t xml:space="preserve">en, snižování nákladů na </w:t>
      </w:r>
      <w:proofErr w:type="gramStart"/>
      <w:r>
        <w:t>směnu   a transakčních</w:t>
      </w:r>
      <w:proofErr w:type="gramEnd"/>
      <w:r>
        <w:t xml:space="preserve"> nákladů a samozřejmě jistý politický význam.</w:t>
      </w:r>
      <w:r w:rsidRPr="008B6CDA">
        <w:t xml:space="preserve"> </w:t>
      </w:r>
      <w:r w:rsidRPr="00B7218F">
        <w:t>Mezi zásadní nevýhody patří ztr</w:t>
      </w:r>
      <w:r>
        <w:t>áta autonomie hospodářské politiky</w:t>
      </w:r>
      <w:r w:rsidRPr="00B7218F">
        <w:t>, směnný kurz a adaptační náklady</w:t>
      </w:r>
      <w:r>
        <w:t xml:space="preserve">. Pro zavedení eura je důležité, aby přínosy převážily nad náklady. </w:t>
      </w:r>
    </w:p>
    <w:p w:rsidR="00FD7B45" w:rsidRDefault="00FD7B45" w:rsidP="00BF1E38"/>
    <w:p w:rsidR="00FD7B45" w:rsidRDefault="00FD7B45" w:rsidP="00BF1E38">
      <w:pPr>
        <w:rPr>
          <w:szCs w:val="24"/>
        </w:rPr>
      </w:pPr>
      <w:r>
        <w:t>Ve druhé kapitole teoretické části byly charakterizovány přípravy Slovinska na přijetí eura a plnění konvergenčních kritérií. V rámci hodnocení příprav pro zavedení eura byly hodnoceny činnosti jako je obeznámení veřejnosti s eurem, výměna hotového oběživa, předzásobení a druhotné předzásobení přede dnem zavedení eura, období používání dvojího oběživa a rychlé vrácení národní měny. Ve</w:t>
      </w:r>
      <w:r w:rsidRPr="00865EE3">
        <w:rPr>
          <w:szCs w:val="24"/>
        </w:rPr>
        <w:t xml:space="preserve"> </w:t>
      </w:r>
      <w:r>
        <w:rPr>
          <w:szCs w:val="24"/>
        </w:rPr>
        <w:t>Slovinsku</w:t>
      </w:r>
      <w:r>
        <w:t xml:space="preserve"> </w:t>
      </w:r>
      <w:r>
        <w:rPr>
          <w:szCs w:val="24"/>
        </w:rPr>
        <w:t>p</w:t>
      </w:r>
      <w:r w:rsidRPr="00B7218F">
        <w:rPr>
          <w:szCs w:val="24"/>
        </w:rPr>
        <w:t xml:space="preserve">řípravná fáze </w:t>
      </w:r>
      <w:r>
        <w:rPr>
          <w:szCs w:val="24"/>
        </w:rPr>
        <w:t>proběhla velmi důkladně a tím byl zajištěn hladký přechod k euru</w:t>
      </w:r>
      <w:r w:rsidRPr="00B7218F">
        <w:rPr>
          <w:szCs w:val="24"/>
        </w:rPr>
        <w:t>.</w:t>
      </w:r>
      <w:r>
        <w:rPr>
          <w:szCs w:val="24"/>
        </w:rPr>
        <w:t xml:space="preserve"> To vše se uskutečnilo na základě včasných a důkladných příprav.</w:t>
      </w:r>
      <w:r w:rsidRPr="00B7218F">
        <w:rPr>
          <w:szCs w:val="24"/>
        </w:rPr>
        <w:t xml:space="preserve"> Slovinsko vytěžilo z řady pro něj příznivých </w:t>
      </w:r>
      <w:proofErr w:type="gramStart"/>
      <w:r w:rsidRPr="00B7218F">
        <w:rPr>
          <w:szCs w:val="24"/>
        </w:rPr>
        <w:t xml:space="preserve">podmínek </w:t>
      </w:r>
      <w:r>
        <w:rPr>
          <w:szCs w:val="24"/>
        </w:rPr>
        <w:t xml:space="preserve">    a aspektů</w:t>
      </w:r>
      <w:proofErr w:type="gramEnd"/>
      <w:r w:rsidRPr="00B7218F">
        <w:rPr>
          <w:szCs w:val="24"/>
        </w:rPr>
        <w:t xml:space="preserve"> usnadňující přechod na jednotnou měnu.</w:t>
      </w:r>
    </w:p>
    <w:p w:rsidR="00FD7B45" w:rsidRDefault="00FD7B45" w:rsidP="00BF1E38">
      <w:pPr>
        <w:rPr>
          <w:szCs w:val="24"/>
        </w:rPr>
      </w:pPr>
    </w:p>
    <w:p w:rsidR="00FD7B45" w:rsidRDefault="00FD7B45" w:rsidP="00BF1E38">
      <w:pPr>
        <w:rPr>
          <w:szCs w:val="24"/>
        </w:rPr>
      </w:pPr>
      <w:r>
        <w:rPr>
          <w:szCs w:val="24"/>
        </w:rPr>
        <w:t>Během obeznamování</w:t>
      </w:r>
      <w:r w:rsidRPr="00B7218F">
        <w:rPr>
          <w:szCs w:val="24"/>
        </w:rPr>
        <w:t xml:space="preserve"> veřejnosti mělo Slovinsko zjednodušenou situaci,</w:t>
      </w:r>
      <w:r>
        <w:rPr>
          <w:szCs w:val="24"/>
        </w:rPr>
        <w:t xml:space="preserve"> jelikož</w:t>
      </w:r>
      <w:r w:rsidRPr="00B7218F">
        <w:rPr>
          <w:szCs w:val="24"/>
        </w:rPr>
        <w:t xml:space="preserve"> sousedí se dvěma státy eurozóny (Itálie a Rakousko), které zavedly euro dříve</w:t>
      </w:r>
      <w:r>
        <w:rPr>
          <w:szCs w:val="24"/>
        </w:rPr>
        <w:t>,</w:t>
      </w:r>
      <w:r w:rsidRPr="00B7218F">
        <w:rPr>
          <w:szCs w:val="24"/>
        </w:rPr>
        <w:t xml:space="preserve"> a pr</w:t>
      </w:r>
      <w:r>
        <w:rPr>
          <w:szCs w:val="24"/>
        </w:rPr>
        <w:t xml:space="preserve">oto jej už většina občanů znala. </w:t>
      </w:r>
      <w:r w:rsidRPr="00B7218F">
        <w:rPr>
          <w:szCs w:val="24"/>
        </w:rPr>
        <w:t xml:space="preserve">Úspěch této operace </w:t>
      </w:r>
      <w:r>
        <w:rPr>
          <w:szCs w:val="24"/>
        </w:rPr>
        <w:t>záležel</w:t>
      </w:r>
      <w:r w:rsidRPr="00B7218F">
        <w:rPr>
          <w:szCs w:val="24"/>
        </w:rPr>
        <w:t xml:space="preserve"> na včasném dodání </w:t>
      </w:r>
      <w:proofErr w:type="spellStart"/>
      <w:r w:rsidRPr="00B7218F">
        <w:rPr>
          <w:szCs w:val="24"/>
        </w:rPr>
        <w:t>eurobankovek</w:t>
      </w:r>
      <w:proofErr w:type="spellEnd"/>
      <w:r w:rsidRPr="00B7218F">
        <w:rPr>
          <w:szCs w:val="24"/>
        </w:rPr>
        <w:t xml:space="preserve"> a </w:t>
      </w:r>
      <w:proofErr w:type="spellStart"/>
      <w:r w:rsidRPr="00B7218F">
        <w:rPr>
          <w:szCs w:val="24"/>
        </w:rPr>
        <w:t>euromincí</w:t>
      </w:r>
      <w:proofErr w:type="spellEnd"/>
      <w:r>
        <w:rPr>
          <w:szCs w:val="24"/>
        </w:rPr>
        <w:t>. Toto dodání zajistila národní</w:t>
      </w:r>
      <w:r w:rsidRPr="00B7218F">
        <w:rPr>
          <w:szCs w:val="24"/>
        </w:rPr>
        <w:t xml:space="preserve"> centrální bank</w:t>
      </w:r>
      <w:r>
        <w:rPr>
          <w:szCs w:val="24"/>
        </w:rPr>
        <w:t>a, která tyto prostředky dále předala</w:t>
      </w:r>
      <w:r w:rsidRPr="00B7218F">
        <w:rPr>
          <w:szCs w:val="24"/>
        </w:rPr>
        <w:t xml:space="preserve"> ostatním bankám a ostatním finančním institucím</w:t>
      </w:r>
      <w:r>
        <w:rPr>
          <w:szCs w:val="24"/>
        </w:rPr>
        <w:t>. Tento proces je znám pod názvem předzásobení.</w:t>
      </w:r>
    </w:p>
    <w:p w:rsidR="00FD7B45" w:rsidRDefault="00FD7B45" w:rsidP="00BF1E38">
      <w:pPr>
        <w:rPr>
          <w:szCs w:val="24"/>
        </w:rPr>
      </w:pPr>
    </w:p>
    <w:p w:rsidR="00FD7B45" w:rsidRDefault="00FD7B45" w:rsidP="00BF1E38">
      <w:pPr>
        <w:rPr>
          <w:szCs w:val="24"/>
        </w:rPr>
      </w:pPr>
      <w:r w:rsidRPr="00B7218F">
        <w:rPr>
          <w:szCs w:val="24"/>
        </w:rPr>
        <w:t xml:space="preserve">Slovinská vláda se rozhodla pro co nejkratší období používání dvojího oběživa, které bylo dva týdny, přičemž původní plán z ledna 2005 předpokládal v úvahu pouze jeden týden. </w:t>
      </w:r>
      <w:r>
        <w:rPr>
          <w:szCs w:val="24"/>
        </w:rPr>
        <w:t xml:space="preserve">   </w:t>
      </w:r>
      <w:r w:rsidRPr="00B7218F">
        <w:rPr>
          <w:szCs w:val="24"/>
        </w:rPr>
        <w:t xml:space="preserve"> I</w:t>
      </w:r>
      <w:r>
        <w:rPr>
          <w:szCs w:val="24"/>
        </w:rPr>
        <w:t xml:space="preserve"> přesto toto období</w:t>
      </w:r>
      <w:r w:rsidRPr="00B7218F">
        <w:rPr>
          <w:szCs w:val="24"/>
        </w:rPr>
        <w:t xml:space="preserve"> bylo podstatně kratší než </w:t>
      </w:r>
      <w:r>
        <w:rPr>
          <w:szCs w:val="24"/>
        </w:rPr>
        <w:t xml:space="preserve">při přijímání eura během první vlny z </w:t>
      </w:r>
      <w:r w:rsidRPr="00B7218F">
        <w:rPr>
          <w:szCs w:val="24"/>
        </w:rPr>
        <w:t>roku 2002</w:t>
      </w:r>
      <w:r>
        <w:rPr>
          <w:szCs w:val="24"/>
        </w:rPr>
        <w:t>, kde toto období</w:t>
      </w:r>
      <w:r w:rsidRPr="00B7218F">
        <w:rPr>
          <w:szCs w:val="24"/>
        </w:rPr>
        <w:t xml:space="preserve"> často přesáhlo až dva měsíce</w:t>
      </w:r>
      <w:r>
        <w:rPr>
          <w:szCs w:val="24"/>
        </w:rPr>
        <w:t xml:space="preserve">. </w:t>
      </w:r>
    </w:p>
    <w:p w:rsidR="00FD7B45" w:rsidRDefault="00FD7B45" w:rsidP="00BF1E38">
      <w:pPr>
        <w:rPr>
          <w:szCs w:val="24"/>
        </w:rPr>
      </w:pPr>
    </w:p>
    <w:p w:rsidR="00FD7B45" w:rsidRPr="00B7218F" w:rsidRDefault="00FD7B45" w:rsidP="00BF1E38">
      <w:r w:rsidRPr="00B7218F">
        <w:rPr>
          <w:szCs w:val="24"/>
        </w:rPr>
        <w:lastRenderedPageBreak/>
        <w:t>Proces vracení hotovosti v</w:t>
      </w:r>
      <w:r>
        <w:rPr>
          <w:szCs w:val="24"/>
        </w:rPr>
        <w:t> národní měně (tolar)</w:t>
      </w:r>
      <w:r w:rsidRPr="00B7218F">
        <w:rPr>
          <w:szCs w:val="24"/>
        </w:rPr>
        <w:t xml:space="preserve"> začal na přelomu listopadu a prosince </w:t>
      </w:r>
      <w:r>
        <w:rPr>
          <w:szCs w:val="24"/>
        </w:rPr>
        <w:t xml:space="preserve">roku </w:t>
      </w:r>
      <w:r w:rsidRPr="00B7218F">
        <w:rPr>
          <w:szCs w:val="24"/>
        </w:rPr>
        <w:t xml:space="preserve">2006. Některé banky svým zákazníkům nabízely uložení eurohotovosti na jejich bankovní účty podle přepočítacího koeficientu a bez poplatků od 1. </w:t>
      </w:r>
      <w:r>
        <w:rPr>
          <w:szCs w:val="24"/>
        </w:rPr>
        <w:t>12.</w:t>
      </w:r>
      <w:r w:rsidRPr="00B7218F">
        <w:rPr>
          <w:szCs w:val="24"/>
        </w:rPr>
        <w:t xml:space="preserve"> 2006.</w:t>
      </w:r>
      <w:r w:rsidRPr="00B7218F">
        <w:rPr>
          <w:color w:val="000000"/>
          <w:szCs w:val="24"/>
        </w:rPr>
        <w:t xml:space="preserve"> Ke d</w:t>
      </w:r>
      <w:r w:rsidRPr="00B7218F">
        <w:rPr>
          <w:szCs w:val="24"/>
        </w:rPr>
        <w:t xml:space="preserve">ni 1. </w:t>
      </w:r>
      <w:r>
        <w:rPr>
          <w:szCs w:val="24"/>
        </w:rPr>
        <w:t>1.</w:t>
      </w:r>
      <w:r w:rsidRPr="00B7218F">
        <w:rPr>
          <w:szCs w:val="24"/>
        </w:rPr>
        <w:t xml:space="preserve"> 2007 bylo vráceno téměř 28 % celkové zbývající hodnoty tolarových bankovek.</w:t>
      </w:r>
    </w:p>
    <w:p w:rsidR="00FD7B45" w:rsidRDefault="00FD7B45" w:rsidP="00BF1E38"/>
    <w:p w:rsidR="00FD7B45" w:rsidRDefault="00FD7B45" w:rsidP="00BF1E38">
      <w:r>
        <w:t xml:space="preserve">Další součástí příprav byly převody administrativních prostředků. Tento proces byl komplikovaný, jelikož slovinská vláda postupovala dle Scénáře </w:t>
      </w:r>
      <w:proofErr w:type="spellStart"/>
      <w:r>
        <w:t>Big</w:t>
      </w:r>
      <w:proofErr w:type="spellEnd"/>
      <w:r>
        <w:t xml:space="preserve"> </w:t>
      </w:r>
      <w:proofErr w:type="spellStart"/>
      <w:r>
        <w:t>Bang</w:t>
      </w:r>
      <w:proofErr w:type="spellEnd"/>
      <w:r>
        <w:t xml:space="preserve">, který neumožňoval přechodné období. Díky tomu veškeré instituce musely do 31. 12. 2006 fungovat v tolarech a o d 1. 1. 2007 v eurech. Tento proces byl dobře zvládnut díky včasné přípravě. </w:t>
      </w:r>
    </w:p>
    <w:p w:rsidR="00FD7B45" w:rsidRDefault="00FD7B45" w:rsidP="00BF1E38"/>
    <w:p w:rsidR="00FD7B45" w:rsidRPr="00B7218F" w:rsidRDefault="00FD7B45" w:rsidP="00BF1E38">
      <w:pPr>
        <w:rPr>
          <w:szCs w:val="24"/>
        </w:rPr>
      </w:pPr>
      <w:r>
        <w:rPr>
          <w:szCs w:val="24"/>
        </w:rPr>
        <w:t>V březnu 2006 začalo realizování u</w:t>
      </w:r>
      <w:r w:rsidRPr="00B7218F">
        <w:rPr>
          <w:szCs w:val="24"/>
        </w:rPr>
        <w:t>vádění cen v obou měnách</w:t>
      </w:r>
      <w:r>
        <w:rPr>
          <w:szCs w:val="24"/>
        </w:rPr>
        <w:t>. Uvádění cen v obou měnách pokračovalo až do poloviny roku 2007</w:t>
      </w:r>
      <w:r w:rsidRPr="00B7218F">
        <w:rPr>
          <w:szCs w:val="24"/>
        </w:rPr>
        <w:t>. Ceny byly monitorovány sdružením</w:t>
      </w:r>
      <w:r w:rsidRPr="00B7218F">
        <w:rPr>
          <w:color w:val="000000"/>
          <w:szCs w:val="24"/>
        </w:rPr>
        <w:t xml:space="preserve"> </w:t>
      </w:r>
      <w:r w:rsidRPr="00B7218F">
        <w:rPr>
          <w:szCs w:val="24"/>
        </w:rPr>
        <w:t>spotřebitelů, které využívalo i informací od spotřebitelů. Jakékoliv zásadní nárůsty cen, které byly</w:t>
      </w:r>
      <w:r>
        <w:rPr>
          <w:szCs w:val="24"/>
        </w:rPr>
        <w:t xml:space="preserve"> </w:t>
      </w:r>
      <w:r w:rsidRPr="00B7218F">
        <w:rPr>
          <w:szCs w:val="24"/>
        </w:rPr>
        <w:t xml:space="preserve">potvrzeny, se pak </w:t>
      </w:r>
      <w:r>
        <w:rPr>
          <w:szCs w:val="24"/>
        </w:rPr>
        <w:t>následně</w:t>
      </w:r>
      <w:r w:rsidRPr="00B7218F">
        <w:rPr>
          <w:szCs w:val="24"/>
        </w:rPr>
        <w:t xml:space="preserve"> oznámily veřejnosti</w:t>
      </w:r>
      <w:r>
        <w:rPr>
          <w:szCs w:val="24"/>
        </w:rPr>
        <w:t xml:space="preserve">. </w:t>
      </w:r>
      <w:r w:rsidRPr="00B7218F">
        <w:rPr>
          <w:szCs w:val="24"/>
        </w:rPr>
        <w:t xml:space="preserve">Během roku 2006 </w:t>
      </w:r>
      <w:proofErr w:type="gramStart"/>
      <w:r w:rsidRPr="00B7218F">
        <w:rPr>
          <w:szCs w:val="24"/>
        </w:rPr>
        <w:t>došlo</w:t>
      </w:r>
      <w:r>
        <w:rPr>
          <w:szCs w:val="24"/>
        </w:rPr>
        <w:t xml:space="preserve">             k výraznému</w:t>
      </w:r>
      <w:proofErr w:type="gramEnd"/>
      <w:r w:rsidRPr="00B7218F">
        <w:rPr>
          <w:szCs w:val="24"/>
        </w:rPr>
        <w:t xml:space="preserve"> nárůstu poplatků za bankovní služby.</w:t>
      </w:r>
      <w:r w:rsidRPr="00B7218F">
        <w:rPr>
          <w:color w:val="000000"/>
          <w:szCs w:val="24"/>
        </w:rPr>
        <w:t xml:space="preserve"> </w:t>
      </w:r>
      <w:r>
        <w:rPr>
          <w:color w:val="000000"/>
          <w:szCs w:val="24"/>
        </w:rPr>
        <w:t>B</w:t>
      </w:r>
      <w:r w:rsidRPr="00B7218F">
        <w:rPr>
          <w:szCs w:val="24"/>
        </w:rPr>
        <w:t xml:space="preserve">anky od začátku roku 2006 zvýšily ceny některých svých služeb např. zvýšení poplatků za výběr z peněžních automatů. </w:t>
      </w:r>
      <w:r w:rsidRPr="00B7218F">
        <w:rPr>
          <w:color w:val="000000"/>
          <w:szCs w:val="24"/>
        </w:rPr>
        <w:t xml:space="preserve"> </w:t>
      </w:r>
      <w:r>
        <w:rPr>
          <w:color w:val="000000"/>
          <w:szCs w:val="24"/>
        </w:rPr>
        <w:t xml:space="preserve">       </w:t>
      </w:r>
      <w:r>
        <w:rPr>
          <w:szCs w:val="24"/>
        </w:rPr>
        <w:t xml:space="preserve">V </w:t>
      </w:r>
      <w:r w:rsidRPr="00B7218F">
        <w:rPr>
          <w:szCs w:val="24"/>
        </w:rPr>
        <w:t xml:space="preserve">lednu 2007 </w:t>
      </w:r>
      <w:r>
        <w:rPr>
          <w:szCs w:val="24"/>
        </w:rPr>
        <w:t>Slovinský statistický úřad</w:t>
      </w:r>
      <w:r w:rsidRPr="00B7218F">
        <w:rPr>
          <w:szCs w:val="24"/>
        </w:rPr>
        <w:t xml:space="preserve"> zveřejnil svou první analýzu </w:t>
      </w:r>
      <w:r>
        <w:rPr>
          <w:szCs w:val="24"/>
        </w:rPr>
        <w:t xml:space="preserve">o </w:t>
      </w:r>
      <w:r w:rsidRPr="00B7218F">
        <w:rPr>
          <w:szCs w:val="24"/>
        </w:rPr>
        <w:t xml:space="preserve">dopadu přechodu na ceny. </w:t>
      </w:r>
      <w:r>
        <w:rPr>
          <w:szCs w:val="24"/>
        </w:rPr>
        <w:t>V dané analýze b</w:t>
      </w:r>
      <w:r w:rsidRPr="00B7218F">
        <w:rPr>
          <w:szCs w:val="24"/>
        </w:rPr>
        <w:t xml:space="preserve">ylo zaznamenáno několik neobvyklých nárůstů </w:t>
      </w:r>
      <w:proofErr w:type="gramStart"/>
      <w:r w:rsidRPr="00B7218F">
        <w:rPr>
          <w:szCs w:val="24"/>
        </w:rPr>
        <w:t>cen</w:t>
      </w:r>
      <w:r>
        <w:rPr>
          <w:szCs w:val="24"/>
        </w:rPr>
        <w:t xml:space="preserve">                    </w:t>
      </w:r>
      <w:r w:rsidRPr="00B7218F">
        <w:rPr>
          <w:szCs w:val="24"/>
        </w:rPr>
        <w:t xml:space="preserve"> </w:t>
      </w:r>
      <w:r>
        <w:rPr>
          <w:szCs w:val="24"/>
        </w:rPr>
        <w:t>v restauracích</w:t>
      </w:r>
      <w:proofErr w:type="gramEnd"/>
      <w:r w:rsidRPr="00B7218F">
        <w:rPr>
          <w:szCs w:val="24"/>
        </w:rPr>
        <w:t>, barech a kavárnách a v některých jiných výdajových skupinách (osobní služby, obuvnické služby, oprava domácích spotřebičů, opravářské a dopravní služby).</w:t>
      </w:r>
    </w:p>
    <w:p w:rsidR="00FD7B45" w:rsidRDefault="00FD7B45" w:rsidP="00BF1E38">
      <w:pPr>
        <w:rPr>
          <w:szCs w:val="24"/>
        </w:rPr>
      </w:pPr>
    </w:p>
    <w:p w:rsidR="00FD7B45" w:rsidRDefault="00FD7B45" w:rsidP="00BF1E38">
      <w:pPr>
        <w:rPr>
          <w:szCs w:val="24"/>
        </w:rPr>
      </w:pPr>
      <w:r>
        <w:rPr>
          <w:szCs w:val="24"/>
        </w:rPr>
        <w:t xml:space="preserve">Poslední </w:t>
      </w:r>
      <w:proofErr w:type="spellStart"/>
      <w:r>
        <w:rPr>
          <w:szCs w:val="24"/>
        </w:rPr>
        <w:t>subkapitola</w:t>
      </w:r>
      <w:proofErr w:type="spellEnd"/>
      <w:r>
        <w:rPr>
          <w:szCs w:val="24"/>
        </w:rPr>
        <w:t xml:space="preserve"> teoretické části shrnula plnění konvergenčních kritérií. V rámci kritéria cenové stability, nesmí hodnota inflace přesáhnout 1,5 procentního bodu nad průměrem tří zemí s nejnižší inflací. Na konci roku 2006 </w:t>
      </w:r>
      <w:proofErr w:type="spellStart"/>
      <w:r>
        <w:rPr>
          <w:szCs w:val="24"/>
        </w:rPr>
        <w:t>HICP</w:t>
      </w:r>
      <w:proofErr w:type="spellEnd"/>
      <w:r>
        <w:rPr>
          <w:szCs w:val="24"/>
        </w:rPr>
        <w:t xml:space="preserve"> byla ve výši 2,0 %. Během plnění kritéria směnného kurzu </w:t>
      </w:r>
      <w:r w:rsidRPr="00B7218F">
        <w:rPr>
          <w:szCs w:val="24"/>
        </w:rPr>
        <w:t xml:space="preserve">Banka </w:t>
      </w:r>
      <w:proofErr w:type="spellStart"/>
      <w:r w:rsidRPr="00B7218F">
        <w:rPr>
          <w:szCs w:val="24"/>
        </w:rPr>
        <w:t>Slovenije</w:t>
      </w:r>
      <w:proofErr w:type="spellEnd"/>
      <w:r w:rsidRPr="00B7218F">
        <w:rPr>
          <w:szCs w:val="24"/>
        </w:rPr>
        <w:t xml:space="preserve"> </w:t>
      </w:r>
      <w:r>
        <w:rPr>
          <w:szCs w:val="24"/>
        </w:rPr>
        <w:t>se snažila udržovat</w:t>
      </w:r>
      <w:r w:rsidRPr="00B7218F">
        <w:rPr>
          <w:szCs w:val="24"/>
        </w:rPr>
        <w:t xml:space="preserve"> volatilitu své měny na velmi nízké úrovni</w:t>
      </w:r>
      <w:r>
        <w:rPr>
          <w:szCs w:val="24"/>
        </w:rPr>
        <w:t>. Tohoto cíle dosahovala</w:t>
      </w:r>
      <w:r w:rsidRPr="00B7218F">
        <w:rPr>
          <w:szCs w:val="24"/>
        </w:rPr>
        <w:t xml:space="preserve"> prostřednictvím své </w:t>
      </w:r>
      <w:proofErr w:type="spellStart"/>
      <w:r w:rsidRPr="00B7218F">
        <w:rPr>
          <w:szCs w:val="24"/>
        </w:rPr>
        <w:t>facility</w:t>
      </w:r>
      <w:proofErr w:type="spellEnd"/>
      <w:r w:rsidRPr="00B7218F">
        <w:rPr>
          <w:szCs w:val="24"/>
        </w:rPr>
        <w:t xml:space="preserve"> měnových swapů. Příležitostně </w:t>
      </w:r>
      <w:r>
        <w:rPr>
          <w:szCs w:val="24"/>
        </w:rPr>
        <w:t xml:space="preserve">také </w:t>
      </w:r>
      <w:r w:rsidRPr="00B7218F">
        <w:rPr>
          <w:szCs w:val="24"/>
        </w:rPr>
        <w:t>realizovala přímé nákupy cizích měn s cílem snížit kumu</w:t>
      </w:r>
      <w:r>
        <w:rPr>
          <w:szCs w:val="24"/>
        </w:rPr>
        <w:t>lovanou částku splatných swapů. Účelem těchto kroků</w:t>
      </w:r>
      <w:r w:rsidRPr="00B7218F">
        <w:rPr>
          <w:szCs w:val="24"/>
        </w:rPr>
        <w:t xml:space="preserve"> </w:t>
      </w:r>
      <w:r>
        <w:rPr>
          <w:szCs w:val="24"/>
        </w:rPr>
        <w:t>bylo</w:t>
      </w:r>
      <w:r w:rsidRPr="00B7218F">
        <w:rPr>
          <w:szCs w:val="24"/>
        </w:rPr>
        <w:t xml:space="preserve"> absorbování potenciálních tlaků na posílení měny.</w:t>
      </w:r>
      <w:r>
        <w:rPr>
          <w:szCs w:val="24"/>
        </w:rPr>
        <w:t xml:space="preserve"> </w:t>
      </w:r>
    </w:p>
    <w:p w:rsidR="00FD7B45" w:rsidRDefault="00FD7B45" w:rsidP="00BF1E38">
      <w:pPr>
        <w:rPr>
          <w:szCs w:val="24"/>
        </w:rPr>
      </w:pPr>
    </w:p>
    <w:p w:rsidR="00FD7B45" w:rsidRDefault="00FD7B45" w:rsidP="00BF1E38">
      <w:r>
        <w:rPr>
          <w:szCs w:val="24"/>
        </w:rPr>
        <w:lastRenderedPageBreak/>
        <w:t>Dalším z řady fiskálních kritérií je kritérium dlouhodobých úrokových sazeb. V rámci tohoto kritéria byla</w:t>
      </w:r>
      <w:r>
        <w:t xml:space="preserve"> průměrná hodnota za rok</w:t>
      </w:r>
      <w:r w:rsidRPr="00B7218F">
        <w:t xml:space="preserve"> 2006 3,8 %</w:t>
      </w:r>
      <w:r>
        <w:t>,</w:t>
      </w:r>
      <w:r w:rsidRPr="00B7218F">
        <w:t xml:space="preserve"> co</w:t>
      </w:r>
      <w:r>
        <w:t>ž</w:t>
      </w:r>
      <w:r w:rsidRPr="00B7218F">
        <w:t xml:space="preserve"> bylo </w:t>
      </w:r>
      <w:r w:rsidRPr="00B7218F">
        <w:rPr>
          <w:szCs w:val="24"/>
        </w:rPr>
        <w:t>výrazně pod referenční hodnotou</w:t>
      </w:r>
      <w:r>
        <w:rPr>
          <w:szCs w:val="24"/>
        </w:rPr>
        <w:t>. Pro dodržení tohoto kritéria</w:t>
      </w:r>
      <w:r w:rsidRPr="009B160D">
        <w:t xml:space="preserve"> </w:t>
      </w:r>
      <w:r>
        <w:t xml:space="preserve">muselo </w:t>
      </w:r>
      <w:r w:rsidRPr="00B7218F">
        <w:t xml:space="preserve">Slovinsko realizovat zdravou fiskální konsolidaci, která by také omezila potenciální poptávkové tlaky v ekonomice, a umírněnou mzdovou politiku, která bude odrážet růst produktivity práce </w:t>
      </w:r>
      <w:r>
        <w:t>a vývoj v konkurenčních zemích.</w:t>
      </w:r>
      <w:r w:rsidRPr="00B7218F">
        <w:rPr>
          <w:szCs w:val="24"/>
        </w:rPr>
        <w:t xml:space="preserve"> </w:t>
      </w:r>
      <w:r>
        <w:rPr>
          <w:szCs w:val="24"/>
        </w:rPr>
        <w:t xml:space="preserve">Další skupinou jsou měnová kritéria, která jsou tvořena deficitem veřejných financí a veřejným zadlužením. Tato dvě kritéria lze zahrnout pod názvem „kritérium udržitelnosti veřejných financí“. Vládní deficit byl na konci roku 2005 ve </w:t>
      </w:r>
      <w:proofErr w:type="gramStart"/>
      <w:r>
        <w:rPr>
          <w:szCs w:val="24"/>
        </w:rPr>
        <w:t>výši  1,9</w:t>
      </w:r>
      <w:proofErr w:type="gramEnd"/>
      <w:r>
        <w:rPr>
          <w:szCs w:val="24"/>
        </w:rPr>
        <w:t xml:space="preserve"> %          a hodnota veřejného zadlužení byla ve výši 30,1 %. </w:t>
      </w:r>
      <w:r w:rsidRPr="00B7218F">
        <w:t>Slovins</w:t>
      </w:r>
      <w:r>
        <w:t>ké vládě</w:t>
      </w:r>
      <w:r w:rsidRPr="00B7218F">
        <w:t xml:space="preserve"> bylo doporučeno</w:t>
      </w:r>
      <w:r>
        <w:t xml:space="preserve">, aby </w:t>
      </w:r>
      <w:r w:rsidRPr="00B7218F">
        <w:t xml:space="preserve">pokračovala ve fiskální konsolidaci, tak aby splnilo střednědobý cíl, který je </w:t>
      </w:r>
      <w:r>
        <w:t>v Konvergenčním</w:t>
      </w:r>
      <w:r w:rsidRPr="00B7218F">
        <w:t xml:space="preserve"> programu Slovinska stanoven jako schodek ve výši 1 % HDP. </w:t>
      </w:r>
      <w:r>
        <w:t xml:space="preserve"> Charakterizování konvergenčních zpráv završilo teoretickou část této diplomové práce, která měla za cíl charakterizovat základní všeobecné údaje o zavádění eura a následné analyzování skutečného průběhu přijímaní eura v zemi. </w:t>
      </w:r>
    </w:p>
    <w:p w:rsidR="00FD7B45" w:rsidRDefault="00FD7B45" w:rsidP="00BF1E38"/>
    <w:p w:rsidR="00FD7B45" w:rsidRDefault="00FD7B45" w:rsidP="00BF1E38">
      <w:r>
        <w:t xml:space="preserve">Praktická část této práce (viz kapitola č. 3) měla za cíl analyzovat ekonomický vývoj Slovinska před a po zavedené jednotné měny euro. Ukazatelem, jenž byl pro analyzování vybrán jako jeden z vrcholů magického čtyřúhelníka, je hrubý domácí produkt (dále HDP). O vývoji HDP lze říci, že se ve sledovaném období (2005 – 2009) vyvíjel slibně. Po většinu sledovaného časového období měl rostoucí trend. V roce 2008 se HDP vyvíjel nižším tempem růstu než v předešlých letech.  Tento pokles tempa růstu se v roce 2009 projevil v celkovém poklesu. </w:t>
      </w:r>
      <w:r w:rsidRPr="00B7218F">
        <w:t xml:space="preserve">Pro využití této práce se </w:t>
      </w:r>
      <w:r>
        <w:t>abstrahovalo</w:t>
      </w:r>
      <w:r w:rsidRPr="00B7218F">
        <w:t xml:space="preserve"> od platební bilance, </w:t>
      </w:r>
      <w:r>
        <w:t>byly zde</w:t>
      </w:r>
      <w:r w:rsidRPr="00B7218F">
        <w:t xml:space="preserve"> zkoumá</w:t>
      </w:r>
      <w:r>
        <w:t xml:space="preserve">ny </w:t>
      </w:r>
      <w:r w:rsidRPr="00B7218F">
        <w:t>pouze domácí složky ekonomiky</w:t>
      </w:r>
      <w:r>
        <w:t>. V této práci se pracovalo pouze z reálných hodnot. Tedy jak celkový HDP, tak i jeho složky byl očištěny o vliv Indexu spotřebitelských cen (CPI).</w:t>
      </w:r>
      <w:r w:rsidRPr="002B7F08">
        <w:t xml:space="preserve"> </w:t>
      </w:r>
      <w:r>
        <w:t xml:space="preserve">HDP je tvořeno spotřebou domácností (C), </w:t>
      </w:r>
      <w:proofErr w:type="gramStart"/>
      <w:r>
        <w:t>investicemi (I)        a vládními</w:t>
      </w:r>
      <w:proofErr w:type="gramEnd"/>
      <w:r>
        <w:t xml:space="preserve"> výdaji (G). </w:t>
      </w:r>
      <w:r w:rsidRPr="00B7218F">
        <w:t xml:space="preserve">Pro využití této práce se </w:t>
      </w:r>
      <w:r>
        <w:t>abstrahovalo</w:t>
      </w:r>
      <w:r w:rsidRPr="00B7218F">
        <w:t xml:space="preserve"> od platební bilance, </w:t>
      </w:r>
      <w:r>
        <w:t>byly zde</w:t>
      </w:r>
      <w:r w:rsidRPr="00B7218F">
        <w:t xml:space="preserve"> zkoumá</w:t>
      </w:r>
      <w:r>
        <w:t xml:space="preserve">ny </w:t>
      </w:r>
      <w:r w:rsidRPr="00B7218F">
        <w:t>pouze domácí složky ekonomiky</w:t>
      </w:r>
      <w:r>
        <w:t>.</w:t>
      </w:r>
    </w:p>
    <w:p w:rsidR="00FD7B45" w:rsidRDefault="00FD7B45" w:rsidP="00BF1E38"/>
    <w:p w:rsidR="00FD7B45" w:rsidRPr="00B7218F" w:rsidRDefault="00FD7B45" w:rsidP="00BF1E38">
      <w:r>
        <w:t xml:space="preserve">Jak již bylo zmíněno, tak celkový HDP se vyvíjel v daném období relativně pozitivně. V letech 2005 – 2007 byly zaznamenány kladné růstové meziroční přírůstky. Na konci roku 2008 byl již zjištěn růst nižším tempem proti roku 2007. V roce 2009 byl zaznamenán pokles ve výši 0,64 %. Za oba tyto výkyvy mohou investice. Ve výchozím roce pro </w:t>
      </w:r>
      <w:r>
        <w:lastRenderedPageBreak/>
        <w:t xml:space="preserve">sledování vývoje byl zaznamenán meziroční procentuální růst HDP ve výši 8,80 %. Výraznější růst byl prokázán u investic, které vzrostly o 14,78%. Spotřeba se zde </w:t>
      </w:r>
      <w:proofErr w:type="gramStart"/>
      <w:r>
        <w:t>zvýšila     o 5,23</w:t>
      </w:r>
      <w:proofErr w:type="gramEnd"/>
      <w:r>
        <w:t xml:space="preserve"> % a vládní výdaje o 6,83 %. O daném vývoji lze říci, že se všechny složky </w:t>
      </w:r>
      <w:proofErr w:type="gramStart"/>
      <w:r>
        <w:t>HDP        i samotný</w:t>
      </w:r>
      <w:proofErr w:type="gramEnd"/>
      <w:r>
        <w:t xml:space="preserve"> HDP vyvíjely souměrně. Nebyly zde žádné výrazné výkyvy. Míra nezaměstnanosti v tomto roce klesla o 1,6 % na 8,6 %. V roce 2007, kdy bylo zavedeno euro, dosáhl HDP nejvyššího přírůstku 10,15 %. V roce 2007 byl nejvyšší nárůst u investic 20,64% a u spotřeby 9,90 %.</w:t>
      </w:r>
      <w:r w:rsidRPr="00D45786">
        <w:t xml:space="preserve"> </w:t>
      </w:r>
      <w:r>
        <w:t xml:space="preserve">V roce 2007 měli investoři kladný vztah a důvěru ke vkládání svých peněžních prostředků do slovinské ekonomiky. Velmi pravděpodobně za daný stav mohlo přijetí eura, jelikož díky tomu došlo ke snížení transakčních nákladů spojených s výměnou měny. Na pozitivní růst investice vláda reagovala zvýšením vládních výdajů o pouhých 1,74 %. V předešlém roce byl růst vládních výdajů ve výši 6,83 %. Z celkových vládních výdajů vzrostly transfery o 3,52 %. Na tento stav reagovala míra nezaměstnanosti, která klesla o 1,3 % na 7,3 %. V roce 2009 došlo k celkovému poklesu HDP, který byl zapříčiněn postupující celosvětovou hospodářskou krizí. Na samotném výsledku HDP se nejvíce podílel pokles investic o -28,37 %. V roce 2009 došlo ke snížení investic díky obavám investorů, kteří raději své prostředky vložili do pro ně v té chvíli bezpečnějších oblastí, či neinvestovaly vůbec. Na takové razantní snížení investic vláda musela reagovat zvýšením svých vládních výdajů, zejména v oblasti transferů. Celkové vládní výdaje vzrostly 11,11 %, samotné transfery o 12, 9 %. Co se týká spotřeby, tak ta zaznamenala růst ve výši 3,94 %. Míra nezaměstnanosti vzrostla o 3,3 % na celkových 10,3 %. </w:t>
      </w:r>
    </w:p>
    <w:p w:rsidR="00FD7B45" w:rsidRDefault="00FD7B45" w:rsidP="00BF1E38"/>
    <w:p w:rsidR="00FD7B45" w:rsidRPr="00B7218F" w:rsidRDefault="00FD7B45" w:rsidP="00BF1E38">
      <w:r>
        <w:t xml:space="preserve">Před analyzováním vývoje jednotlivých složek, které tvoří celkové HDP, byla u všech těchto složek provedena korelační analýza. Korelační analýza měla potvrdit či vyvrátit předpoklad, že vývoj HDP je závislý na vývoji složek, které ho tvoří. Výsledkem korelační analýzy bylo potvrzení daného tvrzení. Nejsilnější závislost ve výši 97,51 % byla prokázána u spotřeby domácností. Druhá nejsilnější závislost 84,71 % byla u vládních výdajů. Nejnižší ale i tak silná závislost byla u investic 60,19 %. </w:t>
      </w:r>
    </w:p>
    <w:p w:rsidR="00FD7B45" w:rsidRDefault="00FD7B45" w:rsidP="00BF1E38">
      <w:pPr>
        <w:rPr>
          <w:szCs w:val="24"/>
        </w:rPr>
      </w:pPr>
    </w:p>
    <w:p w:rsidR="00FD7B45" w:rsidRDefault="00FD7B45" w:rsidP="00BF1E38">
      <w:pPr>
        <w:rPr>
          <w:szCs w:val="24"/>
        </w:rPr>
      </w:pPr>
      <w:r>
        <w:rPr>
          <w:szCs w:val="24"/>
        </w:rPr>
        <w:t xml:space="preserve">Nejsilnější závislost byla prokázaná na základě korelační analýzy u spotřeby domácností. U spotřeby domácností byla provedena korelační analýza na transfery a mzdy či platy.       U obou faktorů byla prokázaná silná závislost. U mezd či platů byla </w:t>
      </w:r>
      <w:proofErr w:type="gramStart"/>
      <w:r>
        <w:rPr>
          <w:szCs w:val="24"/>
        </w:rPr>
        <w:t>závislost  99,83</w:t>
      </w:r>
      <w:proofErr w:type="gramEnd"/>
      <w:r>
        <w:rPr>
          <w:szCs w:val="24"/>
        </w:rPr>
        <w:t xml:space="preserve"> %      </w:t>
      </w:r>
      <w:r>
        <w:rPr>
          <w:szCs w:val="24"/>
        </w:rPr>
        <w:lastRenderedPageBreak/>
        <w:t xml:space="preserve">a u transferu 93,81 %. Jinými slovy vývoj spotřeby velmi závisí na vývoji mezd či platů a na vývoji transferů. Jak HDP, tak i spotřeba byla sledována v časovém </w:t>
      </w:r>
      <w:proofErr w:type="gramStart"/>
      <w:r>
        <w:rPr>
          <w:szCs w:val="24"/>
        </w:rPr>
        <w:t>období               2005</w:t>
      </w:r>
      <w:proofErr w:type="gramEnd"/>
      <w:r>
        <w:rPr>
          <w:szCs w:val="24"/>
        </w:rPr>
        <w:t xml:space="preserve"> – 2009. Tedy dva roky před a dva roky po zavedení eura. </w:t>
      </w:r>
    </w:p>
    <w:p w:rsidR="00FD7B45" w:rsidRDefault="00FD7B45" w:rsidP="00BF1E38">
      <w:pPr>
        <w:rPr>
          <w:szCs w:val="24"/>
        </w:rPr>
      </w:pPr>
    </w:p>
    <w:p w:rsidR="00FD7B45" w:rsidRDefault="00FD7B45" w:rsidP="00BF1E38">
      <w:pPr>
        <w:rPr>
          <w:lang w:eastAsia="cs-CZ"/>
        </w:rPr>
      </w:pPr>
      <w:r>
        <w:rPr>
          <w:szCs w:val="24"/>
        </w:rPr>
        <w:t xml:space="preserve">V prvním sledovaném období (2006/2005) </w:t>
      </w:r>
      <w:r>
        <w:rPr>
          <w:lang w:eastAsia="cs-CZ"/>
        </w:rPr>
        <w:t xml:space="preserve">lze říci, že většina složek celkové reálné spotřeby zaznamenala meziroční růst. Jednalo se především o oblasti typu vzdělání, restaurace a hotely a ostatní zboží a služby. Nižší tempo růstu bylo konstatováno u oblasti bydlení, voda, elektřina, plyn a jiná paliva. Meziroční pokles byl zjištěn u oblasti </w:t>
      </w:r>
      <w:proofErr w:type="gramStart"/>
      <w:r>
        <w:rPr>
          <w:lang w:eastAsia="cs-CZ"/>
        </w:rPr>
        <w:t>odívání    a obuvi</w:t>
      </w:r>
      <w:proofErr w:type="gramEnd"/>
      <w:r>
        <w:rPr>
          <w:lang w:eastAsia="cs-CZ"/>
        </w:rPr>
        <w:t xml:space="preserve">. Celková spotřeba tak zaznamenala růst ve výši 5,23 %. </w:t>
      </w:r>
    </w:p>
    <w:p w:rsidR="00FD7B45" w:rsidRDefault="00FD7B45" w:rsidP="00BF1E38">
      <w:pPr>
        <w:rPr>
          <w:lang w:eastAsia="cs-CZ"/>
        </w:rPr>
      </w:pPr>
    </w:p>
    <w:p w:rsidR="00FD7B45" w:rsidRDefault="00FD7B45" w:rsidP="00BF1E38">
      <w:pPr>
        <w:rPr>
          <w:lang w:eastAsia="cs-CZ"/>
        </w:rPr>
      </w:pPr>
      <w:r>
        <w:rPr>
          <w:lang w:eastAsia="cs-CZ"/>
        </w:rPr>
        <w:t xml:space="preserve">V následujícím období (2007/2006) celková reálná spotřeba zaznamenala růst ve výši 9,90 %. Na tomto výsledku se nejvíce podílely složky jako vzdělání, restaurace, </w:t>
      </w:r>
      <w:proofErr w:type="gramStart"/>
      <w:r>
        <w:rPr>
          <w:lang w:eastAsia="cs-CZ"/>
        </w:rPr>
        <w:t>hotely      a v neposlední</w:t>
      </w:r>
      <w:proofErr w:type="gramEnd"/>
      <w:r>
        <w:rPr>
          <w:lang w:eastAsia="cs-CZ"/>
        </w:rPr>
        <w:t xml:space="preserve"> řadě také ostatní zboží a služby. V tomto období byl zjištěn pokles </w:t>
      </w:r>
      <w:proofErr w:type="gramStart"/>
      <w:r>
        <w:rPr>
          <w:lang w:eastAsia="cs-CZ"/>
        </w:rPr>
        <w:t>pouze     u složky</w:t>
      </w:r>
      <w:proofErr w:type="gramEnd"/>
      <w:r>
        <w:rPr>
          <w:lang w:eastAsia="cs-CZ"/>
        </w:rPr>
        <w:t xml:space="preserve"> komunikace. Zbylé složky celkové spotřeby zaznamenaly průměrný nárůst. Na začátku roku 2007 ve Slovinsku zavedly společnou jednotnou měnu euro. Tato událost měla kladný vliv na vývoj spotřeby v daném období. </w:t>
      </w:r>
    </w:p>
    <w:p w:rsidR="00FD7B45" w:rsidRDefault="00FD7B45" w:rsidP="00BF1E38">
      <w:pPr>
        <w:rPr>
          <w:lang w:eastAsia="cs-CZ"/>
        </w:rPr>
      </w:pPr>
    </w:p>
    <w:p w:rsidR="00FD7B45" w:rsidRDefault="00FD7B45" w:rsidP="00BF1E38">
      <w:pPr>
        <w:rPr>
          <w:lang w:eastAsia="cs-CZ"/>
        </w:rPr>
      </w:pPr>
      <w:r>
        <w:rPr>
          <w:lang w:eastAsia="cs-CZ"/>
        </w:rPr>
        <w:t xml:space="preserve">V předposledním období (2008/2007) spotřeba taktéž zaznamenala růst, ale nižším tempem 6,31 %. Výraznějšího růstu bylo dosaženo u oblastí odívání a obuvi a u vody, elektřiny, plynu a jiných paliv. Nebyl zde zjištěn žádný pokles, ale pouze přírůstky nižším tempem. </w:t>
      </w:r>
    </w:p>
    <w:p w:rsidR="00FD7B45" w:rsidRDefault="00FD7B45" w:rsidP="00BF1E38">
      <w:pPr>
        <w:rPr>
          <w:lang w:eastAsia="cs-CZ"/>
        </w:rPr>
      </w:pPr>
    </w:p>
    <w:p w:rsidR="00FD7B45" w:rsidRDefault="00FD7B45" w:rsidP="00BF1E38">
      <w:pPr>
        <w:rPr>
          <w:lang w:eastAsia="cs-CZ"/>
        </w:rPr>
      </w:pPr>
      <w:r>
        <w:rPr>
          <w:lang w:eastAsia="cs-CZ"/>
        </w:rPr>
        <w:t xml:space="preserve">V období 2009/2008 spotřeba vzrostla pouze o 3,94 %. Výraznější přírůstky byly </w:t>
      </w:r>
      <w:proofErr w:type="gramStart"/>
      <w:r>
        <w:rPr>
          <w:lang w:eastAsia="cs-CZ"/>
        </w:rPr>
        <w:t>pouze     u alkoholických</w:t>
      </w:r>
      <w:proofErr w:type="gramEnd"/>
      <w:r w:rsidRPr="005252B1">
        <w:rPr>
          <w:lang w:eastAsia="cs-CZ"/>
        </w:rPr>
        <w:t xml:space="preserve"> nápo</w:t>
      </w:r>
      <w:r>
        <w:rPr>
          <w:lang w:eastAsia="cs-CZ"/>
        </w:rPr>
        <w:t>jů</w:t>
      </w:r>
      <w:r w:rsidRPr="005252B1">
        <w:rPr>
          <w:lang w:eastAsia="cs-CZ"/>
        </w:rPr>
        <w:t>, tabák</w:t>
      </w:r>
      <w:r>
        <w:rPr>
          <w:lang w:eastAsia="cs-CZ"/>
        </w:rPr>
        <w:t xml:space="preserve">u a narkotik, zdraví a vzdělání. Poklesy byly </w:t>
      </w:r>
      <w:proofErr w:type="gramStart"/>
      <w:r>
        <w:rPr>
          <w:lang w:eastAsia="cs-CZ"/>
        </w:rPr>
        <w:t>zjištěny             u dopravy</w:t>
      </w:r>
      <w:proofErr w:type="gramEnd"/>
      <w:r>
        <w:rPr>
          <w:lang w:eastAsia="cs-CZ"/>
        </w:rPr>
        <w:t xml:space="preserve">, rekreací a kultury a u ostatního zboží a služeb. Zbylé složky zaznamenaly růst nižším tempem. Z posledních dvou období lze odvodit, že se ekonomická situace začala zhoršovat v důsledku celosvětové hospodářské krize. </w:t>
      </w:r>
    </w:p>
    <w:p w:rsidR="00FD7B45" w:rsidRDefault="00FD7B45" w:rsidP="00BF1E38">
      <w:pPr>
        <w:rPr>
          <w:lang w:eastAsia="cs-CZ"/>
        </w:rPr>
      </w:pPr>
    </w:p>
    <w:p w:rsidR="00FD7B45" w:rsidRDefault="00FD7B45" w:rsidP="00BF1E38">
      <w:r>
        <w:rPr>
          <w:lang w:eastAsia="cs-CZ"/>
        </w:rPr>
        <w:t xml:space="preserve">Druhou nejvíce závislou složkou byly vládní výdaje. Vládní výdaje lze rozdělit na individuální a kolektivní výdaje. </w:t>
      </w:r>
      <w:r>
        <w:t xml:space="preserve">V prvním sledovaném období celkové vládní výdaje zaznamenaly růst ve výši 6,83 %. Na tomto růstu se nejvíce podílel růst čistého provozního přebytku (20,51 %). V tomto období byl zaznamenán pokles pouze u ostatních daní </w:t>
      </w:r>
      <w:r>
        <w:lastRenderedPageBreak/>
        <w:t xml:space="preserve">z výroby. Ostatní kolektivní a individuální výdaje zaznamenaly růst. V následujícím roce 2007, kdy bylo zavedeno euro, byly zjištěny tyto údaje. Celkové vládní výdaje meziročně vzrostly o 1,74 %. Individuální výdaje zaznamenaly růst, zatímco kolektivní pokles.         V rámci individuálních výdajů byl zaznamenán výrazný růst u čistého provozního přebytku. Pokles byl zjištěn u ostatních daní z výroby. U kolektivních výdajů většina složek zaznamenala růst nižším tempem. Jedinou složkou, u které byl pokles, byla </w:t>
      </w:r>
      <w:proofErr w:type="spellStart"/>
      <w:r>
        <w:t>mezispotřeba</w:t>
      </w:r>
      <w:proofErr w:type="spellEnd"/>
      <w:r>
        <w:t xml:space="preserve">. Na konci období 2008/2007 se meziroční růst vládních výdajů </w:t>
      </w:r>
      <w:proofErr w:type="gramStart"/>
      <w:r>
        <w:t>zvýšil            o 10,59</w:t>
      </w:r>
      <w:proofErr w:type="gramEnd"/>
      <w:r>
        <w:t xml:space="preserve"> %. Poklesy byly zjištěny u čistého provozního přebytku a u ostatních daní z výroby. Ostatní složky zaznamenaly růst rychlejším tempem než v předchozím období. Nejvíce to bylo patrné u náhrad zaměstnancům, spotřeby fixního kapitálu a </w:t>
      </w:r>
      <w:proofErr w:type="spellStart"/>
      <w:r>
        <w:t>mezispotřeby</w:t>
      </w:r>
      <w:proofErr w:type="spellEnd"/>
      <w:r>
        <w:t xml:space="preserve">. V posledním období vládní výdaje vzrostly o 11,11 %. Nejvyšší nárůst byl u čistého provozního přebytku. Pokles byl zjištěn tak jako v předchozích obdobích u ostatních daní z výroby. </w:t>
      </w:r>
    </w:p>
    <w:p w:rsidR="00FD7B45" w:rsidRDefault="00FD7B45" w:rsidP="00BF1E38"/>
    <w:p w:rsidR="00FD7B45" w:rsidRDefault="00FD7B45" w:rsidP="00BF1E38">
      <w:r>
        <w:t xml:space="preserve">Poslední složkou celkového HDP jsou investice. U investic byla prokázána nejslabší závislost. Celkové investice byly rozděleny na tvorbu fixního kapitálu, cennosti a změnu stavu zásob. Meziroční vývoj v období 2006/2005 lze hodnotit jako pozitivní. Celkové investic vzrostly o 14,78 %. Výrazný nárůst byl v oblasti změny stavu zásob a </w:t>
      </w:r>
      <w:proofErr w:type="gramStart"/>
      <w:r>
        <w:t>také             u cenností</w:t>
      </w:r>
      <w:proofErr w:type="gramEnd"/>
      <w:r>
        <w:t xml:space="preserve">. Pokles v tomto období nebyl zjištěn. V následném období (2007/2006) investice zaznamenaly další výrazný růst 20,64 %. I zde byl zjištěn nárůst u cenností a u změny stavu zásob. Menší růst byl také u tvorby hrubého fixního kapitálu.  Na konci roku 2008 celkové investice vzrostly pouze o 6,63 %. Jediný růst byl u tvorby hrubého fixního kapitálu. Ostatní složky zaznamenaly výrazný pokles. Tato situace se ještě více prohloubila na konci roku 2009, kde celkové investice prodělaly pokles ve výši -28,37 %. Tento pokles se projevil ve všech složkách celkových investic. Nejvíce však u změny stavu </w:t>
      </w:r>
      <w:proofErr w:type="gramStart"/>
      <w:r>
        <w:t>zásob           a u cenností</w:t>
      </w:r>
      <w:proofErr w:type="gramEnd"/>
      <w:r>
        <w:t xml:space="preserve">. </w:t>
      </w:r>
    </w:p>
    <w:p w:rsidR="00FD7B45" w:rsidRDefault="00FD7B45" w:rsidP="00BF1E38"/>
    <w:p w:rsidR="00FD7B45" w:rsidRDefault="00FD7B45" w:rsidP="00BF1E38">
      <w:r>
        <w:t xml:space="preserve">Po analyzování jednotlivých komponent v jednotlivých obdobích lze vyvodit následující závěry. O prvním období lze říci, že jak celkové HDP tak i jeho jednotlivé složky se vyvíjely stejným tempem růstu. Nebyly zde zaznamenány žádné výrazné výkyvy. Ekonomika prosperovala i bez zásahu státu v rámci vládních výdajů, kterých nemuselo být vynaloženo velké množství. Stabilita ekonomiky se manifestovala snížením míry </w:t>
      </w:r>
      <w:r>
        <w:lastRenderedPageBreak/>
        <w:t xml:space="preserve">nezaměstnanosti. V následujícím období byla situace odlišná. Spotřeba se nějak zvlášť nevychýlila, ale investice a vládní výdaje ano. U investic byl výrazný růst, kdežto vládní výdaje vzrostly velmi nízkým tempem růstu. Díky výraznému růstu investic vláda nemusela vynakládat výrazné množství finančních prostředků. Za výrazným nárůstem investic stálo zavedení eura, které snížilo transakční náklady spojené s výměnou měny. Díky tomu investoři zvýšili svou důvěru ve vkládání svých prostředků na slovinském trhu. V tomto období se také snížila míra nezaměstnanosti. Domácí ekonomika zažívala prosperující období. Tato situace se v následujících období (2008/2007) začala zhoršovat. Celkový reálný HDP zaznamenal růst nižším tempem. Nejvíce se na tom podílel nízký růst investic a spotřeby. Nízký růst spotřeby musela vláda vykompenzovat zvýšením vládních výdajů a to zejména v oblasti transferových plateb. Za nízký růst investic mohla ztrácející se důvěra investorů ve slovinský trh. Také míra nezaměstnanosti zaznamenala nižší pokles než v předchozím období. Hlavní příčinou tohoto vývoje byla počínající celosvětová hospodářská krize, která se výrazně projevila v roce 2009. </w:t>
      </w:r>
    </w:p>
    <w:p w:rsidR="00FD7B45" w:rsidRDefault="00FD7B45" w:rsidP="00BF1E38">
      <w:pPr>
        <w:rPr>
          <w:szCs w:val="24"/>
        </w:rPr>
      </w:pPr>
    </w:p>
    <w:p w:rsidR="00FD7B45" w:rsidRDefault="00FD7B45" w:rsidP="00BF1E38">
      <w:pPr>
        <w:rPr>
          <w:szCs w:val="24"/>
        </w:rPr>
      </w:pPr>
      <w:r>
        <w:rPr>
          <w:szCs w:val="24"/>
        </w:rPr>
        <w:t>Rok 2009 byl ovlivněn celosvětovou hospodářskou krizí, která začala ve Spojených státech amerických a postupně ovlivnila dění v celém světě. Ve Slovinsku se to projevilo na poklesu HDP. Nejvíce se to odrazilo na investicích, které jako jediné ze složek tvořící hrubý domácí produkt zaznamenaly pokles. Investoři stáhli z trhu své prostředky a jejich důvěra oslabila. U spotřeby se tato situace projevila velmi nízkým nárůstem. Odliv investic musel být nahrazen přílivem vládních výdajů. Celková situace se také projevila v růstu míry nezaměstnanosti. Firmy</w:t>
      </w:r>
      <w:r w:rsidRPr="0041699D">
        <w:rPr>
          <w:szCs w:val="24"/>
        </w:rPr>
        <w:t xml:space="preserve"> </w:t>
      </w:r>
      <w:r>
        <w:rPr>
          <w:szCs w:val="24"/>
        </w:rPr>
        <w:t>musely v důsledku krize a slábnoucí agregátní poptávky omezit svou produkci a snížit stavy pracovních sil.</w:t>
      </w:r>
    </w:p>
    <w:p w:rsidR="00FD7B45" w:rsidRDefault="00FD7B45" w:rsidP="00BF1E38">
      <w:pPr>
        <w:rPr>
          <w:szCs w:val="24"/>
        </w:rPr>
      </w:pPr>
    </w:p>
    <w:p w:rsidR="00FD7B45" w:rsidRDefault="00FD7B45" w:rsidP="00BF1E38">
      <w:pPr>
        <w:rPr>
          <w:szCs w:val="24"/>
        </w:rPr>
      </w:pPr>
      <w:r>
        <w:rPr>
          <w:szCs w:val="24"/>
        </w:rPr>
        <w:t>Cílem této práce bylo verifikovat hypotézu, zda zavedení eura mělo statisticky významný vliv na vývoj slovinské ekonomiky. K potvrzení či vyvrácení této domněnky byly v praktické části aplikovány nástroje korelační a srovnávací analýzy. Na základě jejich výsledku lze říci, že zavedení eura mělo signifikantní vliv na ekonomiku v prvním roce po zavedení společné měny. V následujících sledovaných letech (2008, 2009) nelze v důsledku postupující hospodářské krize s jistotou hypotézu potvrdit či vyvrátit.</w:t>
      </w:r>
    </w:p>
    <w:p w:rsidR="00FD7B45" w:rsidRDefault="00FD7B45" w:rsidP="00BF1E38">
      <w:pPr>
        <w:pStyle w:val="Nadpis1"/>
        <w:rPr>
          <w:caps/>
        </w:rPr>
      </w:pPr>
    </w:p>
    <w:p w:rsidR="00FD7B45" w:rsidRDefault="00FD7B45" w:rsidP="00BF1E38"/>
    <w:p w:rsidR="00FD7B45" w:rsidRPr="00877BB6" w:rsidRDefault="00FD7B45" w:rsidP="00BF1E38"/>
    <w:p w:rsidR="00FD7B45" w:rsidRDefault="00FD7B45" w:rsidP="00BF1E38">
      <w:pPr>
        <w:spacing w:after="200" w:line="276" w:lineRule="auto"/>
        <w:jc w:val="left"/>
        <w:rPr>
          <w:b/>
          <w:bCs/>
          <w:caps/>
          <w:sz w:val="40"/>
          <w:szCs w:val="28"/>
        </w:rPr>
      </w:pPr>
      <w:r>
        <w:rPr>
          <w:caps/>
        </w:rPr>
        <w:br w:type="page"/>
      </w:r>
    </w:p>
    <w:p w:rsidR="00FD7B45" w:rsidRPr="00B7218F" w:rsidRDefault="00FD7B45" w:rsidP="00BF1E38">
      <w:pPr>
        <w:pStyle w:val="Nadpis1"/>
        <w:rPr>
          <w:caps/>
        </w:rPr>
      </w:pPr>
      <w:bookmarkStart w:id="118" w:name="_Toc281759189"/>
      <w:bookmarkStart w:id="119" w:name="_Toc282027390"/>
      <w:r w:rsidRPr="00B7218F">
        <w:rPr>
          <w:caps/>
        </w:rPr>
        <w:t>Seznam použité literatury</w:t>
      </w:r>
      <w:bookmarkEnd w:id="118"/>
      <w:bookmarkEnd w:id="119"/>
      <w:r w:rsidRPr="00B7218F">
        <w:rPr>
          <w:caps/>
        </w:rPr>
        <w:t xml:space="preserve"> </w:t>
      </w:r>
    </w:p>
    <w:p w:rsidR="00FD7B45" w:rsidRPr="000E7167" w:rsidRDefault="00FD7B45" w:rsidP="00BF1E38">
      <w:pPr>
        <w:pStyle w:val="externalclass9015b86d913f4aeeb124c00a12335c81"/>
        <w:numPr>
          <w:ilvl w:val="0"/>
          <w:numId w:val="0"/>
        </w:numPr>
        <w:ind w:left="453"/>
        <w:rPr>
          <w:b/>
        </w:rPr>
      </w:pPr>
      <w:r w:rsidRPr="000E7167">
        <w:rPr>
          <w:b/>
        </w:rPr>
        <w:t>Odborná literatura</w:t>
      </w:r>
    </w:p>
    <w:p w:rsidR="00FD7B45" w:rsidRDefault="00FD7B45" w:rsidP="00BF1E38">
      <w:pPr>
        <w:pStyle w:val="externalclass9015b86d913f4aeeb124c00a12335c81"/>
      </w:pPr>
      <w:r w:rsidRPr="000C48C6">
        <w:t xml:space="preserve">JÍLEK, J. </w:t>
      </w:r>
      <w:r w:rsidRPr="000C48C6">
        <w:rPr>
          <w:i/>
        </w:rPr>
        <w:t>Peníze a měnová politika</w:t>
      </w:r>
      <w:r w:rsidRPr="000C48C6">
        <w:t xml:space="preserve">.: </w:t>
      </w:r>
      <w:proofErr w:type="spellStart"/>
      <w:r>
        <w:t>Vyd</w:t>
      </w:r>
      <w:proofErr w:type="spellEnd"/>
      <w:r>
        <w:t xml:space="preserve"> 1. Praha: </w:t>
      </w:r>
      <w:proofErr w:type="spellStart"/>
      <w:r w:rsidRPr="000C48C6">
        <w:t>Grada</w:t>
      </w:r>
      <w:proofErr w:type="spellEnd"/>
      <w:r w:rsidRPr="000C48C6">
        <w:t xml:space="preserve">, 2004. </w:t>
      </w:r>
      <w:r>
        <w:t xml:space="preserve">742 s. </w:t>
      </w:r>
      <w:proofErr w:type="spellStart"/>
      <w:r>
        <w:t>ISBN</w:t>
      </w:r>
      <w:proofErr w:type="spellEnd"/>
      <w:r>
        <w:t xml:space="preserve"> </w:t>
      </w:r>
      <w:proofErr w:type="gramStart"/>
      <w:r>
        <w:t>80-247</w:t>
      </w:r>
      <w:proofErr w:type="gramEnd"/>
      <w:r>
        <w:t>-0769-1.</w:t>
      </w:r>
    </w:p>
    <w:p w:rsidR="00FD7B45" w:rsidRDefault="00FD7B45" w:rsidP="00BF1E38">
      <w:pPr>
        <w:pStyle w:val="externalclass9015b86d913f4aeeb124c00a12335c81"/>
        <w:rPr>
          <w:rStyle w:val="Odkazjemn"/>
          <w:sz w:val="24"/>
        </w:rPr>
      </w:pPr>
      <w:proofErr w:type="gramStart"/>
      <w:r w:rsidRPr="0094295D">
        <w:rPr>
          <w:rStyle w:val="Odkazjemn"/>
          <w:sz w:val="24"/>
        </w:rPr>
        <w:t>LACINA,L.</w:t>
      </w:r>
      <w:proofErr w:type="gramEnd"/>
      <w:r w:rsidRPr="0094295D">
        <w:rPr>
          <w:rStyle w:val="Odkazjemn"/>
          <w:sz w:val="24"/>
        </w:rPr>
        <w:t xml:space="preserve"> </w:t>
      </w:r>
      <w:r w:rsidRPr="0094295D">
        <w:rPr>
          <w:rStyle w:val="Odkazjemn"/>
          <w:i/>
          <w:sz w:val="24"/>
        </w:rPr>
        <w:t>Měnová integrace: Náklady a přínosy členství v měnové unii</w:t>
      </w:r>
      <w:r w:rsidRPr="0094295D">
        <w:rPr>
          <w:rStyle w:val="Odkazjemn"/>
          <w:sz w:val="24"/>
        </w:rPr>
        <w:t xml:space="preserve">. </w:t>
      </w:r>
      <w:proofErr w:type="spellStart"/>
      <w:r w:rsidRPr="0094295D">
        <w:rPr>
          <w:rStyle w:val="Odkazjemn"/>
          <w:sz w:val="24"/>
        </w:rPr>
        <w:t>Vyd</w:t>
      </w:r>
      <w:proofErr w:type="spellEnd"/>
      <w:r w:rsidRPr="0094295D">
        <w:rPr>
          <w:rStyle w:val="Odkazjemn"/>
          <w:sz w:val="24"/>
        </w:rPr>
        <w:t xml:space="preserve"> 1. Praha: </w:t>
      </w:r>
      <w:proofErr w:type="gramStart"/>
      <w:r w:rsidRPr="0094295D">
        <w:rPr>
          <w:rStyle w:val="Odkazjemn"/>
          <w:sz w:val="24"/>
        </w:rPr>
        <w:t>C.H.</w:t>
      </w:r>
      <w:proofErr w:type="gramEnd"/>
      <w:r w:rsidRPr="0094295D">
        <w:rPr>
          <w:rStyle w:val="Odkazjemn"/>
          <w:sz w:val="24"/>
        </w:rPr>
        <w:t xml:space="preserve"> </w:t>
      </w:r>
      <w:proofErr w:type="spellStart"/>
      <w:r w:rsidRPr="0094295D">
        <w:rPr>
          <w:rStyle w:val="Odkazjemn"/>
          <w:sz w:val="24"/>
        </w:rPr>
        <w:t>Beck</w:t>
      </w:r>
      <w:proofErr w:type="spellEnd"/>
      <w:r w:rsidRPr="0094295D">
        <w:rPr>
          <w:rStyle w:val="Odkazjemn"/>
          <w:sz w:val="24"/>
        </w:rPr>
        <w:t xml:space="preserve"> 2007,538 s. </w:t>
      </w:r>
      <w:proofErr w:type="spellStart"/>
      <w:r w:rsidRPr="0094295D">
        <w:rPr>
          <w:rStyle w:val="Odkazjemn"/>
          <w:sz w:val="24"/>
        </w:rPr>
        <w:t>ISBN</w:t>
      </w:r>
      <w:proofErr w:type="spellEnd"/>
      <w:r w:rsidRPr="0094295D">
        <w:rPr>
          <w:rStyle w:val="Odkazjemn"/>
          <w:sz w:val="24"/>
        </w:rPr>
        <w:t xml:space="preserve"> </w:t>
      </w:r>
      <w:proofErr w:type="gramStart"/>
      <w:r w:rsidRPr="0094295D">
        <w:rPr>
          <w:rStyle w:val="Odkazjemn"/>
          <w:sz w:val="24"/>
        </w:rPr>
        <w:t>978-80</w:t>
      </w:r>
      <w:proofErr w:type="gramEnd"/>
      <w:r w:rsidRPr="0094295D">
        <w:rPr>
          <w:rStyle w:val="Odkazjemn"/>
          <w:sz w:val="24"/>
        </w:rPr>
        <w:t>-7179-560-5.</w:t>
      </w:r>
    </w:p>
    <w:p w:rsidR="00FD7B45" w:rsidRPr="003B308E" w:rsidRDefault="00FD7B45" w:rsidP="00BF1E38">
      <w:pPr>
        <w:pStyle w:val="externalclass9015b86d913f4aeeb124c00a12335c81"/>
        <w:rPr>
          <w:rStyle w:val="Odkazjemn"/>
          <w:sz w:val="24"/>
        </w:rPr>
      </w:pPr>
      <w:r w:rsidRPr="003B308E">
        <w:rPr>
          <w:rStyle w:val="Odkazjemn"/>
          <w:sz w:val="24"/>
        </w:rPr>
        <w:t xml:space="preserve">MACH, M.., Makroekonomie II., Slaný, </w:t>
      </w:r>
      <w:proofErr w:type="spellStart"/>
      <w:r w:rsidRPr="003B308E">
        <w:rPr>
          <w:rStyle w:val="Odkazjemn"/>
          <w:sz w:val="24"/>
        </w:rPr>
        <w:t>Melandrium</w:t>
      </w:r>
      <w:proofErr w:type="spellEnd"/>
      <w:r w:rsidRPr="003B308E">
        <w:rPr>
          <w:rStyle w:val="Odkazjemn"/>
          <w:sz w:val="24"/>
        </w:rPr>
        <w:t xml:space="preserve">, </w:t>
      </w:r>
      <w:proofErr w:type="spellStart"/>
      <w:r w:rsidRPr="003B308E">
        <w:rPr>
          <w:rStyle w:val="Odkazjemn"/>
          <w:sz w:val="24"/>
        </w:rPr>
        <w:t>Vyd</w:t>
      </w:r>
      <w:proofErr w:type="spellEnd"/>
      <w:r w:rsidRPr="003B308E">
        <w:rPr>
          <w:rStyle w:val="Odkazjemn"/>
          <w:sz w:val="24"/>
        </w:rPr>
        <w:t xml:space="preserve"> 3. 2001, </w:t>
      </w:r>
      <w:proofErr w:type="spellStart"/>
      <w:r w:rsidRPr="003B308E">
        <w:rPr>
          <w:rStyle w:val="Odkazjemn"/>
          <w:sz w:val="24"/>
        </w:rPr>
        <w:t>367s</w:t>
      </w:r>
      <w:proofErr w:type="spellEnd"/>
      <w:r w:rsidRPr="003B308E">
        <w:rPr>
          <w:rStyle w:val="Odkazjemn"/>
          <w:sz w:val="24"/>
        </w:rPr>
        <w:t xml:space="preserve">,            </w:t>
      </w:r>
      <w:proofErr w:type="spellStart"/>
      <w:r w:rsidRPr="003B308E">
        <w:rPr>
          <w:rStyle w:val="Odkazjemn"/>
          <w:sz w:val="24"/>
        </w:rPr>
        <w:t>ISBN</w:t>
      </w:r>
      <w:proofErr w:type="spellEnd"/>
      <w:r w:rsidRPr="003B308E">
        <w:rPr>
          <w:rStyle w:val="Odkazjemn"/>
          <w:sz w:val="24"/>
        </w:rPr>
        <w:t xml:space="preserve"> </w:t>
      </w:r>
      <w:proofErr w:type="gramStart"/>
      <w:r w:rsidRPr="003B308E">
        <w:rPr>
          <w:rStyle w:val="Odkazjemn"/>
          <w:sz w:val="24"/>
        </w:rPr>
        <w:t>80-86175</w:t>
      </w:r>
      <w:proofErr w:type="gramEnd"/>
      <w:r w:rsidRPr="003B308E">
        <w:rPr>
          <w:rStyle w:val="Odkazjemn"/>
          <w:sz w:val="24"/>
        </w:rPr>
        <w:t>-18-9</w:t>
      </w:r>
    </w:p>
    <w:p w:rsidR="00FD7B45" w:rsidRDefault="00FD7B45" w:rsidP="00BF1E38">
      <w:pPr>
        <w:pStyle w:val="externalclass9015b86d913f4aeeb124c00a12335c81"/>
      </w:pPr>
      <w:proofErr w:type="spellStart"/>
      <w:r w:rsidRPr="000C48C6">
        <w:t>NIEDERMAYER</w:t>
      </w:r>
      <w:proofErr w:type="spellEnd"/>
      <w:r w:rsidRPr="000C48C6">
        <w:t xml:space="preserve">, L. </w:t>
      </w:r>
      <w:r w:rsidRPr="0094295D">
        <w:rPr>
          <w:i/>
        </w:rPr>
        <w:t>Měnová politika a příchod eura:</w:t>
      </w:r>
      <w:r w:rsidRPr="000C48C6">
        <w:t xml:space="preserve"> </w:t>
      </w:r>
      <w:r w:rsidRPr="0094295D">
        <w:rPr>
          <w:i/>
        </w:rPr>
        <w:t>sborník textů ze seminářů č. 16/2002</w:t>
      </w:r>
      <w:r w:rsidRPr="000C48C6">
        <w:t xml:space="preserve">. </w:t>
      </w:r>
      <w:proofErr w:type="spellStart"/>
      <w:r w:rsidRPr="000C48C6">
        <w:t>Edited</w:t>
      </w:r>
      <w:proofErr w:type="spellEnd"/>
      <w:r w:rsidRPr="000C48C6">
        <w:t xml:space="preserve"> by Marek Loužek. </w:t>
      </w:r>
      <w:proofErr w:type="spellStart"/>
      <w:r w:rsidRPr="000C48C6">
        <w:t>Vyd</w:t>
      </w:r>
      <w:proofErr w:type="spellEnd"/>
      <w:r w:rsidRPr="000C48C6">
        <w:t xml:space="preserve">. 1. Praha: Centrum pro ekonomiku a politiku, 2002. 107 s. Ekonomika, právo, politika; č. 16/2002. </w:t>
      </w:r>
      <w:proofErr w:type="spellStart"/>
      <w:r w:rsidRPr="000C48C6">
        <w:t>ISBN</w:t>
      </w:r>
      <w:proofErr w:type="spellEnd"/>
      <w:r w:rsidRPr="000C48C6">
        <w:t xml:space="preserve"> </w:t>
      </w:r>
      <w:proofErr w:type="gramStart"/>
      <w:r w:rsidRPr="000C48C6">
        <w:t>80-86547</w:t>
      </w:r>
      <w:proofErr w:type="gramEnd"/>
      <w:r w:rsidRPr="000C48C6">
        <w:t>-08-6.</w:t>
      </w:r>
    </w:p>
    <w:p w:rsidR="00FD7B45" w:rsidRDefault="00FD7B45" w:rsidP="00BF1E38">
      <w:pPr>
        <w:pStyle w:val="externalclass9015b86d913f4aeeb124c00a12335c81"/>
      </w:pPr>
      <w:proofErr w:type="spellStart"/>
      <w:r w:rsidRPr="000C48C6">
        <w:t>TUČNÍK</w:t>
      </w:r>
      <w:proofErr w:type="spellEnd"/>
      <w:r w:rsidRPr="000C48C6">
        <w:t xml:space="preserve">, M. </w:t>
      </w:r>
      <w:proofErr w:type="spellStart"/>
      <w:r w:rsidRPr="00F2507D">
        <w:t>Implementácia</w:t>
      </w:r>
      <w:proofErr w:type="spellEnd"/>
      <w:r w:rsidRPr="00F2507D">
        <w:t xml:space="preserve">  eura v nových členských krajinách EU.</w:t>
      </w:r>
      <w:r>
        <w:t xml:space="preserve">: </w:t>
      </w:r>
      <w:proofErr w:type="spellStart"/>
      <w:proofErr w:type="gramStart"/>
      <w:r>
        <w:t>Vyd</w:t>
      </w:r>
      <w:proofErr w:type="spellEnd"/>
      <w:r>
        <w:t xml:space="preserve"> 1..</w:t>
      </w:r>
      <w:proofErr w:type="gramEnd"/>
      <w:r>
        <w:t xml:space="preserve"> Bratislava: </w:t>
      </w:r>
      <w:proofErr w:type="spellStart"/>
      <w:r>
        <w:t>Ekonóm</w:t>
      </w:r>
      <w:proofErr w:type="spellEnd"/>
      <w:r>
        <w:t xml:space="preserve">, 2007. </w:t>
      </w:r>
      <w:r w:rsidRPr="00F2507D">
        <w:t>158</w:t>
      </w:r>
      <w:r>
        <w:t xml:space="preserve"> s. </w:t>
      </w:r>
      <w:proofErr w:type="spellStart"/>
      <w:r>
        <w:t>ISBN</w:t>
      </w:r>
      <w:proofErr w:type="spellEnd"/>
      <w:r>
        <w:t xml:space="preserve"> </w:t>
      </w:r>
      <w:proofErr w:type="gramStart"/>
      <w:r w:rsidRPr="00F2507D">
        <w:t>978-80</w:t>
      </w:r>
      <w:proofErr w:type="gramEnd"/>
      <w:r w:rsidRPr="00F2507D">
        <w:t>-225-2438-4</w:t>
      </w:r>
      <w:r>
        <w:t>.</w:t>
      </w:r>
    </w:p>
    <w:p w:rsidR="00FD7B45" w:rsidRPr="000E7167" w:rsidRDefault="00FD7B45" w:rsidP="00BF1E38">
      <w:pPr>
        <w:pStyle w:val="externalclass9015b86d913f4aeeb124c00a12335c81"/>
        <w:numPr>
          <w:ilvl w:val="0"/>
          <w:numId w:val="0"/>
        </w:numPr>
        <w:ind w:left="453"/>
        <w:rPr>
          <w:b/>
        </w:rPr>
      </w:pPr>
      <w:r w:rsidRPr="000E7167">
        <w:rPr>
          <w:b/>
        </w:rPr>
        <w:t>Články z internetu</w:t>
      </w:r>
    </w:p>
    <w:p w:rsidR="00FD7B45" w:rsidRPr="00C2230D" w:rsidRDefault="00FD7B45" w:rsidP="00BF1E38">
      <w:pPr>
        <w:pStyle w:val="externalclass9015b86d913f4aeeb124c00a12335c81"/>
        <w:rPr>
          <w:rStyle w:val="Odkazjemn"/>
          <w:sz w:val="24"/>
        </w:rPr>
      </w:pPr>
      <w:proofErr w:type="spellStart"/>
      <w:r w:rsidRPr="00C2230D">
        <w:rPr>
          <w:rStyle w:val="Odkazjemn"/>
          <w:sz w:val="24"/>
        </w:rPr>
        <w:t>FELDSTEIN</w:t>
      </w:r>
      <w:proofErr w:type="spellEnd"/>
      <w:r w:rsidRPr="00C2230D">
        <w:rPr>
          <w:rStyle w:val="Odkazjemn"/>
          <w:sz w:val="24"/>
        </w:rPr>
        <w:t xml:space="preserve">, M. </w:t>
      </w:r>
      <w:r w:rsidRPr="00C2230D">
        <w:rPr>
          <w:rStyle w:val="Odkazjemn"/>
          <w:i/>
          <w:sz w:val="24"/>
        </w:rPr>
        <w:t>Argumenty proti evropské měnové unii.</w:t>
      </w:r>
      <w:r w:rsidRPr="00C2230D">
        <w:rPr>
          <w:rStyle w:val="Odkazjemn"/>
          <w:sz w:val="24"/>
        </w:rPr>
        <w:t xml:space="preserve">  </w:t>
      </w:r>
      <w:r w:rsidRPr="00C2230D">
        <w:rPr>
          <w:rStyle w:val="Odkazjemn"/>
          <w:sz w:val="24"/>
        </w:rPr>
        <w:sym w:font="Symbol" w:char="F05B"/>
      </w:r>
      <w:r w:rsidRPr="00C2230D">
        <w:rPr>
          <w:rStyle w:val="Odkazjemn"/>
          <w:sz w:val="24"/>
        </w:rPr>
        <w:t>on-line</w:t>
      </w:r>
      <w:r w:rsidRPr="00C2230D">
        <w:rPr>
          <w:rStyle w:val="Odkazjemn"/>
          <w:sz w:val="24"/>
        </w:rPr>
        <w:sym w:font="Symbol" w:char="F05D"/>
      </w:r>
      <w:r w:rsidRPr="00C2230D">
        <w:rPr>
          <w:rStyle w:val="Odkazjemn"/>
          <w:sz w:val="24"/>
        </w:rPr>
        <w:t>. 2009,</w:t>
      </w:r>
      <w:r>
        <w:rPr>
          <w:rStyle w:val="Odkazjemn"/>
          <w:sz w:val="24"/>
        </w:rPr>
        <w:t xml:space="preserve">             </w:t>
      </w:r>
      <w:r w:rsidRPr="00C2230D">
        <w:rPr>
          <w:rStyle w:val="Odkazjemn"/>
          <w:sz w:val="24"/>
        </w:rPr>
        <w:t xml:space="preserve"> </w:t>
      </w:r>
      <w:r w:rsidRPr="00C2230D">
        <w:rPr>
          <w:rStyle w:val="Odkazjemn"/>
          <w:sz w:val="24"/>
        </w:rPr>
        <w:sym w:font="Symbol" w:char="F05B"/>
      </w:r>
      <w:r w:rsidRPr="00C2230D">
        <w:rPr>
          <w:rStyle w:val="Odkazjemn"/>
          <w:sz w:val="24"/>
        </w:rPr>
        <w:t xml:space="preserve">cit. </w:t>
      </w:r>
      <w:proofErr w:type="gramStart"/>
      <w:r w:rsidRPr="00C2230D">
        <w:rPr>
          <w:rStyle w:val="Odkazjemn"/>
          <w:sz w:val="24"/>
        </w:rPr>
        <w:t>2009-01</w:t>
      </w:r>
      <w:proofErr w:type="gramEnd"/>
      <w:r w:rsidRPr="00C2230D">
        <w:rPr>
          <w:rStyle w:val="Odkazjemn"/>
          <w:sz w:val="24"/>
        </w:rPr>
        <w:t>-18</w:t>
      </w:r>
      <w:r w:rsidRPr="00C2230D">
        <w:rPr>
          <w:rStyle w:val="Odkazjemn"/>
          <w:sz w:val="24"/>
        </w:rPr>
        <w:sym w:font="Symbol" w:char="F05D"/>
      </w:r>
      <w:r w:rsidRPr="00C2230D">
        <w:rPr>
          <w:rStyle w:val="Odkazjemn"/>
          <w:sz w:val="24"/>
        </w:rPr>
        <w:t>. Dostupné z: &lt;http://www.euportal.cz/Articles/1842-argumenty-proti-vropske-menove-unii.aspx&gt;.</w:t>
      </w:r>
    </w:p>
    <w:p w:rsidR="00FD7B45" w:rsidRPr="00C2230D" w:rsidRDefault="00FD7B45" w:rsidP="00BF1E38">
      <w:pPr>
        <w:pStyle w:val="externalclass9015b86d913f4aeeb124c00a12335c81"/>
        <w:rPr>
          <w:rStyle w:val="Odkazjemn"/>
          <w:sz w:val="24"/>
        </w:rPr>
      </w:pPr>
      <w:proofErr w:type="spellStart"/>
      <w:r w:rsidRPr="00C2230D">
        <w:rPr>
          <w:rStyle w:val="Odkazjemn"/>
          <w:sz w:val="24"/>
        </w:rPr>
        <w:t>HAZUCHA</w:t>
      </w:r>
      <w:proofErr w:type="spellEnd"/>
      <w:r w:rsidRPr="00C2230D">
        <w:rPr>
          <w:rStyle w:val="Odkazjemn"/>
          <w:sz w:val="24"/>
        </w:rPr>
        <w:t xml:space="preserve">, D. </w:t>
      </w:r>
      <w:r w:rsidRPr="00C2230D">
        <w:rPr>
          <w:rStyle w:val="Odkazjemn"/>
          <w:i/>
          <w:sz w:val="24"/>
        </w:rPr>
        <w:t>Je EMU optimální měnovou oblastí?</w:t>
      </w:r>
      <w:r w:rsidRPr="00C2230D">
        <w:rPr>
          <w:rStyle w:val="Odkazjemn"/>
          <w:sz w:val="24"/>
        </w:rPr>
        <w:t xml:space="preserve"> </w:t>
      </w:r>
      <w:r w:rsidRPr="00C2230D">
        <w:rPr>
          <w:rStyle w:val="Odkazjemn"/>
          <w:sz w:val="24"/>
        </w:rPr>
        <w:sym w:font="Symbol" w:char="F05B"/>
      </w:r>
      <w:r w:rsidRPr="00C2230D">
        <w:rPr>
          <w:rStyle w:val="Odkazjemn"/>
          <w:sz w:val="24"/>
        </w:rPr>
        <w:t>on-line</w:t>
      </w:r>
      <w:r w:rsidRPr="00C2230D">
        <w:rPr>
          <w:rStyle w:val="Odkazjemn"/>
          <w:sz w:val="24"/>
        </w:rPr>
        <w:sym w:font="Symbol" w:char="F05D"/>
      </w:r>
      <w:r w:rsidRPr="00C2230D">
        <w:rPr>
          <w:rStyle w:val="Odkazjemn"/>
          <w:sz w:val="24"/>
        </w:rPr>
        <w:t>. 2005. Dostupné z: &lt;http://www.euportal.cz/Articles/384-je-emu-optimalni-menovou-oblasti-.aspx&gt;.</w:t>
      </w:r>
    </w:p>
    <w:p w:rsidR="00FD7B45" w:rsidRPr="00C2230D" w:rsidRDefault="00FD7B45" w:rsidP="00BF1E38">
      <w:pPr>
        <w:pStyle w:val="externalclass9015b86d913f4aeeb124c00a12335c81"/>
        <w:numPr>
          <w:ilvl w:val="0"/>
          <w:numId w:val="0"/>
        </w:numPr>
        <w:ind w:left="453"/>
        <w:rPr>
          <w:b/>
        </w:rPr>
      </w:pPr>
      <w:r w:rsidRPr="00C2230D">
        <w:rPr>
          <w:b/>
        </w:rPr>
        <w:t>Internetové stránky</w:t>
      </w:r>
    </w:p>
    <w:p w:rsidR="00FD7B45" w:rsidRPr="00C2230D" w:rsidRDefault="00FD7B45" w:rsidP="00BF1E38">
      <w:pPr>
        <w:pStyle w:val="externalclass9015b86d913f4aeeb124c00a12335c81"/>
        <w:rPr>
          <w:rStyle w:val="Odkazjemn"/>
          <w:sz w:val="24"/>
        </w:rPr>
      </w:pPr>
      <w:proofErr w:type="spellStart"/>
      <w:r w:rsidRPr="00900F97">
        <w:rPr>
          <w:rStyle w:val="Odkazjemn"/>
          <w:i/>
          <w:sz w:val="24"/>
        </w:rPr>
        <w:t>AWD</w:t>
      </w:r>
      <w:proofErr w:type="spellEnd"/>
      <w:r w:rsidRPr="00900F97">
        <w:rPr>
          <w:rStyle w:val="Odkazjemn"/>
          <w:i/>
          <w:sz w:val="24"/>
        </w:rPr>
        <w:t xml:space="preserve"> Česká republika s.r.o.: Měnová unie</w:t>
      </w:r>
      <w:r w:rsidRPr="00C2230D">
        <w:rPr>
          <w:rStyle w:val="Odkazjemn"/>
          <w:sz w:val="24"/>
        </w:rPr>
        <w:t xml:space="preserve">. [online], 2009, [cit. </w:t>
      </w:r>
      <w:proofErr w:type="gramStart"/>
      <w:r w:rsidRPr="00C2230D">
        <w:rPr>
          <w:rStyle w:val="Odkazjemn"/>
          <w:sz w:val="24"/>
        </w:rPr>
        <w:t>2009-03</w:t>
      </w:r>
      <w:proofErr w:type="gramEnd"/>
      <w:r w:rsidRPr="00C2230D">
        <w:rPr>
          <w:rStyle w:val="Odkazjemn"/>
          <w:sz w:val="24"/>
        </w:rPr>
        <w:t>-19]. Dostupné z: &lt;http://</w:t>
      </w:r>
      <w:hyperlink r:id="rId30" w:history="1">
        <w:r w:rsidRPr="00C2230D">
          <w:rPr>
            <w:rStyle w:val="Odkazjemn"/>
            <w:sz w:val="24"/>
          </w:rPr>
          <w:t>www.finance.cz/zpravy/finance/48714-clenstvi-v-unii-pomohlo-zahranicnimu-obchodu/</w:t>
        </w:r>
      </w:hyperlink>
      <w:r>
        <w:t>&gt;</w:t>
      </w:r>
    </w:p>
    <w:p w:rsidR="00FD7B45" w:rsidRPr="00C2230D" w:rsidRDefault="00FD7B45" w:rsidP="00BF1E38">
      <w:pPr>
        <w:pStyle w:val="externalclass9015b86d913f4aeeb124c00a12335c81"/>
      </w:pPr>
      <w:r w:rsidRPr="00900F97">
        <w:rPr>
          <w:rStyle w:val="Odkazjemn"/>
          <w:i/>
          <w:sz w:val="24"/>
        </w:rPr>
        <w:t xml:space="preserve">Banka </w:t>
      </w:r>
      <w:proofErr w:type="spellStart"/>
      <w:r w:rsidRPr="00900F97">
        <w:rPr>
          <w:rStyle w:val="Odkazjemn"/>
          <w:i/>
          <w:sz w:val="24"/>
        </w:rPr>
        <w:t>Slovenije</w:t>
      </w:r>
      <w:proofErr w:type="spellEnd"/>
      <w:r w:rsidRPr="00900F97">
        <w:rPr>
          <w:rStyle w:val="Odkazjemn"/>
          <w:i/>
          <w:sz w:val="24"/>
        </w:rPr>
        <w:t xml:space="preserve">. Joint </w:t>
      </w:r>
      <w:proofErr w:type="spellStart"/>
      <w:r w:rsidRPr="00900F97">
        <w:rPr>
          <w:rStyle w:val="Odkazjemn"/>
          <w:i/>
          <w:sz w:val="24"/>
        </w:rPr>
        <w:t>programme</w:t>
      </w:r>
      <w:proofErr w:type="spellEnd"/>
      <w:r w:rsidRPr="00900F97">
        <w:rPr>
          <w:rStyle w:val="Odkazjemn"/>
          <w:i/>
          <w:sz w:val="24"/>
        </w:rPr>
        <w:t xml:space="preserve"> </w:t>
      </w:r>
      <w:proofErr w:type="spellStart"/>
      <w:r w:rsidRPr="00900F97">
        <w:rPr>
          <w:rStyle w:val="Odkazjemn"/>
          <w:i/>
          <w:sz w:val="24"/>
        </w:rPr>
        <w:t>of</w:t>
      </w:r>
      <w:proofErr w:type="spellEnd"/>
      <w:r w:rsidRPr="00900F97">
        <w:rPr>
          <w:rStyle w:val="Odkazjemn"/>
          <w:i/>
          <w:sz w:val="24"/>
        </w:rPr>
        <w:t xml:space="preserve"> </w:t>
      </w:r>
      <w:proofErr w:type="spellStart"/>
      <w:r w:rsidRPr="00900F97">
        <w:rPr>
          <w:rStyle w:val="Odkazjemn"/>
          <w:i/>
          <w:sz w:val="24"/>
        </w:rPr>
        <w:t>the</w:t>
      </w:r>
      <w:proofErr w:type="spellEnd"/>
      <w:r w:rsidRPr="00900F97">
        <w:rPr>
          <w:rStyle w:val="Odkazjemn"/>
          <w:i/>
          <w:sz w:val="24"/>
        </w:rPr>
        <w:t xml:space="preserve"> </w:t>
      </w:r>
      <w:proofErr w:type="spellStart"/>
      <w:r w:rsidRPr="00900F97">
        <w:rPr>
          <w:rStyle w:val="Odkazjemn"/>
          <w:i/>
          <w:sz w:val="24"/>
        </w:rPr>
        <w:t>Slovenian</w:t>
      </w:r>
      <w:proofErr w:type="spellEnd"/>
      <w:r w:rsidRPr="00900F97">
        <w:rPr>
          <w:rStyle w:val="Odkazjemn"/>
          <w:i/>
          <w:sz w:val="24"/>
        </w:rPr>
        <w:t xml:space="preserve"> </w:t>
      </w:r>
      <w:proofErr w:type="spellStart"/>
      <w:r w:rsidRPr="00900F97">
        <w:rPr>
          <w:rStyle w:val="Odkazjemn"/>
          <w:i/>
          <w:sz w:val="24"/>
        </w:rPr>
        <w:t>Government</w:t>
      </w:r>
      <w:proofErr w:type="spellEnd"/>
      <w:r w:rsidRPr="00900F97">
        <w:rPr>
          <w:rStyle w:val="Odkazjemn"/>
          <w:i/>
          <w:sz w:val="24"/>
        </w:rPr>
        <w:t xml:space="preserve"> </w:t>
      </w:r>
      <w:proofErr w:type="spellStart"/>
      <w:r w:rsidRPr="00900F97">
        <w:rPr>
          <w:rStyle w:val="Odkazjemn"/>
          <w:i/>
          <w:sz w:val="24"/>
        </w:rPr>
        <w:t>and</w:t>
      </w:r>
      <w:proofErr w:type="spellEnd"/>
      <w:r w:rsidRPr="00900F97">
        <w:rPr>
          <w:rStyle w:val="Odkazjemn"/>
          <w:i/>
          <w:sz w:val="24"/>
        </w:rPr>
        <w:t xml:space="preserve"> </w:t>
      </w:r>
      <w:proofErr w:type="spellStart"/>
      <w:r w:rsidRPr="00900F97">
        <w:rPr>
          <w:rStyle w:val="Odkazjemn"/>
          <w:i/>
          <w:sz w:val="24"/>
        </w:rPr>
        <w:t>the</w:t>
      </w:r>
      <w:proofErr w:type="spellEnd"/>
      <w:r w:rsidRPr="00900F97">
        <w:rPr>
          <w:rStyle w:val="Odkazjemn"/>
          <w:i/>
          <w:sz w:val="24"/>
        </w:rPr>
        <w:t xml:space="preserve"> Bank </w:t>
      </w:r>
      <w:proofErr w:type="spellStart"/>
      <w:r w:rsidRPr="00900F97">
        <w:rPr>
          <w:rStyle w:val="Odkazjemn"/>
          <w:i/>
          <w:sz w:val="24"/>
        </w:rPr>
        <w:t>of</w:t>
      </w:r>
      <w:proofErr w:type="spellEnd"/>
      <w:r w:rsidRPr="00900F97">
        <w:rPr>
          <w:rStyle w:val="Odkazjemn"/>
          <w:i/>
          <w:sz w:val="24"/>
        </w:rPr>
        <w:t xml:space="preserve"> </w:t>
      </w:r>
      <w:proofErr w:type="spellStart"/>
      <w:r w:rsidRPr="00900F97">
        <w:rPr>
          <w:rStyle w:val="Odkazjemn"/>
          <w:i/>
          <w:sz w:val="24"/>
        </w:rPr>
        <w:t>Slovenia</w:t>
      </w:r>
      <w:proofErr w:type="spellEnd"/>
      <w:r w:rsidRPr="00C2230D">
        <w:rPr>
          <w:rStyle w:val="Odkazjemn"/>
          <w:sz w:val="24"/>
        </w:rPr>
        <w:t xml:space="preserve">: </w:t>
      </w:r>
      <w:proofErr w:type="spellStart"/>
      <w:r w:rsidRPr="00C2230D">
        <w:rPr>
          <w:rStyle w:val="Odkazjemn"/>
          <w:sz w:val="24"/>
        </w:rPr>
        <w:t>Programme</w:t>
      </w:r>
      <w:proofErr w:type="spellEnd"/>
      <w:r w:rsidRPr="00C2230D">
        <w:rPr>
          <w:rStyle w:val="Odkazjemn"/>
          <w:sz w:val="24"/>
        </w:rPr>
        <w:t xml:space="preserve"> </w:t>
      </w:r>
      <w:proofErr w:type="spellStart"/>
      <w:r w:rsidRPr="00C2230D">
        <w:rPr>
          <w:rStyle w:val="Odkazjemn"/>
          <w:sz w:val="24"/>
        </w:rPr>
        <w:t>for</w:t>
      </w:r>
      <w:proofErr w:type="spellEnd"/>
      <w:r w:rsidRPr="00C2230D">
        <w:rPr>
          <w:rStyle w:val="Odkazjemn"/>
          <w:sz w:val="24"/>
        </w:rPr>
        <w:t xml:space="preserve"> ERM II </w:t>
      </w:r>
      <w:proofErr w:type="spellStart"/>
      <w:r w:rsidRPr="00C2230D">
        <w:rPr>
          <w:rStyle w:val="Odkazjemn"/>
          <w:sz w:val="24"/>
        </w:rPr>
        <w:t>entry</w:t>
      </w:r>
      <w:proofErr w:type="spellEnd"/>
      <w:r w:rsidRPr="00C2230D">
        <w:rPr>
          <w:rStyle w:val="Odkazjemn"/>
          <w:sz w:val="24"/>
        </w:rPr>
        <w:t xml:space="preserve"> </w:t>
      </w:r>
      <w:proofErr w:type="spellStart"/>
      <w:r w:rsidRPr="00C2230D">
        <w:rPr>
          <w:rStyle w:val="Odkazjemn"/>
          <w:sz w:val="24"/>
        </w:rPr>
        <w:t>and</w:t>
      </w:r>
      <w:proofErr w:type="spellEnd"/>
      <w:r w:rsidRPr="00C2230D">
        <w:rPr>
          <w:rStyle w:val="Odkazjemn"/>
          <w:sz w:val="24"/>
        </w:rPr>
        <w:t xml:space="preserve"> </w:t>
      </w:r>
      <w:proofErr w:type="spellStart"/>
      <w:r w:rsidRPr="00C2230D">
        <w:rPr>
          <w:rStyle w:val="Odkazjemn"/>
          <w:sz w:val="24"/>
        </w:rPr>
        <w:t>adoption</w:t>
      </w:r>
      <w:proofErr w:type="spellEnd"/>
      <w:r w:rsidRPr="00C2230D">
        <w:rPr>
          <w:rStyle w:val="Odkazjemn"/>
          <w:sz w:val="24"/>
        </w:rPr>
        <w:t xml:space="preserve"> </w:t>
      </w:r>
      <w:proofErr w:type="spellStart"/>
      <w:r w:rsidRPr="00C2230D">
        <w:rPr>
          <w:rStyle w:val="Odkazjemn"/>
          <w:sz w:val="24"/>
        </w:rPr>
        <w:t>of</w:t>
      </w:r>
      <w:proofErr w:type="spellEnd"/>
      <w:r w:rsidRPr="00C2230D">
        <w:rPr>
          <w:rStyle w:val="Odkazjemn"/>
          <w:sz w:val="24"/>
        </w:rPr>
        <w:t xml:space="preserve"> </w:t>
      </w:r>
      <w:proofErr w:type="spellStart"/>
      <w:r w:rsidRPr="00C2230D">
        <w:rPr>
          <w:rStyle w:val="Odkazjemn"/>
          <w:sz w:val="24"/>
        </w:rPr>
        <w:t>the</w:t>
      </w:r>
      <w:proofErr w:type="spellEnd"/>
      <w:r w:rsidRPr="00C2230D">
        <w:rPr>
          <w:rStyle w:val="Odkazjemn"/>
          <w:sz w:val="24"/>
        </w:rPr>
        <w:t xml:space="preserve"> euro. Listopad 2003.</w:t>
      </w:r>
    </w:p>
    <w:p w:rsidR="00FD7B45" w:rsidRPr="00C2230D" w:rsidRDefault="00FD7B45" w:rsidP="00BF1E38">
      <w:pPr>
        <w:pStyle w:val="externalclass9015b86d913f4aeeb124c00a12335c81"/>
        <w:rPr>
          <w:rStyle w:val="Odkazjemn"/>
          <w:sz w:val="24"/>
        </w:rPr>
      </w:pPr>
      <w:proofErr w:type="spellStart"/>
      <w:r w:rsidRPr="00900F97">
        <w:rPr>
          <w:rStyle w:val="Odkazjemn"/>
          <w:i/>
          <w:sz w:val="24"/>
        </w:rPr>
        <w:t>Communication</w:t>
      </w:r>
      <w:proofErr w:type="spellEnd"/>
      <w:r w:rsidRPr="00900F97">
        <w:rPr>
          <w:rStyle w:val="Odkazjemn"/>
          <w:i/>
          <w:sz w:val="24"/>
        </w:rPr>
        <w:t xml:space="preserve"> </w:t>
      </w:r>
      <w:proofErr w:type="spellStart"/>
      <w:r w:rsidRPr="00900F97">
        <w:rPr>
          <w:rStyle w:val="Odkazjemn"/>
          <w:i/>
          <w:sz w:val="24"/>
        </w:rPr>
        <w:t>from</w:t>
      </w:r>
      <w:proofErr w:type="spellEnd"/>
      <w:r w:rsidRPr="00900F97">
        <w:rPr>
          <w:rStyle w:val="Odkazjemn"/>
          <w:i/>
          <w:sz w:val="24"/>
        </w:rPr>
        <w:t xml:space="preserve"> </w:t>
      </w:r>
      <w:proofErr w:type="spellStart"/>
      <w:r w:rsidRPr="00900F97">
        <w:rPr>
          <w:rStyle w:val="Odkazjemn"/>
          <w:i/>
          <w:sz w:val="24"/>
        </w:rPr>
        <w:t>the</w:t>
      </w:r>
      <w:proofErr w:type="spellEnd"/>
      <w:r w:rsidRPr="00900F97">
        <w:rPr>
          <w:rStyle w:val="Odkazjemn"/>
          <w:i/>
          <w:sz w:val="24"/>
        </w:rPr>
        <w:t xml:space="preserve"> </w:t>
      </w:r>
      <w:proofErr w:type="spellStart"/>
      <w:r w:rsidRPr="00900F97">
        <w:rPr>
          <w:rStyle w:val="Odkazjemn"/>
          <w:i/>
          <w:sz w:val="24"/>
        </w:rPr>
        <w:t>Commission</w:t>
      </w:r>
      <w:proofErr w:type="spellEnd"/>
      <w:r w:rsidRPr="00900F97">
        <w:rPr>
          <w:rStyle w:val="Odkazjemn"/>
          <w:i/>
          <w:sz w:val="24"/>
        </w:rPr>
        <w:t xml:space="preserve"> to </w:t>
      </w:r>
      <w:proofErr w:type="spellStart"/>
      <w:r w:rsidRPr="00900F97">
        <w:rPr>
          <w:rStyle w:val="Odkazjemn"/>
          <w:i/>
          <w:sz w:val="24"/>
        </w:rPr>
        <w:t>the</w:t>
      </w:r>
      <w:proofErr w:type="spellEnd"/>
      <w:r w:rsidRPr="00900F97">
        <w:rPr>
          <w:rStyle w:val="Odkazjemn"/>
          <w:i/>
          <w:sz w:val="24"/>
        </w:rPr>
        <w:t xml:space="preserve"> </w:t>
      </w:r>
      <w:proofErr w:type="spellStart"/>
      <w:r w:rsidRPr="00900F97">
        <w:rPr>
          <w:rStyle w:val="Odkazjemn"/>
          <w:i/>
          <w:sz w:val="24"/>
        </w:rPr>
        <w:t>Council</w:t>
      </w:r>
      <w:proofErr w:type="spellEnd"/>
      <w:r w:rsidRPr="00900F97">
        <w:rPr>
          <w:rStyle w:val="Odkazjemn"/>
          <w:i/>
          <w:sz w:val="24"/>
        </w:rPr>
        <w:t xml:space="preserve">, </w:t>
      </w:r>
      <w:proofErr w:type="spellStart"/>
      <w:r w:rsidRPr="00900F97">
        <w:rPr>
          <w:rStyle w:val="Odkazjemn"/>
          <w:i/>
          <w:sz w:val="24"/>
        </w:rPr>
        <w:t>the</w:t>
      </w:r>
      <w:proofErr w:type="spellEnd"/>
      <w:r w:rsidRPr="00900F97">
        <w:rPr>
          <w:rStyle w:val="Odkazjemn"/>
          <w:i/>
          <w:sz w:val="24"/>
        </w:rPr>
        <w:t xml:space="preserve"> </w:t>
      </w:r>
      <w:proofErr w:type="spellStart"/>
      <w:r w:rsidRPr="00900F97">
        <w:rPr>
          <w:rStyle w:val="Odkazjemn"/>
          <w:i/>
          <w:sz w:val="24"/>
        </w:rPr>
        <w:t>European</w:t>
      </w:r>
      <w:proofErr w:type="spellEnd"/>
      <w:r w:rsidRPr="00900F97">
        <w:rPr>
          <w:rStyle w:val="Odkazjemn"/>
          <w:i/>
          <w:sz w:val="24"/>
        </w:rPr>
        <w:t xml:space="preserve"> </w:t>
      </w:r>
      <w:proofErr w:type="spellStart"/>
      <w:r w:rsidRPr="00900F97">
        <w:rPr>
          <w:rStyle w:val="Odkazjemn"/>
          <w:i/>
          <w:sz w:val="24"/>
        </w:rPr>
        <w:t>Parliament</w:t>
      </w:r>
      <w:proofErr w:type="spellEnd"/>
      <w:r w:rsidRPr="00900F97">
        <w:rPr>
          <w:rStyle w:val="Odkazjemn"/>
          <w:i/>
          <w:sz w:val="24"/>
        </w:rPr>
        <w:t xml:space="preserve">, </w:t>
      </w:r>
      <w:proofErr w:type="spellStart"/>
      <w:r w:rsidRPr="00900F97">
        <w:rPr>
          <w:rStyle w:val="Odkazjemn"/>
          <w:i/>
          <w:sz w:val="24"/>
        </w:rPr>
        <w:t>the</w:t>
      </w:r>
      <w:proofErr w:type="spellEnd"/>
      <w:r w:rsidRPr="00900F97">
        <w:rPr>
          <w:rStyle w:val="Odkazjemn"/>
          <w:i/>
          <w:sz w:val="24"/>
        </w:rPr>
        <w:t xml:space="preserve"> </w:t>
      </w:r>
      <w:proofErr w:type="spellStart"/>
      <w:r w:rsidRPr="00900F97">
        <w:rPr>
          <w:rStyle w:val="Odkazjemn"/>
          <w:i/>
          <w:sz w:val="24"/>
        </w:rPr>
        <w:t>European</w:t>
      </w:r>
      <w:proofErr w:type="spellEnd"/>
      <w:r w:rsidRPr="00900F97">
        <w:rPr>
          <w:rStyle w:val="Odkazjemn"/>
          <w:i/>
          <w:sz w:val="24"/>
        </w:rPr>
        <w:t xml:space="preserve"> </w:t>
      </w:r>
      <w:proofErr w:type="spellStart"/>
      <w:r w:rsidRPr="00900F97">
        <w:rPr>
          <w:rStyle w:val="Odkazjemn"/>
          <w:i/>
          <w:sz w:val="24"/>
        </w:rPr>
        <w:t>Economic</w:t>
      </w:r>
      <w:proofErr w:type="spellEnd"/>
      <w:r w:rsidRPr="00900F97">
        <w:rPr>
          <w:rStyle w:val="Odkazjemn"/>
          <w:i/>
          <w:sz w:val="24"/>
        </w:rPr>
        <w:t xml:space="preserve"> </w:t>
      </w:r>
      <w:proofErr w:type="spellStart"/>
      <w:r w:rsidRPr="00900F97">
        <w:rPr>
          <w:rStyle w:val="Odkazjemn"/>
          <w:i/>
          <w:sz w:val="24"/>
        </w:rPr>
        <w:t>and</w:t>
      </w:r>
      <w:proofErr w:type="spellEnd"/>
      <w:r w:rsidRPr="00900F97">
        <w:rPr>
          <w:rStyle w:val="Odkazjemn"/>
          <w:i/>
          <w:sz w:val="24"/>
        </w:rPr>
        <w:t xml:space="preserve"> </w:t>
      </w:r>
      <w:proofErr w:type="spellStart"/>
      <w:r w:rsidRPr="00900F97">
        <w:rPr>
          <w:rStyle w:val="Odkazjemn"/>
          <w:i/>
          <w:sz w:val="24"/>
        </w:rPr>
        <w:t>Social</w:t>
      </w:r>
      <w:proofErr w:type="spellEnd"/>
      <w:r w:rsidRPr="00900F97">
        <w:rPr>
          <w:rStyle w:val="Odkazjemn"/>
          <w:i/>
          <w:sz w:val="24"/>
        </w:rPr>
        <w:t xml:space="preserve"> </w:t>
      </w:r>
      <w:proofErr w:type="spellStart"/>
      <w:r w:rsidRPr="00900F97">
        <w:rPr>
          <w:rStyle w:val="Odkazjemn"/>
          <w:i/>
          <w:sz w:val="24"/>
        </w:rPr>
        <w:t>Committee</w:t>
      </w:r>
      <w:proofErr w:type="spellEnd"/>
      <w:r w:rsidRPr="00900F97">
        <w:rPr>
          <w:rStyle w:val="Odkazjemn"/>
          <w:i/>
          <w:sz w:val="24"/>
        </w:rPr>
        <w:t xml:space="preserve">, </w:t>
      </w:r>
      <w:proofErr w:type="spellStart"/>
      <w:r w:rsidRPr="00900F97">
        <w:rPr>
          <w:rStyle w:val="Odkazjemn"/>
          <w:i/>
          <w:sz w:val="24"/>
        </w:rPr>
        <w:t>the</w:t>
      </w:r>
      <w:proofErr w:type="spellEnd"/>
      <w:r w:rsidRPr="00900F97">
        <w:rPr>
          <w:rStyle w:val="Odkazjemn"/>
          <w:i/>
          <w:sz w:val="24"/>
        </w:rPr>
        <w:t xml:space="preserve"> </w:t>
      </w:r>
      <w:proofErr w:type="spellStart"/>
      <w:r w:rsidRPr="00900F97">
        <w:rPr>
          <w:rStyle w:val="Odkazjemn"/>
          <w:i/>
          <w:sz w:val="24"/>
        </w:rPr>
        <w:t>Committee</w:t>
      </w:r>
      <w:proofErr w:type="spellEnd"/>
      <w:r w:rsidRPr="00900F97">
        <w:rPr>
          <w:rStyle w:val="Odkazjemn"/>
          <w:i/>
          <w:sz w:val="24"/>
        </w:rPr>
        <w:t xml:space="preserve"> </w:t>
      </w:r>
      <w:proofErr w:type="spellStart"/>
      <w:r w:rsidRPr="00900F97">
        <w:rPr>
          <w:rStyle w:val="Odkazjemn"/>
          <w:i/>
          <w:sz w:val="24"/>
        </w:rPr>
        <w:t>of</w:t>
      </w:r>
      <w:proofErr w:type="spellEnd"/>
      <w:r w:rsidRPr="00900F97">
        <w:rPr>
          <w:rStyle w:val="Odkazjemn"/>
          <w:i/>
          <w:sz w:val="24"/>
        </w:rPr>
        <w:t xml:space="preserve"> </w:t>
      </w:r>
      <w:proofErr w:type="spellStart"/>
      <w:r w:rsidRPr="00900F97">
        <w:rPr>
          <w:rStyle w:val="Odkazjemn"/>
          <w:i/>
          <w:sz w:val="24"/>
        </w:rPr>
        <w:t>the</w:t>
      </w:r>
      <w:proofErr w:type="spellEnd"/>
      <w:r w:rsidRPr="00900F97">
        <w:rPr>
          <w:rStyle w:val="Odkazjemn"/>
          <w:i/>
          <w:sz w:val="24"/>
        </w:rPr>
        <w:t xml:space="preserve"> </w:t>
      </w:r>
      <w:proofErr w:type="spellStart"/>
      <w:r w:rsidRPr="00900F97">
        <w:rPr>
          <w:rStyle w:val="Odkazjemn"/>
          <w:i/>
          <w:sz w:val="24"/>
        </w:rPr>
        <w:t>Regions</w:t>
      </w:r>
      <w:proofErr w:type="spellEnd"/>
      <w:r w:rsidRPr="00900F97">
        <w:rPr>
          <w:rStyle w:val="Odkazjemn"/>
          <w:i/>
          <w:sz w:val="24"/>
        </w:rPr>
        <w:t xml:space="preserve"> </w:t>
      </w:r>
      <w:proofErr w:type="spellStart"/>
      <w:r w:rsidRPr="00900F97">
        <w:rPr>
          <w:rStyle w:val="Odkazjemn"/>
          <w:i/>
          <w:sz w:val="24"/>
        </w:rPr>
        <w:t>and</w:t>
      </w:r>
      <w:proofErr w:type="spellEnd"/>
      <w:r w:rsidRPr="00900F97">
        <w:rPr>
          <w:rStyle w:val="Odkazjemn"/>
          <w:i/>
          <w:sz w:val="24"/>
        </w:rPr>
        <w:t xml:space="preserve"> </w:t>
      </w:r>
      <w:proofErr w:type="spellStart"/>
      <w:r w:rsidRPr="00900F97">
        <w:rPr>
          <w:rStyle w:val="Odkazjemn"/>
          <w:i/>
          <w:sz w:val="24"/>
        </w:rPr>
        <w:t>the</w:t>
      </w:r>
      <w:proofErr w:type="spellEnd"/>
      <w:r w:rsidRPr="00900F97">
        <w:rPr>
          <w:rStyle w:val="Odkazjemn"/>
          <w:i/>
          <w:sz w:val="24"/>
        </w:rPr>
        <w:t xml:space="preserve"> </w:t>
      </w:r>
      <w:proofErr w:type="spellStart"/>
      <w:r w:rsidRPr="00900F97">
        <w:rPr>
          <w:rStyle w:val="Odkazjemn"/>
          <w:i/>
          <w:sz w:val="24"/>
        </w:rPr>
        <w:t>European</w:t>
      </w:r>
      <w:proofErr w:type="spellEnd"/>
      <w:r w:rsidRPr="00900F97">
        <w:rPr>
          <w:rStyle w:val="Odkazjemn"/>
          <w:i/>
          <w:sz w:val="24"/>
        </w:rPr>
        <w:t xml:space="preserve"> </w:t>
      </w:r>
      <w:proofErr w:type="spellStart"/>
      <w:r w:rsidRPr="00900F97">
        <w:rPr>
          <w:rStyle w:val="Odkazjemn"/>
          <w:i/>
          <w:sz w:val="24"/>
        </w:rPr>
        <w:t>Central</w:t>
      </w:r>
      <w:proofErr w:type="spellEnd"/>
      <w:r w:rsidRPr="00900F97">
        <w:rPr>
          <w:rStyle w:val="Odkazjemn"/>
          <w:i/>
          <w:sz w:val="24"/>
        </w:rPr>
        <w:t xml:space="preserve"> </w:t>
      </w:r>
      <w:proofErr w:type="gramStart"/>
      <w:r w:rsidRPr="00900F97">
        <w:rPr>
          <w:rStyle w:val="Odkazjemn"/>
          <w:i/>
          <w:sz w:val="24"/>
        </w:rPr>
        <w:t>Bank</w:t>
      </w:r>
      <w:r w:rsidRPr="00C2230D">
        <w:rPr>
          <w:rStyle w:val="Odkazjemn"/>
          <w:sz w:val="24"/>
        </w:rPr>
        <w:t xml:space="preserve"> - [online</w:t>
      </w:r>
      <w:proofErr w:type="gramEnd"/>
      <w:r w:rsidRPr="00C2230D">
        <w:rPr>
          <w:rStyle w:val="Odkazjemn"/>
          <w:sz w:val="24"/>
        </w:rPr>
        <w:t xml:space="preserve">], </w:t>
      </w:r>
      <w:proofErr w:type="spellStart"/>
      <w:r w:rsidRPr="00C2230D">
        <w:rPr>
          <w:rStyle w:val="Odkazjemn"/>
          <w:sz w:val="24"/>
        </w:rPr>
        <w:t>The</w:t>
      </w:r>
      <w:proofErr w:type="spellEnd"/>
      <w:r w:rsidRPr="00C2230D">
        <w:rPr>
          <w:rStyle w:val="Odkazjemn"/>
          <w:sz w:val="24"/>
        </w:rPr>
        <w:t xml:space="preserve"> </w:t>
      </w:r>
      <w:proofErr w:type="spellStart"/>
      <w:r w:rsidRPr="00C2230D">
        <w:rPr>
          <w:rStyle w:val="Odkazjemn"/>
          <w:sz w:val="24"/>
        </w:rPr>
        <w:t>introduction</w:t>
      </w:r>
      <w:proofErr w:type="spellEnd"/>
      <w:r w:rsidRPr="00C2230D">
        <w:rPr>
          <w:rStyle w:val="Odkazjemn"/>
          <w:sz w:val="24"/>
        </w:rPr>
        <w:t xml:space="preserve"> </w:t>
      </w:r>
      <w:proofErr w:type="spellStart"/>
      <w:r w:rsidRPr="00C2230D">
        <w:rPr>
          <w:rStyle w:val="Odkazjemn"/>
          <w:sz w:val="24"/>
        </w:rPr>
        <w:t>of</w:t>
      </w:r>
      <w:proofErr w:type="spellEnd"/>
      <w:r w:rsidRPr="00C2230D">
        <w:rPr>
          <w:rStyle w:val="Odkazjemn"/>
          <w:sz w:val="24"/>
        </w:rPr>
        <w:t xml:space="preserve"> </w:t>
      </w:r>
      <w:proofErr w:type="spellStart"/>
      <w:r w:rsidRPr="00C2230D">
        <w:rPr>
          <w:rStyle w:val="Odkazjemn"/>
          <w:sz w:val="24"/>
        </w:rPr>
        <w:t>the</w:t>
      </w:r>
      <w:proofErr w:type="spellEnd"/>
      <w:r w:rsidRPr="00C2230D">
        <w:rPr>
          <w:rStyle w:val="Odkazjemn"/>
          <w:sz w:val="24"/>
        </w:rPr>
        <w:t xml:space="preserve"> euro in       </w:t>
      </w:r>
      <w:proofErr w:type="spellStart"/>
      <w:r w:rsidRPr="00C2230D">
        <w:rPr>
          <w:rStyle w:val="Odkazjemn"/>
          <w:sz w:val="24"/>
        </w:rPr>
        <w:t>Slovenia</w:t>
      </w:r>
      <w:proofErr w:type="spellEnd"/>
      <w:r w:rsidRPr="00C2230D">
        <w:rPr>
          <w:rStyle w:val="Odkazjemn"/>
          <w:sz w:val="24"/>
        </w:rPr>
        <w:t xml:space="preserve">, 2009,  [cit.2009-11-30]. </w:t>
      </w:r>
      <w:r>
        <w:rPr>
          <w:rStyle w:val="Odkazjemn"/>
          <w:sz w:val="24"/>
        </w:rPr>
        <w:t>Dostupné z WWW:</w:t>
      </w:r>
      <w:r w:rsidRPr="00C2230D">
        <w:rPr>
          <w:rStyle w:val="Odkazjemn"/>
          <w:sz w:val="24"/>
        </w:rPr>
        <w:t xml:space="preserve"> &lt;http://eur-</w:t>
      </w:r>
      <w:proofErr w:type="spellStart"/>
      <w:r w:rsidRPr="00C2230D">
        <w:rPr>
          <w:rStyle w:val="Odkazjemn"/>
          <w:sz w:val="24"/>
        </w:rPr>
        <w:t>x.europa.eu</w:t>
      </w:r>
      <w:proofErr w:type="spellEnd"/>
      <w:r w:rsidRPr="00C2230D">
        <w:rPr>
          <w:rStyle w:val="Odkazjemn"/>
          <w:sz w:val="24"/>
        </w:rPr>
        <w:t>/</w:t>
      </w:r>
      <w:proofErr w:type="spellStart"/>
      <w:r w:rsidRPr="00C2230D">
        <w:rPr>
          <w:rStyle w:val="Odkazjemn"/>
          <w:sz w:val="24"/>
        </w:rPr>
        <w:t>LexUriServ</w:t>
      </w:r>
      <w:proofErr w:type="spellEnd"/>
      <w:r w:rsidRPr="00C2230D">
        <w:rPr>
          <w:rStyle w:val="Odkazjemn"/>
          <w:sz w:val="24"/>
        </w:rPr>
        <w:t xml:space="preserve">/ </w:t>
      </w:r>
      <w:proofErr w:type="spellStart"/>
      <w:r w:rsidRPr="00C2230D">
        <w:rPr>
          <w:rStyle w:val="Odkazjemn"/>
          <w:sz w:val="24"/>
        </w:rPr>
        <w:t>LexUriServ.do</w:t>
      </w:r>
      <w:proofErr w:type="spellEnd"/>
      <w:r w:rsidRPr="00C2230D">
        <w:rPr>
          <w:rStyle w:val="Odkazjemn"/>
          <w:sz w:val="24"/>
        </w:rPr>
        <w:t>?</w:t>
      </w:r>
      <w:proofErr w:type="spellStart"/>
      <w:r w:rsidRPr="00C2230D">
        <w:rPr>
          <w:rStyle w:val="Odkazjemn"/>
          <w:sz w:val="24"/>
        </w:rPr>
        <w:t>uri</w:t>
      </w:r>
      <w:proofErr w:type="spellEnd"/>
      <w:r w:rsidRPr="00C2230D">
        <w:rPr>
          <w:rStyle w:val="Odkazjemn"/>
          <w:sz w:val="24"/>
        </w:rPr>
        <w:t xml:space="preserve"> =</w:t>
      </w:r>
      <w:proofErr w:type="spellStart"/>
      <w:r w:rsidRPr="00C2230D">
        <w:rPr>
          <w:rStyle w:val="Odkazjemn"/>
          <w:sz w:val="24"/>
        </w:rPr>
        <w:t>COM</w:t>
      </w:r>
      <w:proofErr w:type="spellEnd"/>
      <w:r w:rsidRPr="00C2230D">
        <w:rPr>
          <w:rStyle w:val="Odkazjemn"/>
          <w:sz w:val="24"/>
        </w:rPr>
        <w:t>:2007:0233:FIN:</w:t>
      </w:r>
      <w:proofErr w:type="spellStart"/>
      <w:r w:rsidRPr="00C2230D">
        <w:rPr>
          <w:rStyle w:val="Odkazjemn"/>
          <w:sz w:val="24"/>
        </w:rPr>
        <w:t>EN</w:t>
      </w:r>
      <w:proofErr w:type="spellEnd"/>
      <w:r w:rsidRPr="00C2230D">
        <w:rPr>
          <w:rStyle w:val="Odkazjemn"/>
          <w:sz w:val="24"/>
        </w:rPr>
        <w:t>:</w:t>
      </w:r>
      <w:proofErr w:type="spellStart"/>
      <w:r w:rsidRPr="00C2230D">
        <w:rPr>
          <w:rStyle w:val="Odkazjemn"/>
          <w:sz w:val="24"/>
        </w:rPr>
        <w:t>PDFB</w:t>
      </w:r>
      <w:proofErr w:type="spellEnd"/>
      <w:r w:rsidRPr="00C2230D">
        <w:rPr>
          <w:rStyle w:val="Odkazjemn"/>
          <w:sz w:val="24"/>
        </w:rPr>
        <w:t>&gt;</w:t>
      </w:r>
    </w:p>
    <w:p w:rsidR="00FD7B45" w:rsidRDefault="00FD7B45" w:rsidP="00BF1E38">
      <w:pPr>
        <w:pStyle w:val="externalclass9015b86d913f4aeeb124c00a12335c81"/>
      </w:pPr>
      <w:proofErr w:type="spellStart"/>
      <w:r w:rsidRPr="00900F97">
        <w:rPr>
          <w:i/>
        </w:rPr>
        <w:t>Convergence</w:t>
      </w:r>
      <w:proofErr w:type="spellEnd"/>
      <w:r w:rsidRPr="00900F97">
        <w:rPr>
          <w:i/>
        </w:rPr>
        <w:t xml:space="preserve"> Report 2004</w:t>
      </w:r>
      <w:r>
        <w:t xml:space="preserve"> [online]. </w:t>
      </w:r>
      <w:proofErr w:type="spellStart"/>
      <w:r>
        <w:t>Europion</w:t>
      </w:r>
      <w:proofErr w:type="spellEnd"/>
      <w:r>
        <w:t xml:space="preserve"> </w:t>
      </w:r>
      <w:proofErr w:type="spellStart"/>
      <w:r>
        <w:t>Central</w:t>
      </w:r>
      <w:proofErr w:type="spellEnd"/>
      <w:r>
        <w:t xml:space="preserve"> Bank 2004: cit. </w:t>
      </w:r>
      <w:proofErr w:type="gramStart"/>
      <w:r>
        <w:t>2010-08</w:t>
      </w:r>
      <w:proofErr w:type="gramEnd"/>
      <w:r>
        <w:t xml:space="preserve">-12] Dostupné z: WWW: </w:t>
      </w:r>
      <w:r w:rsidRPr="00C2230D">
        <w:t>&lt;http://www.</w:t>
      </w:r>
      <w:proofErr w:type="spellStart"/>
      <w:r w:rsidRPr="00C2230D">
        <w:t>ecb.europa.eu</w:t>
      </w:r>
      <w:proofErr w:type="spellEnd"/>
      <w:r w:rsidRPr="00C2230D">
        <w:t>/</w:t>
      </w:r>
      <w:proofErr w:type="spellStart"/>
      <w:r w:rsidRPr="00C2230D">
        <w:t>pub</w:t>
      </w:r>
      <w:proofErr w:type="spellEnd"/>
      <w:r w:rsidRPr="00C2230D">
        <w:t>/</w:t>
      </w:r>
      <w:proofErr w:type="spellStart"/>
      <w:r w:rsidRPr="00C2230D">
        <w:t>pdf</w:t>
      </w:r>
      <w:proofErr w:type="spellEnd"/>
      <w:r w:rsidRPr="00C2230D">
        <w:t>/</w:t>
      </w:r>
      <w:proofErr w:type="spellStart"/>
      <w:r w:rsidRPr="00C2230D">
        <w:t>conrep</w:t>
      </w:r>
      <w:proofErr w:type="spellEnd"/>
      <w:r w:rsidRPr="00C2230D">
        <w:t>/</w:t>
      </w:r>
      <w:proofErr w:type="spellStart"/>
      <w:r w:rsidRPr="00C2230D">
        <w:t>cr2004en.pdf</w:t>
      </w:r>
      <w:proofErr w:type="spellEnd"/>
      <w:r w:rsidRPr="00C2230D">
        <w:t>&gt;</w:t>
      </w:r>
    </w:p>
    <w:p w:rsidR="00FD7B45" w:rsidRDefault="00FD7B45" w:rsidP="00BF1E38">
      <w:pPr>
        <w:pStyle w:val="externalclass9015b86d913f4aeeb124c00a12335c81"/>
      </w:pPr>
      <w:proofErr w:type="spellStart"/>
      <w:r w:rsidRPr="00900F97">
        <w:rPr>
          <w:i/>
        </w:rPr>
        <w:t>Convergence</w:t>
      </w:r>
      <w:proofErr w:type="spellEnd"/>
      <w:r w:rsidRPr="00900F97">
        <w:rPr>
          <w:i/>
        </w:rPr>
        <w:t xml:space="preserve"> Report 2006</w:t>
      </w:r>
      <w:r>
        <w:t xml:space="preserve"> [online]. </w:t>
      </w:r>
      <w:proofErr w:type="spellStart"/>
      <w:r>
        <w:t>Europion</w:t>
      </w:r>
      <w:proofErr w:type="spellEnd"/>
      <w:r>
        <w:t xml:space="preserve"> </w:t>
      </w:r>
      <w:proofErr w:type="spellStart"/>
      <w:r>
        <w:t>Central</w:t>
      </w:r>
      <w:proofErr w:type="spellEnd"/>
      <w:r>
        <w:t xml:space="preserve"> Bank 2006: cit. </w:t>
      </w:r>
      <w:proofErr w:type="gramStart"/>
      <w:r>
        <w:t>2010-08</w:t>
      </w:r>
      <w:proofErr w:type="gramEnd"/>
      <w:r>
        <w:t xml:space="preserve">-12] Dostupné z: WWW: </w:t>
      </w:r>
      <w:r w:rsidRPr="00C2230D">
        <w:t>http://www.ecb.europa.eu/pub/pdf/conrep/cr2006en.pdf</w:t>
      </w:r>
    </w:p>
    <w:p w:rsidR="00FD7B45" w:rsidRPr="00C2230D" w:rsidRDefault="00FD7B45" w:rsidP="00BF1E38">
      <w:pPr>
        <w:pStyle w:val="externalclass9015b86d913f4aeeb124c00a12335c81"/>
        <w:rPr>
          <w:rStyle w:val="Odkazjemn"/>
          <w:sz w:val="24"/>
        </w:rPr>
      </w:pPr>
      <w:proofErr w:type="spellStart"/>
      <w:r>
        <w:t>Economia</w:t>
      </w:r>
      <w:proofErr w:type="spellEnd"/>
      <w:r>
        <w:t>, a.s.</w:t>
      </w:r>
      <w:r w:rsidRPr="00C2230D">
        <w:rPr>
          <w:rStyle w:val="Odkazjemn"/>
          <w:sz w:val="24"/>
        </w:rPr>
        <w:t xml:space="preserve"> [online]</w:t>
      </w:r>
      <w:r>
        <w:rPr>
          <w:rStyle w:val="Odkazjemn"/>
          <w:sz w:val="24"/>
        </w:rPr>
        <w:t>, 2010,</w:t>
      </w:r>
      <w:r w:rsidRPr="00C2230D">
        <w:rPr>
          <w:rStyle w:val="Odkazjemn"/>
          <w:sz w:val="24"/>
        </w:rPr>
        <w:t xml:space="preserve"> [cit. </w:t>
      </w:r>
      <w:proofErr w:type="gramStart"/>
      <w:r w:rsidRPr="00C2230D">
        <w:rPr>
          <w:rStyle w:val="Odkazjemn"/>
          <w:sz w:val="24"/>
        </w:rPr>
        <w:t>2010-02</w:t>
      </w:r>
      <w:proofErr w:type="gramEnd"/>
      <w:r w:rsidRPr="00C2230D">
        <w:rPr>
          <w:rStyle w:val="Odkazjemn"/>
          <w:sz w:val="24"/>
        </w:rPr>
        <w:t>-17]</w:t>
      </w:r>
      <w:r>
        <w:rPr>
          <w:rStyle w:val="Odkazjemn"/>
          <w:sz w:val="24"/>
        </w:rPr>
        <w:t>. Dostupné z WWW:</w:t>
      </w:r>
      <w:r w:rsidRPr="00C2230D">
        <w:t xml:space="preserve"> </w:t>
      </w:r>
      <w:hyperlink r:id="rId31" w:history="1">
        <w:r w:rsidRPr="00C2230D">
          <w:rPr>
            <w:rStyle w:val="Odkazjemn"/>
            <w:sz w:val="24"/>
          </w:rPr>
          <w:t>http://bankovnictvi.ihned.cz/c1-12349700-zavedeni-eura-a-jak-ho-nacasovat</w:t>
        </w:r>
      </w:hyperlink>
      <w:r w:rsidRPr="00C2230D">
        <w:rPr>
          <w:rStyle w:val="Odkazjemn"/>
          <w:sz w:val="24"/>
        </w:rPr>
        <w:t>&gt;.</w:t>
      </w:r>
    </w:p>
    <w:p w:rsidR="00FD7B45" w:rsidRPr="00C2230D" w:rsidRDefault="00FD7B45" w:rsidP="00BF1E38">
      <w:pPr>
        <w:pStyle w:val="externalclass9015b86d913f4aeeb124c00a12335c81"/>
      </w:pPr>
      <w:proofErr w:type="spellStart"/>
      <w:r w:rsidRPr="00900F97">
        <w:rPr>
          <w:rStyle w:val="Odkazjemn"/>
          <w:i/>
          <w:sz w:val="24"/>
        </w:rPr>
        <w:lastRenderedPageBreak/>
        <w:t>Economic</w:t>
      </w:r>
      <w:proofErr w:type="spellEnd"/>
      <w:r w:rsidRPr="00900F97">
        <w:rPr>
          <w:rStyle w:val="Odkazjemn"/>
          <w:i/>
          <w:sz w:val="24"/>
        </w:rPr>
        <w:t xml:space="preserve"> help</w:t>
      </w:r>
      <w:r w:rsidRPr="00C2230D">
        <w:rPr>
          <w:rStyle w:val="Odkazjemn"/>
          <w:sz w:val="24"/>
        </w:rPr>
        <w:t xml:space="preserve"> [online] </w:t>
      </w:r>
      <w:proofErr w:type="spellStart"/>
      <w:r w:rsidRPr="00C2230D">
        <w:rPr>
          <w:rStyle w:val="Odkazjemn"/>
          <w:sz w:val="24"/>
        </w:rPr>
        <w:t>Benefits</w:t>
      </w:r>
      <w:proofErr w:type="spellEnd"/>
      <w:r w:rsidRPr="00C2230D">
        <w:rPr>
          <w:rStyle w:val="Odkazjemn"/>
          <w:sz w:val="24"/>
        </w:rPr>
        <w:t xml:space="preserve"> </w:t>
      </w:r>
      <w:proofErr w:type="spellStart"/>
      <w:r w:rsidRPr="00C2230D">
        <w:rPr>
          <w:rStyle w:val="Odkazjemn"/>
          <w:sz w:val="24"/>
        </w:rPr>
        <w:t>of</w:t>
      </w:r>
      <w:proofErr w:type="spellEnd"/>
      <w:r w:rsidRPr="00C2230D">
        <w:rPr>
          <w:rStyle w:val="Odkazjemn"/>
          <w:sz w:val="24"/>
        </w:rPr>
        <w:t xml:space="preserve"> euro, 2010, [</w:t>
      </w:r>
      <w:proofErr w:type="gramStart"/>
      <w:r w:rsidRPr="00C2230D">
        <w:rPr>
          <w:rStyle w:val="Odkazjemn"/>
          <w:sz w:val="24"/>
        </w:rPr>
        <w:t>cit</w:t>
      </w:r>
      <w:proofErr w:type="gramEnd"/>
      <w:r w:rsidRPr="00C2230D">
        <w:rPr>
          <w:rStyle w:val="Odkazjemn"/>
          <w:sz w:val="24"/>
        </w:rPr>
        <w:t>.</w:t>
      </w:r>
      <w:proofErr w:type="gramStart"/>
      <w:r w:rsidRPr="00C2230D">
        <w:rPr>
          <w:rStyle w:val="Odkazjemn"/>
          <w:sz w:val="24"/>
        </w:rPr>
        <w:t>2010</w:t>
      </w:r>
      <w:proofErr w:type="gramEnd"/>
      <w:r w:rsidRPr="00C2230D">
        <w:rPr>
          <w:rStyle w:val="Odkazjemn"/>
          <w:sz w:val="24"/>
        </w:rPr>
        <w:t>-9-15]. Dostupn</w:t>
      </w:r>
      <w:r>
        <w:rPr>
          <w:rStyle w:val="Odkazjemn"/>
          <w:sz w:val="24"/>
        </w:rPr>
        <w:t>é</w:t>
      </w:r>
      <w:r w:rsidRPr="00C2230D">
        <w:rPr>
          <w:rStyle w:val="Odkazjemn"/>
          <w:sz w:val="24"/>
        </w:rPr>
        <w:t xml:space="preserve"> z</w:t>
      </w:r>
      <w:r>
        <w:rPr>
          <w:rStyle w:val="Odkazjemn"/>
          <w:sz w:val="24"/>
        </w:rPr>
        <w:t> WWW: &lt;</w:t>
      </w:r>
      <w:hyperlink r:id="rId32" w:history="1">
        <w:r w:rsidRPr="00C2230D">
          <w:rPr>
            <w:rStyle w:val="Odkazjemn"/>
            <w:sz w:val="24"/>
          </w:rPr>
          <w:t>http://www.economicshelp.org/europe/benefits-euro.html</w:t>
        </w:r>
      </w:hyperlink>
      <w:r>
        <w:t>&gt;</w:t>
      </w:r>
    </w:p>
    <w:p w:rsidR="00FD7B45" w:rsidRPr="00C2230D" w:rsidRDefault="00FD7B45" w:rsidP="00BF1E38">
      <w:pPr>
        <w:pStyle w:val="externalclass9015b86d913f4aeeb124c00a12335c81"/>
        <w:rPr>
          <w:rStyle w:val="Odkazjemn"/>
          <w:sz w:val="24"/>
        </w:rPr>
      </w:pPr>
      <w:proofErr w:type="spellStart"/>
      <w:r w:rsidRPr="00900F97">
        <w:rPr>
          <w:rStyle w:val="Odkazjemn"/>
          <w:i/>
          <w:sz w:val="24"/>
        </w:rPr>
        <w:t>Economic</w:t>
      </w:r>
      <w:proofErr w:type="spellEnd"/>
      <w:r w:rsidRPr="00900F97">
        <w:rPr>
          <w:rStyle w:val="Odkazjemn"/>
          <w:i/>
          <w:sz w:val="24"/>
        </w:rPr>
        <w:t xml:space="preserve"> help</w:t>
      </w:r>
      <w:r w:rsidRPr="00C2230D">
        <w:rPr>
          <w:rStyle w:val="Odkazjemn"/>
          <w:sz w:val="24"/>
        </w:rPr>
        <w:t xml:space="preserve"> [online] </w:t>
      </w:r>
      <w:proofErr w:type="spellStart"/>
      <w:r w:rsidRPr="00C2230D">
        <w:rPr>
          <w:rStyle w:val="Odkazjemn"/>
          <w:sz w:val="24"/>
        </w:rPr>
        <w:t>Cost</w:t>
      </w:r>
      <w:proofErr w:type="spellEnd"/>
      <w:r w:rsidRPr="00C2230D">
        <w:rPr>
          <w:rStyle w:val="Odkazjemn"/>
          <w:sz w:val="24"/>
        </w:rPr>
        <w:t xml:space="preserve"> </w:t>
      </w:r>
      <w:proofErr w:type="spellStart"/>
      <w:r w:rsidRPr="00C2230D">
        <w:rPr>
          <w:rStyle w:val="Odkazjemn"/>
          <w:sz w:val="24"/>
        </w:rPr>
        <w:t>of</w:t>
      </w:r>
      <w:proofErr w:type="spellEnd"/>
      <w:r w:rsidRPr="00C2230D">
        <w:rPr>
          <w:rStyle w:val="Odkazjemn"/>
          <w:sz w:val="24"/>
        </w:rPr>
        <w:t xml:space="preserve"> </w:t>
      </w:r>
      <w:proofErr w:type="spellStart"/>
      <w:r w:rsidRPr="00C2230D">
        <w:rPr>
          <w:rStyle w:val="Odkazjemn"/>
          <w:sz w:val="24"/>
        </w:rPr>
        <w:t>j</w:t>
      </w:r>
      <w:r>
        <w:rPr>
          <w:rStyle w:val="Odkazjemn"/>
          <w:sz w:val="24"/>
        </w:rPr>
        <w:t>oing</w:t>
      </w:r>
      <w:proofErr w:type="spellEnd"/>
      <w:r>
        <w:rPr>
          <w:rStyle w:val="Odkazjemn"/>
          <w:sz w:val="24"/>
        </w:rPr>
        <w:t xml:space="preserve"> </w:t>
      </w:r>
      <w:proofErr w:type="spellStart"/>
      <w:r>
        <w:rPr>
          <w:rStyle w:val="Odkazjemn"/>
          <w:sz w:val="24"/>
        </w:rPr>
        <w:t>the</w:t>
      </w:r>
      <w:proofErr w:type="spellEnd"/>
      <w:r w:rsidRPr="00C2230D">
        <w:rPr>
          <w:rStyle w:val="Odkazjemn"/>
          <w:sz w:val="24"/>
        </w:rPr>
        <w:t xml:space="preserve"> euro[</w:t>
      </w:r>
      <w:proofErr w:type="gramStart"/>
      <w:r w:rsidRPr="00C2230D">
        <w:rPr>
          <w:rStyle w:val="Odkazjemn"/>
          <w:sz w:val="24"/>
        </w:rPr>
        <w:t>cit</w:t>
      </w:r>
      <w:proofErr w:type="gramEnd"/>
      <w:r w:rsidRPr="00C2230D">
        <w:rPr>
          <w:rStyle w:val="Odkazjemn"/>
          <w:sz w:val="24"/>
        </w:rPr>
        <w:t>.</w:t>
      </w:r>
      <w:proofErr w:type="gramStart"/>
      <w:r w:rsidRPr="00C2230D">
        <w:rPr>
          <w:rStyle w:val="Odkazjemn"/>
          <w:sz w:val="24"/>
        </w:rPr>
        <w:t>2010</w:t>
      </w:r>
      <w:proofErr w:type="gramEnd"/>
      <w:r w:rsidRPr="00C2230D">
        <w:rPr>
          <w:rStyle w:val="Odkazjemn"/>
          <w:sz w:val="24"/>
        </w:rPr>
        <w:t>-9-15]. Dostupn</w:t>
      </w:r>
      <w:r>
        <w:rPr>
          <w:rStyle w:val="Odkazjemn"/>
          <w:sz w:val="24"/>
        </w:rPr>
        <w:t>é</w:t>
      </w:r>
      <w:r w:rsidRPr="00C2230D">
        <w:rPr>
          <w:rStyle w:val="Odkazjemn"/>
          <w:sz w:val="24"/>
        </w:rPr>
        <w:t xml:space="preserve"> z</w:t>
      </w:r>
      <w:r>
        <w:rPr>
          <w:rStyle w:val="Odkazjemn"/>
          <w:sz w:val="24"/>
        </w:rPr>
        <w:t> WWW:</w:t>
      </w:r>
      <w:hyperlink r:id="rId33" w:history="1"/>
      <w:r w:rsidRPr="00C2230D">
        <w:rPr>
          <w:rStyle w:val="Odkazjemn"/>
          <w:sz w:val="24"/>
        </w:rPr>
        <w:t xml:space="preserve"> </w:t>
      </w:r>
      <w:r>
        <w:rPr>
          <w:rStyle w:val="Odkazjemn"/>
          <w:sz w:val="24"/>
        </w:rPr>
        <w:t>&lt;</w:t>
      </w:r>
      <w:hyperlink r:id="rId34" w:history="1">
        <w:r w:rsidRPr="00C2230D">
          <w:rPr>
            <w:rStyle w:val="Odkazjemn"/>
            <w:sz w:val="24"/>
          </w:rPr>
          <w:t>http://www.economicshelp.org/europe/costs-euro.html</w:t>
        </w:r>
      </w:hyperlink>
      <w:r>
        <w:t>&gt;</w:t>
      </w:r>
    </w:p>
    <w:p w:rsidR="00FD7B45" w:rsidRPr="00B93B74" w:rsidRDefault="00FD7B45" w:rsidP="00BF1E38">
      <w:pPr>
        <w:pStyle w:val="externalclass9015b86d913f4aeeb124c00a12335c81"/>
        <w:rPr>
          <w:rStyle w:val="Odkazjemn"/>
          <w:sz w:val="24"/>
        </w:rPr>
      </w:pPr>
      <w:proofErr w:type="spellStart"/>
      <w:r w:rsidRPr="00900F97">
        <w:rPr>
          <w:rStyle w:val="Odkazjemn"/>
          <w:i/>
          <w:sz w:val="24"/>
        </w:rPr>
        <w:t>European</w:t>
      </w:r>
      <w:proofErr w:type="spellEnd"/>
      <w:r w:rsidRPr="00900F97">
        <w:rPr>
          <w:rStyle w:val="Odkazjemn"/>
          <w:i/>
          <w:sz w:val="24"/>
        </w:rPr>
        <w:t xml:space="preserve"> </w:t>
      </w:r>
      <w:proofErr w:type="spellStart"/>
      <w:r w:rsidRPr="00900F97">
        <w:rPr>
          <w:rStyle w:val="Odkazjemn"/>
          <w:i/>
          <w:sz w:val="24"/>
        </w:rPr>
        <w:t>Central</w:t>
      </w:r>
      <w:proofErr w:type="spellEnd"/>
      <w:r w:rsidRPr="00900F97">
        <w:rPr>
          <w:rStyle w:val="Odkazjemn"/>
          <w:i/>
          <w:sz w:val="24"/>
        </w:rPr>
        <w:t xml:space="preserve"> Bank.: </w:t>
      </w:r>
      <w:proofErr w:type="spellStart"/>
      <w:r w:rsidRPr="00900F97">
        <w:rPr>
          <w:rStyle w:val="Odkazjemn"/>
          <w:i/>
          <w:sz w:val="24"/>
        </w:rPr>
        <w:t>Convergence</w:t>
      </w:r>
      <w:proofErr w:type="spellEnd"/>
      <w:r w:rsidRPr="00900F97">
        <w:rPr>
          <w:rStyle w:val="Odkazjemn"/>
          <w:i/>
          <w:sz w:val="24"/>
        </w:rPr>
        <w:t xml:space="preserve"> </w:t>
      </w:r>
      <w:proofErr w:type="spellStart"/>
      <w:r w:rsidRPr="00900F97">
        <w:rPr>
          <w:rStyle w:val="Odkazjemn"/>
          <w:i/>
          <w:sz w:val="24"/>
        </w:rPr>
        <w:t>criteria</w:t>
      </w:r>
      <w:proofErr w:type="spellEnd"/>
      <w:r w:rsidRPr="00B93B74">
        <w:rPr>
          <w:rStyle w:val="Odkazjemn"/>
          <w:sz w:val="24"/>
        </w:rPr>
        <w:t>. [on-line</w:t>
      </w:r>
      <w:r w:rsidRPr="00B93B74">
        <w:rPr>
          <w:rStyle w:val="Odkazjemn"/>
          <w:sz w:val="24"/>
        </w:rPr>
        <w:sym w:font="Symbol" w:char="F05D"/>
      </w:r>
      <w:r w:rsidRPr="00B93B74">
        <w:rPr>
          <w:rStyle w:val="Odkazjemn"/>
          <w:sz w:val="24"/>
        </w:rPr>
        <w:t xml:space="preserve">,1992, [cit. </w:t>
      </w:r>
      <w:proofErr w:type="gramStart"/>
      <w:r w:rsidRPr="00B93B74">
        <w:rPr>
          <w:rStyle w:val="Odkazjemn"/>
          <w:sz w:val="24"/>
        </w:rPr>
        <w:t>20</w:t>
      </w:r>
      <w:r>
        <w:rPr>
          <w:rStyle w:val="Odkazjemn"/>
          <w:sz w:val="24"/>
        </w:rPr>
        <w:t>10</w:t>
      </w:r>
      <w:r w:rsidRPr="00B93B74">
        <w:rPr>
          <w:rStyle w:val="Odkazjemn"/>
          <w:sz w:val="24"/>
        </w:rPr>
        <w:t>-02</w:t>
      </w:r>
      <w:proofErr w:type="gramEnd"/>
      <w:r w:rsidRPr="00B93B74">
        <w:rPr>
          <w:rStyle w:val="Odkazjemn"/>
          <w:sz w:val="24"/>
        </w:rPr>
        <w:t>-08]. Dostupné z</w:t>
      </w:r>
      <w:r>
        <w:rPr>
          <w:rStyle w:val="Odkazjemn"/>
          <w:sz w:val="24"/>
        </w:rPr>
        <w:t xml:space="preserve"> WWW</w:t>
      </w:r>
      <w:r w:rsidRPr="00B93B74">
        <w:rPr>
          <w:rStyle w:val="Odkazjemn"/>
          <w:sz w:val="24"/>
        </w:rPr>
        <w:t xml:space="preserve">: </w:t>
      </w:r>
      <w:r>
        <w:rPr>
          <w:rStyle w:val="Odkazjemn"/>
          <w:sz w:val="24"/>
        </w:rPr>
        <w:t>&lt;</w:t>
      </w:r>
      <w:r w:rsidRPr="00B93B74">
        <w:rPr>
          <w:rStyle w:val="Odkazjemn"/>
          <w:sz w:val="24"/>
        </w:rPr>
        <w:t>http://www.ecb.int/ecb/orga/escb/html/convergence-criteria.</w:t>
      </w:r>
      <w:proofErr w:type="gramStart"/>
      <w:r w:rsidRPr="00B93B74">
        <w:rPr>
          <w:rStyle w:val="Odkazjemn"/>
          <w:sz w:val="24"/>
        </w:rPr>
        <w:t>en</w:t>
      </w:r>
      <w:proofErr w:type="gramEnd"/>
      <w:r w:rsidRPr="00B93B74">
        <w:rPr>
          <w:rStyle w:val="Odkazjemn"/>
          <w:sz w:val="24"/>
        </w:rPr>
        <w:t>.</w:t>
      </w:r>
      <w:proofErr w:type="gramStart"/>
      <w:r w:rsidRPr="00B93B74">
        <w:rPr>
          <w:rStyle w:val="Odkazjemn"/>
          <w:sz w:val="24"/>
        </w:rPr>
        <w:t>html</w:t>
      </w:r>
      <w:proofErr w:type="gramEnd"/>
      <w:r>
        <w:rPr>
          <w:rStyle w:val="Odkazjemn"/>
          <w:sz w:val="24"/>
        </w:rPr>
        <w:t>.int&gt;</w:t>
      </w:r>
    </w:p>
    <w:p w:rsidR="00FD7B45" w:rsidRPr="00433BD4" w:rsidRDefault="00FD7B45" w:rsidP="00BF1E38">
      <w:pPr>
        <w:pStyle w:val="externalclass9015b86d913f4aeeb124c00a12335c81"/>
        <w:rPr>
          <w:rStyle w:val="Odkazjemn"/>
          <w:sz w:val="24"/>
        </w:rPr>
      </w:pPr>
      <w:proofErr w:type="spellStart"/>
      <w:r w:rsidRPr="00900F97">
        <w:rPr>
          <w:rStyle w:val="Odkazjemn"/>
          <w:i/>
          <w:sz w:val="24"/>
        </w:rPr>
        <w:t>European</w:t>
      </w:r>
      <w:proofErr w:type="spellEnd"/>
      <w:r w:rsidRPr="00900F97">
        <w:rPr>
          <w:rStyle w:val="Odkazjemn"/>
          <w:i/>
          <w:sz w:val="24"/>
        </w:rPr>
        <w:t xml:space="preserve"> </w:t>
      </w:r>
      <w:proofErr w:type="spellStart"/>
      <w:r w:rsidRPr="00900F97">
        <w:rPr>
          <w:rStyle w:val="Odkazjemn"/>
          <w:i/>
          <w:sz w:val="24"/>
        </w:rPr>
        <w:t>Central</w:t>
      </w:r>
      <w:proofErr w:type="spellEnd"/>
      <w:r w:rsidRPr="00900F97">
        <w:rPr>
          <w:rStyle w:val="Odkazjemn"/>
          <w:i/>
          <w:sz w:val="24"/>
        </w:rPr>
        <w:t xml:space="preserve"> Bank.: EU </w:t>
      </w:r>
      <w:proofErr w:type="spellStart"/>
      <w:r w:rsidRPr="00900F97">
        <w:rPr>
          <w:rStyle w:val="Odkazjemn"/>
          <w:i/>
          <w:sz w:val="24"/>
        </w:rPr>
        <w:t>enlargement</w:t>
      </w:r>
      <w:proofErr w:type="spellEnd"/>
      <w:r w:rsidRPr="00C2230D">
        <w:rPr>
          <w:rStyle w:val="Odkazjemn"/>
          <w:sz w:val="24"/>
        </w:rPr>
        <w:t>. [on-line</w:t>
      </w:r>
      <w:r w:rsidRPr="00C2230D">
        <w:rPr>
          <w:rStyle w:val="Odkazjemn"/>
          <w:sz w:val="24"/>
        </w:rPr>
        <w:sym w:font="Symbol" w:char="F05D"/>
      </w:r>
      <w:r w:rsidRPr="00C2230D">
        <w:rPr>
          <w:rStyle w:val="Odkazjemn"/>
          <w:sz w:val="24"/>
        </w:rPr>
        <w:t xml:space="preserve">, 2001, [cit. </w:t>
      </w:r>
      <w:proofErr w:type="gramStart"/>
      <w:r w:rsidRPr="00C2230D">
        <w:rPr>
          <w:rStyle w:val="Odkazjemn"/>
          <w:sz w:val="24"/>
        </w:rPr>
        <w:t>2010-02</w:t>
      </w:r>
      <w:proofErr w:type="gramEnd"/>
      <w:r w:rsidRPr="00C2230D">
        <w:rPr>
          <w:rStyle w:val="Odkazjemn"/>
          <w:sz w:val="24"/>
        </w:rPr>
        <w:t>-16]. Dostupné z</w:t>
      </w:r>
      <w:r>
        <w:rPr>
          <w:rStyle w:val="Odkazjemn"/>
          <w:sz w:val="24"/>
        </w:rPr>
        <w:t xml:space="preserve"> WWW</w:t>
      </w:r>
      <w:r w:rsidRPr="00C2230D">
        <w:rPr>
          <w:rStyle w:val="Odkazjemn"/>
          <w:sz w:val="24"/>
        </w:rPr>
        <w:t>: &lt;</w:t>
      </w:r>
      <w:r w:rsidRPr="00C2230D">
        <w:t xml:space="preserve"> </w:t>
      </w:r>
      <w:hyperlink r:id="rId35" w:history="1">
        <w:r w:rsidRPr="00C2230D">
          <w:rPr>
            <w:rStyle w:val="Odkazjemn"/>
            <w:sz w:val="24"/>
          </w:rPr>
          <w:t>http://www.ecb.int/pub/pdf/other/whypricestabilitycs.pdf</w:t>
        </w:r>
      </w:hyperlink>
      <w:r w:rsidRPr="00C2230D">
        <w:rPr>
          <w:rStyle w:val="Odkazjemn"/>
          <w:sz w:val="24"/>
        </w:rPr>
        <w:t>&gt;</w:t>
      </w:r>
    </w:p>
    <w:p w:rsidR="00FD7B45" w:rsidRDefault="00FD7B45" w:rsidP="00BF1E38">
      <w:pPr>
        <w:pStyle w:val="externalclass9015b86d913f4aeeb124c00a12335c81"/>
      </w:pPr>
      <w:proofErr w:type="spellStart"/>
      <w:r w:rsidRPr="00900F97">
        <w:rPr>
          <w:rStyle w:val="Odkazjemn"/>
          <w:i/>
          <w:sz w:val="24"/>
        </w:rPr>
        <w:t>European</w:t>
      </w:r>
      <w:proofErr w:type="spellEnd"/>
      <w:r w:rsidRPr="00900F97">
        <w:rPr>
          <w:rStyle w:val="Odkazjemn"/>
          <w:i/>
          <w:sz w:val="24"/>
        </w:rPr>
        <w:t xml:space="preserve"> </w:t>
      </w:r>
      <w:proofErr w:type="spellStart"/>
      <w:r w:rsidRPr="00900F97">
        <w:rPr>
          <w:rStyle w:val="Odkazjemn"/>
          <w:i/>
          <w:sz w:val="24"/>
        </w:rPr>
        <w:t>Central</w:t>
      </w:r>
      <w:proofErr w:type="spellEnd"/>
      <w:r w:rsidRPr="00900F97">
        <w:rPr>
          <w:rStyle w:val="Odkazjemn"/>
          <w:i/>
          <w:sz w:val="24"/>
        </w:rPr>
        <w:t xml:space="preserve"> Bank.: </w:t>
      </w:r>
      <w:proofErr w:type="spellStart"/>
      <w:r w:rsidRPr="00900F97">
        <w:rPr>
          <w:rStyle w:val="Odkazjemn"/>
          <w:i/>
          <w:sz w:val="24"/>
        </w:rPr>
        <w:t>Flash</w:t>
      </w:r>
      <w:proofErr w:type="spellEnd"/>
      <w:r w:rsidRPr="00900F97">
        <w:rPr>
          <w:rStyle w:val="Odkazjemn"/>
          <w:i/>
          <w:sz w:val="24"/>
        </w:rPr>
        <w:t xml:space="preserve"> Barometr 201</w:t>
      </w:r>
      <w:r w:rsidRPr="00C2230D">
        <w:rPr>
          <w:rStyle w:val="Odkazjemn"/>
          <w:sz w:val="24"/>
        </w:rPr>
        <w:t>. [on-line</w:t>
      </w:r>
      <w:r w:rsidRPr="00C2230D">
        <w:rPr>
          <w:rStyle w:val="Odkazjemn"/>
          <w:sz w:val="24"/>
        </w:rPr>
        <w:sym w:font="Symbol" w:char="F05D"/>
      </w:r>
      <w:r w:rsidRPr="00C2230D">
        <w:rPr>
          <w:rStyle w:val="Odkazjemn"/>
          <w:sz w:val="24"/>
        </w:rPr>
        <w:t xml:space="preserve">, 2010, [cit. </w:t>
      </w:r>
      <w:proofErr w:type="gramStart"/>
      <w:r w:rsidRPr="00C2230D">
        <w:rPr>
          <w:rStyle w:val="Odkazjemn"/>
          <w:sz w:val="24"/>
        </w:rPr>
        <w:t>2010-02</w:t>
      </w:r>
      <w:proofErr w:type="gramEnd"/>
      <w:r w:rsidRPr="00C2230D">
        <w:rPr>
          <w:rStyle w:val="Odkazjemn"/>
          <w:sz w:val="24"/>
        </w:rPr>
        <w:t xml:space="preserve">-08]. </w:t>
      </w:r>
      <w:proofErr w:type="spellStart"/>
      <w:r w:rsidRPr="00900F97">
        <w:rPr>
          <w:rStyle w:val="Odkazjemn"/>
          <w:i/>
          <w:sz w:val="24"/>
        </w:rPr>
        <w:t>European</w:t>
      </w:r>
      <w:proofErr w:type="spellEnd"/>
      <w:r w:rsidRPr="00900F97">
        <w:rPr>
          <w:rStyle w:val="Odkazjemn"/>
          <w:i/>
          <w:sz w:val="24"/>
        </w:rPr>
        <w:t xml:space="preserve"> </w:t>
      </w:r>
      <w:proofErr w:type="spellStart"/>
      <w:r w:rsidRPr="00900F97">
        <w:rPr>
          <w:rStyle w:val="Odkazjemn"/>
          <w:i/>
          <w:sz w:val="24"/>
        </w:rPr>
        <w:t>Central</w:t>
      </w:r>
      <w:proofErr w:type="spellEnd"/>
      <w:r w:rsidRPr="00900F97">
        <w:rPr>
          <w:rStyle w:val="Odkazjemn"/>
          <w:i/>
          <w:sz w:val="24"/>
        </w:rPr>
        <w:t xml:space="preserve"> Bank.: </w:t>
      </w:r>
      <w:proofErr w:type="spellStart"/>
      <w:r w:rsidRPr="00900F97">
        <w:rPr>
          <w:rStyle w:val="Odkazjemn"/>
          <w:i/>
          <w:sz w:val="24"/>
        </w:rPr>
        <w:t>The</w:t>
      </w:r>
      <w:proofErr w:type="spellEnd"/>
      <w:r w:rsidRPr="00900F97">
        <w:rPr>
          <w:rStyle w:val="Odkazjemn"/>
          <w:i/>
          <w:sz w:val="24"/>
        </w:rPr>
        <w:t xml:space="preserve"> Euro </w:t>
      </w:r>
      <w:proofErr w:type="spellStart"/>
      <w:r w:rsidRPr="00900F97">
        <w:rPr>
          <w:rStyle w:val="Odkazjemn"/>
          <w:i/>
          <w:sz w:val="24"/>
        </w:rPr>
        <w:t>at</w:t>
      </w:r>
      <w:proofErr w:type="spellEnd"/>
      <w:r w:rsidRPr="00900F97">
        <w:rPr>
          <w:rStyle w:val="Odkazjemn"/>
          <w:i/>
          <w:sz w:val="24"/>
        </w:rPr>
        <w:t xml:space="preserve"> </w:t>
      </w:r>
      <w:proofErr w:type="spellStart"/>
      <w:r w:rsidRPr="00900F97">
        <w:rPr>
          <w:rStyle w:val="Odkazjemn"/>
          <w:i/>
          <w:sz w:val="24"/>
        </w:rPr>
        <w:t>teen</w:t>
      </w:r>
      <w:proofErr w:type="spellEnd"/>
      <w:r w:rsidRPr="00900F97">
        <w:rPr>
          <w:rStyle w:val="Odkazjemn"/>
          <w:i/>
          <w:sz w:val="24"/>
        </w:rPr>
        <w:t xml:space="preserve"> </w:t>
      </w:r>
      <w:proofErr w:type="spellStart"/>
      <w:r w:rsidRPr="00900F97">
        <w:rPr>
          <w:rStyle w:val="Odkazjemn"/>
          <w:i/>
          <w:sz w:val="24"/>
        </w:rPr>
        <w:t>lesson</w:t>
      </w:r>
      <w:proofErr w:type="spellEnd"/>
      <w:r w:rsidRPr="00900F97">
        <w:rPr>
          <w:rStyle w:val="Odkazjemn"/>
          <w:i/>
          <w:sz w:val="24"/>
        </w:rPr>
        <w:t xml:space="preserve"> </w:t>
      </w:r>
      <w:proofErr w:type="spellStart"/>
      <w:r w:rsidRPr="00900F97">
        <w:rPr>
          <w:rStyle w:val="Odkazjemn"/>
          <w:i/>
          <w:sz w:val="24"/>
        </w:rPr>
        <w:t>and</w:t>
      </w:r>
      <w:proofErr w:type="spellEnd"/>
      <w:r w:rsidRPr="00900F97">
        <w:rPr>
          <w:rStyle w:val="Odkazjemn"/>
          <w:i/>
          <w:sz w:val="24"/>
        </w:rPr>
        <w:t xml:space="preserve"> </w:t>
      </w:r>
      <w:proofErr w:type="spellStart"/>
      <w:r w:rsidRPr="00900F97">
        <w:rPr>
          <w:rStyle w:val="Odkazjemn"/>
          <w:i/>
          <w:sz w:val="24"/>
        </w:rPr>
        <w:t>chalenges</w:t>
      </w:r>
      <w:proofErr w:type="spellEnd"/>
      <w:r w:rsidRPr="00C2230D">
        <w:rPr>
          <w:rStyle w:val="Odkazjemn"/>
          <w:sz w:val="24"/>
        </w:rPr>
        <w:t xml:space="preserve"> </w:t>
      </w:r>
      <w:r w:rsidRPr="00C2230D">
        <w:rPr>
          <w:rStyle w:val="Odkazjemn"/>
          <w:sz w:val="24"/>
          <w:lang w:val="en-US"/>
        </w:rPr>
        <w:t>[</w:t>
      </w:r>
      <w:r w:rsidRPr="00C2230D">
        <w:rPr>
          <w:rStyle w:val="Odkazjemn"/>
          <w:sz w:val="24"/>
        </w:rPr>
        <w:t>on-line</w:t>
      </w:r>
      <w:r w:rsidRPr="00C2230D">
        <w:rPr>
          <w:rStyle w:val="Odkazjemn"/>
          <w:sz w:val="24"/>
        </w:rPr>
        <w:sym w:font="Symbol" w:char="F05D"/>
      </w:r>
      <w:r w:rsidRPr="00C2230D">
        <w:rPr>
          <w:rStyle w:val="Odkazjemn"/>
          <w:sz w:val="24"/>
        </w:rPr>
        <w:t>, 2010,</w:t>
      </w:r>
      <w:r>
        <w:rPr>
          <w:rStyle w:val="Odkazjemn"/>
          <w:sz w:val="24"/>
        </w:rPr>
        <w:t xml:space="preserve">     [</w:t>
      </w:r>
      <w:proofErr w:type="gramStart"/>
      <w:r>
        <w:rPr>
          <w:rStyle w:val="Odkazjemn"/>
          <w:sz w:val="24"/>
        </w:rPr>
        <w:t>cit</w:t>
      </w:r>
      <w:proofErr w:type="gramEnd"/>
      <w:r>
        <w:rPr>
          <w:rStyle w:val="Odkazjemn"/>
          <w:sz w:val="24"/>
        </w:rPr>
        <w:t>.</w:t>
      </w:r>
      <w:proofErr w:type="gramStart"/>
      <w:r>
        <w:rPr>
          <w:rStyle w:val="Odkazjemn"/>
          <w:sz w:val="24"/>
        </w:rPr>
        <w:t>2008</w:t>
      </w:r>
      <w:proofErr w:type="gramEnd"/>
      <w:r>
        <w:rPr>
          <w:rStyle w:val="Odkazjemn"/>
          <w:sz w:val="24"/>
        </w:rPr>
        <w:t xml:space="preserve">-02-08].                                                                </w:t>
      </w:r>
      <w:r>
        <w:rPr>
          <w:rStyle w:val="Odkazjemn"/>
          <w:sz w:val="24"/>
        </w:rPr>
        <w:tab/>
      </w:r>
      <w:r>
        <w:rPr>
          <w:rStyle w:val="Odkazjemn"/>
          <w:sz w:val="24"/>
        </w:rPr>
        <w:tab/>
      </w:r>
      <w:r>
        <w:rPr>
          <w:rStyle w:val="Odkazjemn"/>
          <w:sz w:val="24"/>
        </w:rPr>
        <w:tab/>
        <w:t xml:space="preserve">  </w:t>
      </w:r>
      <w:r w:rsidRPr="005D3D4F">
        <w:rPr>
          <w:rStyle w:val="Odkazjemn"/>
          <w:sz w:val="24"/>
        </w:rPr>
        <w:t xml:space="preserve">Dostupné z WWW: </w:t>
      </w:r>
      <w:r w:rsidRPr="00B93B74">
        <w:t>http://www.ecb.int /</w:t>
      </w:r>
      <w:proofErr w:type="spellStart"/>
      <w:r w:rsidRPr="00B93B74">
        <w:t>pub</w:t>
      </w:r>
      <w:proofErr w:type="spellEnd"/>
      <w:r w:rsidRPr="00B93B74">
        <w:t xml:space="preserve">/ </w:t>
      </w:r>
      <w:proofErr w:type="spellStart"/>
      <w:r w:rsidRPr="00B93B74">
        <w:t>pdf</w:t>
      </w:r>
      <w:proofErr w:type="spellEnd"/>
      <w:r w:rsidRPr="00B93B74">
        <w:t xml:space="preserve"> /</w:t>
      </w:r>
      <w:proofErr w:type="spellStart"/>
      <w:r w:rsidRPr="00B93B74">
        <w:t>other</w:t>
      </w:r>
      <w:proofErr w:type="spellEnd"/>
      <w:r w:rsidRPr="00B93B74">
        <w:t xml:space="preserve">/ </w:t>
      </w:r>
      <w:proofErr w:type="spellStart"/>
      <w:r w:rsidRPr="00B93B74">
        <w:t>euroattenen2009en</w:t>
      </w:r>
      <w:proofErr w:type="spellEnd"/>
      <w:r w:rsidRPr="00B93B74">
        <w:t xml:space="preserve"> </w:t>
      </w:r>
      <w:proofErr w:type="spellStart"/>
      <w:r w:rsidRPr="00B93B74">
        <w:t>pdf</w:t>
      </w:r>
      <w:proofErr w:type="spellEnd"/>
      <w:r w:rsidRPr="00B93B74">
        <w:t>.</w:t>
      </w:r>
    </w:p>
    <w:p w:rsidR="00FD7B45" w:rsidRPr="00C2230D" w:rsidRDefault="00FD7B45" w:rsidP="00BF1E38">
      <w:pPr>
        <w:pStyle w:val="externalclass9015b86d913f4aeeb124c00a12335c81"/>
        <w:rPr>
          <w:rStyle w:val="Odkazjemn"/>
          <w:sz w:val="24"/>
        </w:rPr>
      </w:pPr>
      <w:proofErr w:type="spellStart"/>
      <w:r w:rsidRPr="00900F97">
        <w:rPr>
          <w:rStyle w:val="Odkazjemn"/>
          <w:i/>
          <w:sz w:val="24"/>
        </w:rPr>
        <w:t>Euroskop</w:t>
      </w:r>
      <w:proofErr w:type="spellEnd"/>
      <w:r w:rsidRPr="00900F97">
        <w:rPr>
          <w:rStyle w:val="Odkazjemn"/>
          <w:i/>
          <w:sz w:val="24"/>
        </w:rPr>
        <w:t>: Měnová unie pro a proti</w:t>
      </w:r>
      <w:r w:rsidRPr="00C2230D">
        <w:rPr>
          <w:rStyle w:val="Odkazjemn"/>
          <w:sz w:val="24"/>
        </w:rPr>
        <w:t xml:space="preserve"> [online], 2010, [</w:t>
      </w:r>
      <w:proofErr w:type="gramStart"/>
      <w:r w:rsidRPr="00C2230D">
        <w:rPr>
          <w:rStyle w:val="Odkazjemn"/>
          <w:sz w:val="24"/>
        </w:rPr>
        <w:t>cit</w:t>
      </w:r>
      <w:proofErr w:type="gramEnd"/>
      <w:r w:rsidRPr="00C2230D">
        <w:rPr>
          <w:rStyle w:val="Odkazjemn"/>
          <w:sz w:val="24"/>
        </w:rPr>
        <w:t>.</w:t>
      </w:r>
      <w:proofErr w:type="gramStart"/>
      <w:r w:rsidRPr="00C2230D">
        <w:rPr>
          <w:rStyle w:val="Odkazjemn"/>
          <w:sz w:val="24"/>
        </w:rPr>
        <w:t>2010</w:t>
      </w:r>
      <w:proofErr w:type="gramEnd"/>
      <w:r w:rsidRPr="00C2230D">
        <w:rPr>
          <w:rStyle w:val="Odkazjemn"/>
          <w:sz w:val="24"/>
        </w:rPr>
        <w:t>-02-17]. Dostupné z</w:t>
      </w:r>
      <w:r>
        <w:rPr>
          <w:rStyle w:val="Odkazjemn"/>
          <w:sz w:val="24"/>
        </w:rPr>
        <w:t> WWW:&lt;</w:t>
      </w:r>
      <w:r w:rsidRPr="00C2230D">
        <w:rPr>
          <w:rStyle w:val="Odkazjemn"/>
          <w:sz w:val="24"/>
        </w:rPr>
        <w:t>http://www.euroskop.cz/323/sekce/menova-unie_pro-a-proti/&gt;</w:t>
      </w:r>
    </w:p>
    <w:p w:rsidR="00FD7B45" w:rsidRPr="00B93B74" w:rsidRDefault="00FD7B45" w:rsidP="00BF1E38">
      <w:pPr>
        <w:pStyle w:val="externalclass9015b86d913f4aeeb124c00a12335c81"/>
        <w:rPr>
          <w:rStyle w:val="Odkazjemn"/>
          <w:sz w:val="24"/>
        </w:rPr>
      </w:pPr>
      <w:r w:rsidRPr="00900F97">
        <w:rPr>
          <w:rStyle w:val="Odkazjemn"/>
          <w:i/>
          <w:sz w:val="24"/>
        </w:rPr>
        <w:t>Statistický Národní úřad</w:t>
      </w:r>
      <w:r w:rsidRPr="00B93B74">
        <w:rPr>
          <w:rStyle w:val="Odkazjemn"/>
          <w:sz w:val="24"/>
        </w:rPr>
        <w:t xml:space="preserve"> </w:t>
      </w:r>
      <w:r w:rsidRPr="00B93B74">
        <w:rPr>
          <w:rStyle w:val="Odkazjemn"/>
          <w:sz w:val="24"/>
          <w:lang w:val="en-US"/>
        </w:rPr>
        <w:t xml:space="preserve">[online], </w:t>
      </w:r>
      <w:proofErr w:type="spellStart"/>
      <w:r w:rsidRPr="00B93B74">
        <w:rPr>
          <w:rStyle w:val="Odkazjemn"/>
          <w:sz w:val="24"/>
          <w:lang w:val="en-US"/>
        </w:rPr>
        <w:t>Národní</w:t>
      </w:r>
      <w:proofErr w:type="spellEnd"/>
      <w:r w:rsidRPr="00B93B74">
        <w:rPr>
          <w:rStyle w:val="Odkazjemn"/>
          <w:sz w:val="24"/>
          <w:lang w:val="en-US"/>
        </w:rPr>
        <w:t xml:space="preserve"> </w:t>
      </w:r>
      <w:proofErr w:type="spellStart"/>
      <w:r w:rsidRPr="00B93B74">
        <w:rPr>
          <w:rStyle w:val="Odkazjemn"/>
          <w:sz w:val="24"/>
          <w:lang w:val="en-US"/>
        </w:rPr>
        <w:t>účty</w:t>
      </w:r>
      <w:proofErr w:type="spellEnd"/>
      <w:r w:rsidRPr="00B93B74">
        <w:rPr>
          <w:rStyle w:val="Odkazjemn"/>
          <w:sz w:val="24"/>
          <w:lang w:val="en-US"/>
        </w:rPr>
        <w:t xml:space="preserve">, 2010, [cit. </w:t>
      </w:r>
      <w:proofErr w:type="gramStart"/>
      <w:r w:rsidRPr="00B93B74">
        <w:rPr>
          <w:rStyle w:val="Odkazjemn"/>
          <w:sz w:val="24"/>
          <w:lang w:val="en-US"/>
        </w:rPr>
        <w:t>2010-10</w:t>
      </w:r>
      <w:proofErr w:type="gramEnd"/>
      <w:r w:rsidRPr="00B93B74">
        <w:rPr>
          <w:rStyle w:val="Odkazjemn"/>
          <w:sz w:val="24"/>
          <w:lang w:val="en-US"/>
        </w:rPr>
        <w:t xml:space="preserve">-30]. </w:t>
      </w:r>
      <w:proofErr w:type="spellStart"/>
      <w:r w:rsidRPr="001B6BEE">
        <w:rPr>
          <w:rStyle w:val="Odkazjemn"/>
          <w:sz w:val="24"/>
          <w:lang w:val="de-DE"/>
        </w:rPr>
        <w:t>Dostupn</w:t>
      </w:r>
      <w:proofErr w:type="spellEnd"/>
      <w:r w:rsidRPr="00B93B74">
        <w:rPr>
          <w:rStyle w:val="Odkazjemn"/>
          <w:sz w:val="24"/>
        </w:rPr>
        <w:t>ý z</w:t>
      </w:r>
      <w:r>
        <w:rPr>
          <w:rStyle w:val="Odkazjemn"/>
          <w:sz w:val="24"/>
        </w:rPr>
        <w:t> WWW:</w:t>
      </w:r>
      <w:r w:rsidRPr="00B93B74">
        <w:rPr>
          <w:rStyle w:val="Odkazjemn"/>
          <w:sz w:val="24"/>
        </w:rPr>
        <w:t>&lt;http</w:t>
      </w:r>
      <w:r w:rsidRPr="001B6BEE">
        <w:rPr>
          <w:rStyle w:val="Odkazjemn"/>
          <w:sz w:val="24"/>
          <w:lang w:val="de-DE"/>
        </w:rPr>
        <w:t>//www.stat.si-pxeb-Database-Ekonomsko-Ekonomsko.asp&gt;</w:t>
      </w:r>
    </w:p>
    <w:p w:rsidR="00FD7B45" w:rsidRPr="00C2230D" w:rsidRDefault="00FD7B45" w:rsidP="00BF1E38">
      <w:pPr>
        <w:pStyle w:val="externalclass9015b86d913f4aeeb124c00a12335c81"/>
        <w:rPr>
          <w:rStyle w:val="Odkazjemn"/>
          <w:sz w:val="24"/>
        </w:rPr>
      </w:pPr>
      <w:r w:rsidRPr="00900F97">
        <w:rPr>
          <w:rStyle w:val="Odkazjemn"/>
          <w:i/>
          <w:sz w:val="24"/>
        </w:rPr>
        <w:t>Statistický Národní úřad</w:t>
      </w:r>
      <w:r w:rsidRPr="00B93B74">
        <w:rPr>
          <w:rStyle w:val="Odkazjemn"/>
          <w:sz w:val="24"/>
        </w:rPr>
        <w:t xml:space="preserve"> </w:t>
      </w:r>
      <w:r w:rsidRPr="00B93B74">
        <w:rPr>
          <w:rStyle w:val="Odkazjemn"/>
          <w:sz w:val="24"/>
          <w:lang w:val="en-US"/>
        </w:rPr>
        <w:t xml:space="preserve">[online], </w:t>
      </w:r>
      <w:proofErr w:type="spellStart"/>
      <w:r w:rsidRPr="00B93B74">
        <w:rPr>
          <w:rStyle w:val="Odkazjemn"/>
          <w:sz w:val="24"/>
          <w:lang w:val="en-US"/>
        </w:rPr>
        <w:t>Národní</w:t>
      </w:r>
      <w:proofErr w:type="spellEnd"/>
      <w:r w:rsidRPr="00B93B74">
        <w:rPr>
          <w:rStyle w:val="Odkazjemn"/>
          <w:sz w:val="24"/>
          <w:lang w:val="en-US"/>
        </w:rPr>
        <w:t xml:space="preserve"> </w:t>
      </w:r>
      <w:proofErr w:type="spellStart"/>
      <w:r w:rsidRPr="00B93B74">
        <w:rPr>
          <w:rStyle w:val="Odkazjemn"/>
          <w:sz w:val="24"/>
          <w:lang w:val="en-US"/>
        </w:rPr>
        <w:t>účty</w:t>
      </w:r>
      <w:proofErr w:type="spellEnd"/>
      <w:r w:rsidRPr="00B93B74">
        <w:rPr>
          <w:rStyle w:val="Odkazjemn"/>
          <w:sz w:val="24"/>
          <w:lang w:val="en-US"/>
        </w:rPr>
        <w:t>,</w:t>
      </w:r>
      <w:r w:rsidRPr="00C2230D">
        <w:rPr>
          <w:rStyle w:val="Odkazjemn"/>
          <w:sz w:val="24"/>
        </w:rPr>
        <w:t xml:space="preserve"> [online] Reporting </w:t>
      </w:r>
      <w:proofErr w:type="spellStart"/>
      <w:r w:rsidRPr="00C2230D">
        <w:rPr>
          <w:rStyle w:val="Odkazjemn"/>
          <w:sz w:val="24"/>
        </w:rPr>
        <w:t>of</w:t>
      </w:r>
      <w:proofErr w:type="spellEnd"/>
      <w:r w:rsidRPr="00C2230D">
        <w:rPr>
          <w:rStyle w:val="Odkazjemn"/>
          <w:sz w:val="24"/>
        </w:rPr>
        <w:t xml:space="preserve"> </w:t>
      </w:r>
      <w:proofErr w:type="spellStart"/>
      <w:r w:rsidRPr="00C2230D">
        <w:rPr>
          <w:rStyle w:val="Odkazjemn"/>
          <w:sz w:val="24"/>
        </w:rPr>
        <w:t>Government</w:t>
      </w:r>
      <w:proofErr w:type="spellEnd"/>
      <w:r w:rsidRPr="00C2230D">
        <w:rPr>
          <w:rStyle w:val="Odkazjemn"/>
          <w:sz w:val="24"/>
        </w:rPr>
        <w:t xml:space="preserve"> deficit </w:t>
      </w:r>
      <w:proofErr w:type="spellStart"/>
      <w:r w:rsidRPr="00C2230D">
        <w:rPr>
          <w:rStyle w:val="Odkazjemn"/>
          <w:sz w:val="24"/>
        </w:rPr>
        <w:t>and</w:t>
      </w:r>
      <w:proofErr w:type="spellEnd"/>
      <w:r w:rsidRPr="00C2230D">
        <w:rPr>
          <w:rStyle w:val="Odkazjemn"/>
          <w:sz w:val="24"/>
        </w:rPr>
        <w:t xml:space="preserve"> </w:t>
      </w:r>
      <w:proofErr w:type="spellStart"/>
      <w:r w:rsidRPr="00C2230D">
        <w:rPr>
          <w:rStyle w:val="Odkazjemn"/>
          <w:sz w:val="24"/>
        </w:rPr>
        <w:t>debt</w:t>
      </w:r>
      <w:proofErr w:type="spellEnd"/>
      <w:r w:rsidRPr="00C2230D">
        <w:rPr>
          <w:rStyle w:val="Odkazjemn"/>
          <w:sz w:val="24"/>
        </w:rPr>
        <w:t xml:space="preserve"> </w:t>
      </w:r>
      <w:proofErr w:type="spellStart"/>
      <w:r w:rsidRPr="00C2230D">
        <w:rPr>
          <w:rStyle w:val="Odkazjemn"/>
          <w:sz w:val="24"/>
        </w:rPr>
        <w:t>levels</w:t>
      </w:r>
      <w:proofErr w:type="spellEnd"/>
      <w:r w:rsidRPr="00C2230D">
        <w:rPr>
          <w:rStyle w:val="Odkazjemn"/>
          <w:sz w:val="24"/>
        </w:rPr>
        <w:t xml:space="preserve">, </w:t>
      </w:r>
      <w:proofErr w:type="gramStart"/>
      <w:r w:rsidRPr="00C2230D">
        <w:rPr>
          <w:rStyle w:val="Odkazjemn"/>
          <w:sz w:val="24"/>
        </w:rPr>
        <w:t>2001-2005</w:t>
      </w:r>
      <w:proofErr w:type="gramEnd"/>
      <w:r w:rsidRPr="00C2230D">
        <w:rPr>
          <w:rStyle w:val="Odkazjemn"/>
          <w:sz w:val="24"/>
        </w:rPr>
        <w:t xml:space="preserve"> [cit. </w:t>
      </w:r>
      <w:proofErr w:type="gramStart"/>
      <w:r w:rsidRPr="00C2230D">
        <w:rPr>
          <w:rStyle w:val="Odkazjemn"/>
          <w:sz w:val="24"/>
        </w:rPr>
        <w:t>1.8.2010</w:t>
      </w:r>
      <w:proofErr w:type="gramEnd"/>
      <w:r w:rsidRPr="00C2230D">
        <w:rPr>
          <w:rStyle w:val="Odkazjemn"/>
          <w:sz w:val="24"/>
        </w:rPr>
        <w:t>]</w:t>
      </w:r>
      <w:r>
        <w:rPr>
          <w:rStyle w:val="Odkazjemn"/>
          <w:sz w:val="24"/>
        </w:rPr>
        <w:t>.</w:t>
      </w:r>
      <w:r w:rsidRPr="00C2230D">
        <w:rPr>
          <w:rStyle w:val="Odkazjemn"/>
          <w:sz w:val="24"/>
        </w:rPr>
        <w:t xml:space="preserve"> </w:t>
      </w:r>
      <w:r>
        <w:rPr>
          <w:rStyle w:val="Odkazjemn"/>
          <w:sz w:val="24"/>
        </w:rPr>
        <w:t>D</w:t>
      </w:r>
      <w:r w:rsidRPr="00C2230D">
        <w:rPr>
          <w:rStyle w:val="Odkazjemn"/>
          <w:sz w:val="24"/>
        </w:rPr>
        <w:t>ostupn</w:t>
      </w:r>
      <w:r>
        <w:rPr>
          <w:rStyle w:val="Odkazjemn"/>
          <w:sz w:val="24"/>
        </w:rPr>
        <w:t>é</w:t>
      </w:r>
      <w:r w:rsidRPr="00C2230D">
        <w:rPr>
          <w:rStyle w:val="Odkazjemn"/>
          <w:sz w:val="24"/>
        </w:rPr>
        <w:t xml:space="preserve"> z</w:t>
      </w:r>
      <w:r>
        <w:rPr>
          <w:rStyle w:val="Odkazjemn"/>
          <w:sz w:val="24"/>
        </w:rPr>
        <w:t xml:space="preserve"> WWW: </w:t>
      </w:r>
      <w:r w:rsidRPr="00C2230D">
        <w:rPr>
          <w:rStyle w:val="Odkazjemn"/>
          <w:sz w:val="24"/>
        </w:rPr>
        <w:t>&lt;</w:t>
      </w:r>
      <w:hyperlink r:id="rId36" w:history="1">
        <w:r w:rsidRPr="00C2230D">
          <w:rPr>
            <w:rStyle w:val="Odkazjemn"/>
            <w:sz w:val="24"/>
          </w:rPr>
          <w:t>http://www.stat.si/eng/novice_poglej.asp?ID=469</w:t>
        </w:r>
      </w:hyperlink>
      <w:r w:rsidRPr="00C2230D">
        <w:rPr>
          <w:rStyle w:val="Odkazjemn"/>
          <w:sz w:val="24"/>
        </w:rPr>
        <w:t>&gt;</w:t>
      </w:r>
    </w:p>
    <w:p w:rsidR="00FD7B45" w:rsidRDefault="00FD7B45" w:rsidP="00BF1E38">
      <w:pPr>
        <w:pStyle w:val="externalclass9015b86d913f4aeeb124c00a12335c81"/>
      </w:pPr>
      <w:r w:rsidRPr="00900F97">
        <w:rPr>
          <w:i/>
        </w:rPr>
        <w:t>Zavádění eura v České republice</w:t>
      </w:r>
      <w:r>
        <w:t xml:space="preserve"> </w:t>
      </w:r>
      <w:r w:rsidRPr="00C2230D">
        <w:rPr>
          <w:lang w:val="en-US"/>
        </w:rPr>
        <w:t>[online],</w:t>
      </w:r>
      <w:r>
        <w:rPr>
          <w:lang w:val="en-US"/>
        </w:rPr>
        <w:t xml:space="preserve"> </w:t>
      </w:r>
      <w:r w:rsidRPr="00C2230D">
        <w:rPr>
          <w:lang w:val="en-US"/>
        </w:rPr>
        <w:t>Eurozóna,</w:t>
      </w:r>
      <w:r w:rsidRPr="00C2230D">
        <w:t xml:space="preserve"> 2009,[</w:t>
      </w:r>
      <w:proofErr w:type="gramStart"/>
      <w:r w:rsidRPr="00C2230D">
        <w:t>cit</w:t>
      </w:r>
      <w:proofErr w:type="gramEnd"/>
      <w:r w:rsidRPr="00C2230D">
        <w:t>.</w:t>
      </w:r>
      <w:proofErr w:type="gramStart"/>
      <w:r w:rsidRPr="00C2230D">
        <w:t>2009</w:t>
      </w:r>
      <w:proofErr w:type="gramEnd"/>
      <w:r w:rsidRPr="00C2230D">
        <w:t>-11-30</w:t>
      </w:r>
      <w:r w:rsidRPr="00C2230D">
        <w:rPr>
          <w:lang w:val="en-US"/>
        </w:rPr>
        <w:t xml:space="preserve">]. </w:t>
      </w:r>
      <w:proofErr w:type="spellStart"/>
      <w:r w:rsidRPr="001B6BEE">
        <w:rPr>
          <w:lang w:val="de-DE"/>
        </w:rPr>
        <w:t>Dostupn</w:t>
      </w:r>
      <w:proofErr w:type="spellEnd"/>
      <w:r>
        <w:t>é z WWW:</w:t>
      </w:r>
      <w:r w:rsidRPr="00C2230D">
        <w:t> </w:t>
      </w:r>
      <w:r w:rsidRPr="00BD0E1B">
        <w:t>http://www.zavedenieura.cz/cps/rde/xchg/euro/xsl/euro_eurozona.htm</w:t>
      </w:r>
    </w:p>
    <w:p w:rsidR="00FD7B45" w:rsidRPr="005D3D4F" w:rsidRDefault="00FD7B45" w:rsidP="00BF1E38">
      <w:pPr>
        <w:pStyle w:val="externalclass9015b86d913f4aeeb124c00a12335c81"/>
        <w:rPr>
          <w:rStyle w:val="Odkazjemn"/>
          <w:sz w:val="24"/>
        </w:rPr>
      </w:pPr>
      <w:r w:rsidRPr="00900F97">
        <w:rPr>
          <w:i/>
        </w:rPr>
        <w:t>Zavádění eura v České republice</w:t>
      </w:r>
      <w:r>
        <w:t xml:space="preserve"> </w:t>
      </w:r>
      <w:r w:rsidRPr="001B6BEE">
        <w:t>[online], Podmínky přijetí,</w:t>
      </w:r>
      <w:r w:rsidRPr="00C2230D">
        <w:t xml:space="preserve"> 2009,</w:t>
      </w:r>
      <w:r>
        <w:t xml:space="preserve"> </w:t>
      </w:r>
      <w:r w:rsidRPr="00C2230D">
        <w:t>[</w:t>
      </w:r>
      <w:proofErr w:type="gramStart"/>
      <w:r w:rsidRPr="00C2230D">
        <w:t>cit</w:t>
      </w:r>
      <w:proofErr w:type="gramEnd"/>
      <w:r w:rsidRPr="00C2230D">
        <w:t>.</w:t>
      </w:r>
      <w:proofErr w:type="gramStart"/>
      <w:r w:rsidRPr="00C2230D">
        <w:t>2009</w:t>
      </w:r>
      <w:proofErr w:type="gramEnd"/>
      <w:r w:rsidRPr="00C2230D">
        <w:t>-11-30</w:t>
      </w:r>
      <w:r w:rsidRPr="001B6BEE">
        <w:t>]. Dostupn</w:t>
      </w:r>
      <w:r>
        <w:t>é z WWW:</w:t>
      </w:r>
      <w:r w:rsidRPr="005D3D4F">
        <w:t xml:space="preserve"> </w:t>
      </w:r>
      <w:r w:rsidRPr="00C2230D">
        <w:t> </w:t>
      </w:r>
      <w:r>
        <w:t>&lt;</w:t>
      </w:r>
      <w:r w:rsidRPr="00BD0E1B">
        <w:t>http://www.zavedenieura.cz/cps/rde/xchg/euro/xsl</w:t>
      </w:r>
      <w:r>
        <w:t xml:space="preserve"> </w:t>
      </w:r>
      <w:r w:rsidRPr="00BD0E1B">
        <w:t>/euro_</w:t>
      </w:r>
      <w:proofErr w:type="spellStart"/>
      <w:r>
        <w:t>p</w:t>
      </w:r>
      <w:r w:rsidRPr="00BD0E1B">
        <w:t>odmin</w:t>
      </w:r>
      <w:r>
        <w:t>ky</w:t>
      </w:r>
      <w:proofErr w:type="spellEnd"/>
      <w:r w:rsidRPr="00BD0E1B">
        <w:t>_prijeti.htm</w:t>
      </w:r>
      <w:r>
        <w:t>l&gt;</w:t>
      </w:r>
    </w:p>
    <w:p w:rsidR="00FD7B45" w:rsidRDefault="00FD7B45" w:rsidP="00BF1E38">
      <w:pPr>
        <w:pStyle w:val="externalclass9015b86d913f4aeeb124c00a12335c81"/>
      </w:pPr>
      <w:r w:rsidRPr="00900F97">
        <w:rPr>
          <w:rStyle w:val="Odkazjemn"/>
          <w:i/>
          <w:sz w:val="24"/>
        </w:rPr>
        <w:t>Zavádění eura v České republice</w:t>
      </w:r>
      <w:r w:rsidRPr="005D3D4F">
        <w:rPr>
          <w:rStyle w:val="Odkazjemn"/>
          <w:sz w:val="24"/>
        </w:rPr>
        <w:t xml:space="preserve"> [online], Rozšiřování eurozóny, 2009, </w:t>
      </w:r>
      <w:r>
        <w:rPr>
          <w:rStyle w:val="Odkazjemn"/>
          <w:sz w:val="24"/>
        </w:rPr>
        <w:t xml:space="preserve">                  [</w:t>
      </w:r>
      <w:proofErr w:type="gramStart"/>
      <w:r>
        <w:rPr>
          <w:rStyle w:val="Odkazjemn"/>
          <w:sz w:val="24"/>
        </w:rPr>
        <w:t>cit</w:t>
      </w:r>
      <w:proofErr w:type="gramEnd"/>
      <w:r>
        <w:rPr>
          <w:rStyle w:val="Odkazjemn"/>
          <w:sz w:val="24"/>
        </w:rPr>
        <w:t>.</w:t>
      </w:r>
      <w:proofErr w:type="gramStart"/>
      <w:r w:rsidRPr="005D3D4F">
        <w:rPr>
          <w:rStyle w:val="Odkazjemn"/>
          <w:sz w:val="24"/>
        </w:rPr>
        <w:t>2009</w:t>
      </w:r>
      <w:proofErr w:type="gramEnd"/>
      <w:r w:rsidRPr="005D3D4F">
        <w:rPr>
          <w:rStyle w:val="Odkazjemn"/>
          <w:sz w:val="24"/>
        </w:rPr>
        <w:t xml:space="preserve">-11-30]. </w:t>
      </w:r>
      <w:r>
        <w:rPr>
          <w:rStyle w:val="Odkazjemn"/>
          <w:sz w:val="24"/>
        </w:rPr>
        <w:t xml:space="preserve">                                                       </w:t>
      </w:r>
      <w:r w:rsidRPr="005D3D4F">
        <w:rPr>
          <w:rStyle w:val="Odkazjemn"/>
          <w:sz w:val="24"/>
        </w:rPr>
        <w:t>Dostupné z WWW: &lt;</w:t>
      </w:r>
      <w:r w:rsidRPr="003B308E">
        <w:rPr>
          <w:rStyle w:val="Odkazjemn"/>
          <w:sz w:val="24"/>
        </w:rPr>
        <w:t>http://www.zavedenieura.cz/cps/rde/xchg/euro/xsl/euro_reuro_podmin_prijetieuro_p.html</w:t>
      </w:r>
      <w:r w:rsidRPr="005D3D4F">
        <w:t>&gt;</w:t>
      </w:r>
    </w:p>
    <w:p w:rsidR="00FD7B45" w:rsidRPr="005D3D4F" w:rsidRDefault="00FD7B45" w:rsidP="00BF1E38">
      <w:pPr>
        <w:pStyle w:val="externalclass9015b86d913f4aeeb124c00a12335c81"/>
        <w:numPr>
          <w:ilvl w:val="0"/>
          <w:numId w:val="0"/>
        </w:numPr>
        <w:ind w:left="453"/>
        <w:rPr>
          <w:b/>
        </w:rPr>
      </w:pPr>
      <w:r w:rsidRPr="005D3D4F">
        <w:rPr>
          <w:b/>
        </w:rPr>
        <w:t>Odkazy na bakalářské či diplomové práce</w:t>
      </w:r>
    </w:p>
    <w:p w:rsidR="00FD7B45" w:rsidRPr="005D3D4F" w:rsidRDefault="00FD7B45" w:rsidP="00BF1E38">
      <w:pPr>
        <w:pStyle w:val="externalclass9015b86d913f4aeeb124c00a12335c81"/>
        <w:rPr>
          <w:rStyle w:val="Odkazjemn"/>
          <w:sz w:val="24"/>
        </w:rPr>
      </w:pPr>
      <w:r w:rsidRPr="005D3D4F">
        <w:rPr>
          <w:rStyle w:val="Odkazjemn"/>
          <w:sz w:val="24"/>
        </w:rPr>
        <w:t xml:space="preserve">JAVŮREK, P. </w:t>
      </w:r>
      <w:r w:rsidRPr="005D3D4F">
        <w:rPr>
          <w:rStyle w:val="Odkazjemn"/>
          <w:i/>
          <w:sz w:val="24"/>
        </w:rPr>
        <w:t>Dopady zavedení eura na český bankovní sektor.</w:t>
      </w:r>
      <w:r w:rsidRPr="005D3D4F">
        <w:rPr>
          <w:rStyle w:val="Odkazjemn"/>
          <w:sz w:val="24"/>
        </w:rPr>
        <w:t xml:space="preserve"> 2002. 53 1. [Bakalářská práce]. Brno: Masarykova univerzita v Brně, Pedagogická fakulta, 2002.</w:t>
      </w:r>
    </w:p>
    <w:p w:rsidR="00FD7B45" w:rsidRPr="005D3D4F" w:rsidRDefault="00FD7B45" w:rsidP="00BF1E38">
      <w:pPr>
        <w:pStyle w:val="externalclass9015b86d913f4aeeb124c00a12335c81"/>
        <w:rPr>
          <w:rStyle w:val="Odkazjemn"/>
          <w:sz w:val="24"/>
        </w:rPr>
      </w:pPr>
      <w:r w:rsidRPr="005D3D4F">
        <w:rPr>
          <w:rStyle w:val="Odkazjemn"/>
          <w:sz w:val="24"/>
        </w:rPr>
        <w:t>VODIČKOVÁ,</w:t>
      </w:r>
      <w:r>
        <w:rPr>
          <w:rStyle w:val="Odkazjemn"/>
          <w:sz w:val="24"/>
        </w:rPr>
        <w:t xml:space="preserve"> </w:t>
      </w:r>
      <w:proofErr w:type="spellStart"/>
      <w:r w:rsidRPr="005D3D4F">
        <w:rPr>
          <w:rStyle w:val="Odkazjemn"/>
          <w:sz w:val="24"/>
        </w:rPr>
        <w:t>Š</w:t>
      </w:r>
      <w:proofErr w:type="spellEnd"/>
      <w:r>
        <w:rPr>
          <w:rStyle w:val="Odkazjemn"/>
          <w:sz w:val="24"/>
        </w:rPr>
        <w:t>.</w:t>
      </w:r>
      <w:r w:rsidRPr="005D3D4F">
        <w:rPr>
          <w:rStyle w:val="Odkazjemn"/>
          <w:sz w:val="24"/>
        </w:rPr>
        <w:t xml:space="preserve"> Zavedení </w:t>
      </w:r>
      <w:r w:rsidRPr="005D3D4F">
        <w:rPr>
          <w:rStyle w:val="Odkazjemn"/>
          <w:i/>
          <w:sz w:val="24"/>
        </w:rPr>
        <w:t>eura ve vybrané zemi</w:t>
      </w:r>
      <w:r>
        <w:rPr>
          <w:rStyle w:val="Odkazjemn"/>
          <w:sz w:val="24"/>
        </w:rPr>
        <w:t>.</w:t>
      </w:r>
      <w:r w:rsidRPr="005D3D4F">
        <w:rPr>
          <w:rStyle w:val="Odkazjemn"/>
          <w:sz w:val="24"/>
        </w:rPr>
        <w:t xml:space="preserve"> 2008, [Diplomová práce]. Brno: Masarykov</w:t>
      </w:r>
      <w:r>
        <w:rPr>
          <w:rStyle w:val="Odkazjemn"/>
          <w:sz w:val="24"/>
        </w:rPr>
        <w:t>a univerzita v Brně, Ekonomicko-správní</w:t>
      </w:r>
      <w:r w:rsidRPr="005D3D4F">
        <w:rPr>
          <w:rStyle w:val="Odkazjemn"/>
          <w:sz w:val="24"/>
        </w:rPr>
        <w:t xml:space="preserve"> fakulta, 2008</w:t>
      </w:r>
    </w:p>
    <w:p w:rsidR="00FD7B45" w:rsidRPr="00C2230D" w:rsidRDefault="00FD7B45" w:rsidP="00BF1E38">
      <w:pPr>
        <w:pStyle w:val="externalclass9015b86d913f4aeeb124c00a12335c81"/>
        <w:numPr>
          <w:ilvl w:val="0"/>
          <w:numId w:val="0"/>
        </w:numPr>
        <w:ind w:left="453"/>
      </w:pPr>
    </w:p>
    <w:p w:rsidR="00FD7B45" w:rsidRDefault="00FD7B45" w:rsidP="00BF1E38">
      <w:pPr>
        <w:pStyle w:val="externalclass9015b86d913f4aeeb124c00a12335c81"/>
        <w:numPr>
          <w:ilvl w:val="0"/>
          <w:numId w:val="0"/>
        </w:numPr>
        <w:ind w:left="453"/>
      </w:pPr>
      <w:r>
        <w:t xml:space="preserve"> </w:t>
      </w:r>
    </w:p>
    <w:p w:rsidR="00FD7B45" w:rsidRDefault="00FD7B45" w:rsidP="00BF1E38">
      <w:pPr>
        <w:pStyle w:val="externalclass9015b86d913f4aeeb124c00a12335c81"/>
        <w:numPr>
          <w:ilvl w:val="0"/>
          <w:numId w:val="0"/>
        </w:numPr>
        <w:ind w:left="453"/>
      </w:pPr>
    </w:p>
    <w:p w:rsidR="00FD7B45" w:rsidRPr="00B7218F" w:rsidRDefault="00FD7B45" w:rsidP="00BF1E38"/>
    <w:p w:rsidR="00FD7B45" w:rsidRPr="00B7218F" w:rsidRDefault="00FD7B45" w:rsidP="00BD286A">
      <w:pPr>
        <w:spacing w:line="240" w:lineRule="auto"/>
      </w:pPr>
    </w:p>
    <w:sectPr w:rsidR="00FD7B45" w:rsidRPr="00B7218F" w:rsidSect="003E65DF">
      <w:footerReference w:type="default" r:id="rId37"/>
      <w:pgSz w:w="11906" w:h="16838"/>
      <w:pgMar w:top="1701" w:right="1418" w:bottom="170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7B45" w:rsidRDefault="00FD7B45" w:rsidP="003772DB">
      <w:pPr>
        <w:spacing w:line="240" w:lineRule="auto"/>
      </w:pPr>
      <w:r>
        <w:separator/>
      </w:r>
    </w:p>
  </w:endnote>
  <w:endnote w:type="continuationSeparator" w:id="0">
    <w:p w:rsidR="00FD7B45" w:rsidRDefault="00FD7B45" w:rsidP="003772D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etica">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7B45" w:rsidRDefault="00A02874">
    <w:pPr>
      <w:pStyle w:val="Zpat"/>
      <w:jc w:val="center"/>
    </w:pPr>
    <w:fldSimple w:instr=" PAGE   \* MERGEFORMAT ">
      <w:r w:rsidR="00C046AA">
        <w:rPr>
          <w:noProof/>
        </w:rPr>
        <w:t>17</w:t>
      </w:r>
    </w:fldSimple>
  </w:p>
  <w:p w:rsidR="00FD7B45" w:rsidRDefault="00FD7B45">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7B45" w:rsidRDefault="00FD7B45" w:rsidP="003772DB">
      <w:pPr>
        <w:spacing w:line="240" w:lineRule="auto"/>
      </w:pPr>
      <w:r>
        <w:separator/>
      </w:r>
    </w:p>
  </w:footnote>
  <w:footnote w:type="continuationSeparator" w:id="0">
    <w:p w:rsidR="00FD7B45" w:rsidRDefault="00FD7B45" w:rsidP="003772DB">
      <w:pPr>
        <w:spacing w:line="240" w:lineRule="auto"/>
      </w:pPr>
      <w:r>
        <w:continuationSeparator/>
      </w:r>
    </w:p>
  </w:footnote>
  <w:footnote w:id="1">
    <w:p w:rsidR="00FD7B45" w:rsidRDefault="00FD7B45">
      <w:pPr>
        <w:pStyle w:val="Textpoznpodarou"/>
      </w:pPr>
      <w:r w:rsidRPr="007D39D6">
        <w:rPr>
          <w:rStyle w:val="Odkazjemn"/>
        </w:rPr>
        <w:footnoteRef/>
      </w:r>
      <w:r w:rsidRPr="007D39D6">
        <w:rPr>
          <w:rStyle w:val="Odkazjemn"/>
        </w:rPr>
        <w:t xml:space="preserve"> Zavádění eura v  České republice [online], Eurozóna,</w:t>
      </w:r>
      <w:r>
        <w:rPr>
          <w:rStyle w:val="Odkazjemn"/>
        </w:rPr>
        <w:t xml:space="preserve"> 2009,</w:t>
      </w:r>
      <w:r w:rsidRPr="007D39D6">
        <w:rPr>
          <w:rStyle w:val="Odkazjemn"/>
        </w:rPr>
        <w:t xml:space="preserve"> [</w:t>
      </w:r>
      <w:proofErr w:type="gramStart"/>
      <w:r w:rsidRPr="007D39D6">
        <w:rPr>
          <w:rStyle w:val="Odkazjemn"/>
        </w:rPr>
        <w:t>cit</w:t>
      </w:r>
      <w:proofErr w:type="gramEnd"/>
      <w:r w:rsidRPr="007D39D6">
        <w:rPr>
          <w:rStyle w:val="Odkazjemn"/>
        </w:rPr>
        <w:t>.</w:t>
      </w:r>
      <w:proofErr w:type="gramStart"/>
      <w:r w:rsidRPr="007D39D6">
        <w:rPr>
          <w:rStyle w:val="Odkazjemn"/>
        </w:rPr>
        <w:t>2009</w:t>
      </w:r>
      <w:proofErr w:type="gramEnd"/>
      <w:r w:rsidRPr="007D39D6">
        <w:rPr>
          <w:rStyle w:val="Odkazjemn"/>
        </w:rPr>
        <w:t xml:space="preserve">-11-30]. Dostupný z  </w:t>
      </w:r>
      <w:r>
        <w:rPr>
          <w:rStyle w:val="Odkazjemn"/>
        </w:rPr>
        <w:t>&lt;</w:t>
      </w:r>
      <w:hyperlink r:id="rId1" w:history="1">
        <w:r w:rsidRPr="007D39D6">
          <w:rPr>
            <w:rStyle w:val="Odkazjemn"/>
          </w:rPr>
          <w:t>http://www.zavedenieura.cz/cps/rde/xchg/euro/xsl/euro_eurozona.html</w:t>
        </w:r>
      </w:hyperlink>
      <w:r w:rsidRPr="00363E51">
        <w:rPr>
          <w:sz w:val="18"/>
        </w:rPr>
        <w:t>&gt;</w:t>
      </w:r>
    </w:p>
  </w:footnote>
  <w:footnote w:id="2">
    <w:p w:rsidR="00FD7B45" w:rsidRDefault="00FD7B45" w:rsidP="000B1D07">
      <w:pPr>
        <w:pStyle w:val="Textpoznpodarou"/>
      </w:pPr>
      <w:r w:rsidRPr="00964FA0">
        <w:rPr>
          <w:rStyle w:val="Odkazjemn"/>
        </w:rPr>
        <w:footnoteRef/>
      </w:r>
      <w:r w:rsidRPr="00964FA0">
        <w:rPr>
          <w:rStyle w:val="Odkazjemn"/>
        </w:rPr>
        <w:t xml:space="preserve"> Zavádění eura v České republice [online], Eurozóna, 2009, [cit. </w:t>
      </w:r>
      <w:proofErr w:type="gramStart"/>
      <w:r w:rsidRPr="00964FA0">
        <w:rPr>
          <w:rStyle w:val="Odkazjemn"/>
        </w:rPr>
        <w:t>2009-11</w:t>
      </w:r>
      <w:proofErr w:type="gramEnd"/>
      <w:r w:rsidRPr="00964FA0">
        <w:rPr>
          <w:rStyle w:val="Odkazjemn"/>
        </w:rPr>
        <w:t xml:space="preserve">-30]. Dostupný: </w:t>
      </w:r>
      <w:r>
        <w:rPr>
          <w:rStyle w:val="Odkazjemn"/>
        </w:rPr>
        <w:t>&lt;</w:t>
      </w:r>
      <w:hyperlink r:id="rId2" w:history="1">
        <w:r w:rsidRPr="00964FA0">
          <w:rPr>
            <w:rStyle w:val="Odkazjemn"/>
          </w:rPr>
          <w:t>http://www.zavedenieura.cz/cps/rde/xchg/euro/xsl/euro_eurozona.html</w:t>
        </w:r>
      </w:hyperlink>
      <w:r>
        <w:rPr>
          <w:rStyle w:val="Odkazjemn"/>
        </w:rPr>
        <w:t>&gt;</w:t>
      </w:r>
    </w:p>
  </w:footnote>
  <w:footnote w:id="3">
    <w:p w:rsidR="00FD7B45" w:rsidRDefault="00FD7B45" w:rsidP="000B1D07">
      <w:pPr>
        <w:pStyle w:val="Textpoznpodarou"/>
      </w:pPr>
      <w:r w:rsidRPr="00964FA0">
        <w:rPr>
          <w:rStyle w:val="Odkazjemn"/>
        </w:rPr>
        <w:footnoteRef/>
      </w:r>
      <w:r>
        <w:rPr>
          <w:rStyle w:val="Odkazjemn"/>
        </w:rPr>
        <w:t xml:space="preserve"> </w:t>
      </w:r>
      <w:r w:rsidRPr="00964FA0">
        <w:rPr>
          <w:rStyle w:val="Odkazjemn"/>
        </w:rPr>
        <w:t xml:space="preserve">Zavádění eura v České republice [online], Rozšiřování eurozóny, 2009, [cit. </w:t>
      </w:r>
      <w:proofErr w:type="gramStart"/>
      <w:r w:rsidRPr="00964FA0">
        <w:rPr>
          <w:rStyle w:val="Odkazjemn"/>
        </w:rPr>
        <w:t>2009-11</w:t>
      </w:r>
      <w:proofErr w:type="gramEnd"/>
      <w:r w:rsidRPr="00964FA0">
        <w:rPr>
          <w:rStyle w:val="Odkazjemn"/>
        </w:rPr>
        <w:t>-30]. Dostupný z </w:t>
      </w:r>
      <w:r>
        <w:rPr>
          <w:rStyle w:val="Odkazjemn"/>
        </w:rPr>
        <w:t>&lt;</w:t>
      </w:r>
      <w:hyperlink r:id="rId3" w:history="1">
        <w:r w:rsidRPr="00964FA0">
          <w:rPr>
            <w:rStyle w:val="Odkazjemn"/>
          </w:rPr>
          <w:t>http://www.zavedenieura.cz/cps/rde/xchg/euro/xsl/euro_rozsir_eurozony.html</w:t>
        </w:r>
      </w:hyperlink>
      <w:r>
        <w:rPr>
          <w:rStyle w:val="Odkazjemn"/>
        </w:rPr>
        <w:t>&gt;</w:t>
      </w:r>
    </w:p>
  </w:footnote>
  <w:footnote w:id="4">
    <w:p w:rsidR="00FD7B45" w:rsidRDefault="00FD7B45" w:rsidP="001F442E">
      <w:pPr>
        <w:pStyle w:val="Textpoznpodarou"/>
      </w:pPr>
      <w:r w:rsidRPr="00B463C6">
        <w:rPr>
          <w:rStyle w:val="Odkazjemn"/>
        </w:rPr>
        <w:footnoteRef/>
      </w:r>
      <w:r w:rsidRPr="00B463C6">
        <w:rPr>
          <w:rStyle w:val="Odkazjemn"/>
        </w:rPr>
        <w:t xml:space="preserve"> Zavádění eura v České republice [online], Rozšiřování eurozóny, 2009, [cit. </w:t>
      </w:r>
      <w:proofErr w:type="gramStart"/>
      <w:r w:rsidRPr="00B463C6">
        <w:rPr>
          <w:rStyle w:val="Odkazjemn"/>
        </w:rPr>
        <w:t>2009-11</w:t>
      </w:r>
      <w:proofErr w:type="gramEnd"/>
      <w:r w:rsidRPr="00B463C6">
        <w:rPr>
          <w:rStyle w:val="Odkazjemn"/>
        </w:rPr>
        <w:t>-30]. Dostupný z &lt;</w:t>
      </w:r>
      <w:hyperlink r:id="rId4" w:history="1">
        <w:r w:rsidRPr="00B463C6">
          <w:rPr>
            <w:rStyle w:val="Odkazjemn"/>
          </w:rPr>
          <w:t>http://www.zavedenieura.cz/cps/rde/xchg/euro/xsl/euro_rozsir_eurozony.html</w:t>
        </w:r>
      </w:hyperlink>
      <w:r w:rsidRPr="00B463C6">
        <w:rPr>
          <w:rStyle w:val="Odkazjemn"/>
        </w:rPr>
        <w:t>&gt;</w:t>
      </w:r>
    </w:p>
  </w:footnote>
  <w:footnote w:id="5">
    <w:p w:rsidR="00FD7B45" w:rsidRDefault="00FD7B45" w:rsidP="00363E51">
      <w:r w:rsidRPr="00363E51">
        <w:rPr>
          <w:rStyle w:val="Odkazjemn"/>
        </w:rPr>
        <w:footnoteRef/>
      </w:r>
      <w:r w:rsidRPr="00363E51">
        <w:rPr>
          <w:rStyle w:val="Odkazjemn"/>
        </w:rPr>
        <w:t xml:space="preserve"> Zavádění eura v České republice [online], Podmínky přijetí, 2009, [cit. </w:t>
      </w:r>
      <w:proofErr w:type="gramStart"/>
      <w:r w:rsidRPr="00363E51">
        <w:rPr>
          <w:rStyle w:val="Odkazjemn"/>
        </w:rPr>
        <w:t>2009-11</w:t>
      </w:r>
      <w:proofErr w:type="gramEnd"/>
      <w:r w:rsidRPr="00363E51">
        <w:rPr>
          <w:rStyle w:val="Odkazjemn"/>
        </w:rPr>
        <w:t>-30]. Dostupný z  &lt;</w:t>
      </w:r>
      <w:hyperlink r:id="rId5" w:history="1">
        <w:r w:rsidRPr="00363E51">
          <w:rPr>
            <w:rStyle w:val="Odkazjemn"/>
          </w:rPr>
          <w:t>http://www.zavedenieura.cz/cps/rde/xchg/euro/xsl/euro_podmin_prijeti.html</w:t>
        </w:r>
      </w:hyperlink>
      <w:r w:rsidRPr="00363E51">
        <w:rPr>
          <w:rStyle w:val="Odkazjemn"/>
        </w:rPr>
        <w:t>&gt;</w:t>
      </w:r>
    </w:p>
  </w:footnote>
  <w:footnote w:id="6">
    <w:p w:rsidR="00FD7B45" w:rsidRDefault="00FD7B45" w:rsidP="001A7ECB">
      <w:pPr>
        <w:pStyle w:val="Textpoznpodarou"/>
      </w:pPr>
      <w:r w:rsidRPr="00363E51">
        <w:rPr>
          <w:rStyle w:val="Odkazjemn"/>
        </w:rPr>
        <w:footnoteRef/>
      </w:r>
      <w:r w:rsidRPr="00363E51">
        <w:rPr>
          <w:rStyle w:val="Odkazjemn"/>
        </w:rPr>
        <w:t xml:space="preserve"> </w:t>
      </w:r>
      <w:proofErr w:type="spellStart"/>
      <w:r w:rsidRPr="00363E51">
        <w:rPr>
          <w:rStyle w:val="Odkazjemn"/>
        </w:rPr>
        <w:t>European</w:t>
      </w:r>
      <w:proofErr w:type="spellEnd"/>
      <w:r w:rsidRPr="00363E51">
        <w:rPr>
          <w:rStyle w:val="Odkazjemn"/>
        </w:rPr>
        <w:t xml:space="preserve"> </w:t>
      </w:r>
      <w:proofErr w:type="spellStart"/>
      <w:r w:rsidRPr="00363E51">
        <w:rPr>
          <w:rStyle w:val="Odkazjemn"/>
        </w:rPr>
        <w:t>Central</w:t>
      </w:r>
      <w:proofErr w:type="spellEnd"/>
      <w:r w:rsidRPr="00363E51">
        <w:rPr>
          <w:rStyle w:val="Odkazjemn"/>
        </w:rPr>
        <w:t xml:space="preserve"> Bank.: </w:t>
      </w:r>
      <w:proofErr w:type="spellStart"/>
      <w:r w:rsidRPr="00363E51">
        <w:rPr>
          <w:rStyle w:val="Odkazjemn"/>
        </w:rPr>
        <w:t>Convergence</w:t>
      </w:r>
      <w:proofErr w:type="spellEnd"/>
      <w:r w:rsidRPr="00363E51">
        <w:rPr>
          <w:rStyle w:val="Odkazjemn"/>
        </w:rPr>
        <w:t xml:space="preserve"> </w:t>
      </w:r>
      <w:proofErr w:type="spellStart"/>
      <w:r w:rsidRPr="00363E51">
        <w:rPr>
          <w:rStyle w:val="Odkazjemn"/>
        </w:rPr>
        <w:t>criteria</w:t>
      </w:r>
      <w:proofErr w:type="spellEnd"/>
      <w:r w:rsidRPr="00363E51">
        <w:rPr>
          <w:rStyle w:val="Odkazjemn"/>
        </w:rPr>
        <w:t>. [on-line</w:t>
      </w:r>
      <w:r w:rsidRPr="00363E51">
        <w:rPr>
          <w:rStyle w:val="Odkazjemn"/>
          <w:szCs w:val="18"/>
        </w:rPr>
        <w:sym w:font="Symbol" w:char="F05D"/>
      </w:r>
      <w:r w:rsidRPr="00363E51">
        <w:rPr>
          <w:rStyle w:val="Odkazjemn"/>
        </w:rPr>
        <w:t xml:space="preserve">, 2010, [cit. </w:t>
      </w:r>
      <w:proofErr w:type="gramStart"/>
      <w:r w:rsidRPr="00363E51">
        <w:rPr>
          <w:rStyle w:val="Odkazjemn"/>
        </w:rPr>
        <w:t>2008-02</w:t>
      </w:r>
      <w:proofErr w:type="gramEnd"/>
      <w:r w:rsidRPr="00363E51">
        <w:rPr>
          <w:rStyle w:val="Odkazjemn"/>
        </w:rPr>
        <w:t>-08]. Dostupné z: &lt;http://www.ecb.int/ecb/orga/escb/html/convergence-criteria.en.html&gt;</w:t>
      </w:r>
    </w:p>
  </w:footnote>
  <w:footnote w:id="7">
    <w:p w:rsidR="00FD7B45" w:rsidRDefault="00FD7B45">
      <w:pPr>
        <w:pStyle w:val="Textpoznpodarou"/>
      </w:pPr>
      <w:r w:rsidRPr="007C5B84">
        <w:rPr>
          <w:rStyle w:val="Odkazjemn"/>
        </w:rPr>
        <w:footnoteRef/>
      </w:r>
      <w:r w:rsidRPr="007C5B84">
        <w:rPr>
          <w:rStyle w:val="Odkazjemn"/>
        </w:rPr>
        <w:t xml:space="preserve"> </w:t>
      </w:r>
      <w:proofErr w:type="spellStart"/>
      <w:r w:rsidRPr="007C5B84">
        <w:rPr>
          <w:rStyle w:val="Odkazjemn"/>
        </w:rPr>
        <w:t>European</w:t>
      </w:r>
      <w:proofErr w:type="spellEnd"/>
      <w:r w:rsidRPr="007C5B84">
        <w:rPr>
          <w:rStyle w:val="Odkazjemn"/>
        </w:rPr>
        <w:t xml:space="preserve"> </w:t>
      </w:r>
      <w:proofErr w:type="spellStart"/>
      <w:r w:rsidRPr="007C5B84">
        <w:rPr>
          <w:rStyle w:val="Odkazjemn"/>
        </w:rPr>
        <w:t>Central</w:t>
      </w:r>
      <w:proofErr w:type="spellEnd"/>
      <w:r w:rsidRPr="007C5B84">
        <w:rPr>
          <w:rStyle w:val="Odkazjemn"/>
        </w:rPr>
        <w:t xml:space="preserve"> Bank.: </w:t>
      </w:r>
      <w:proofErr w:type="spellStart"/>
      <w:r w:rsidRPr="007C5B84">
        <w:rPr>
          <w:rStyle w:val="Odkazjemn"/>
        </w:rPr>
        <w:t>Convergence</w:t>
      </w:r>
      <w:proofErr w:type="spellEnd"/>
      <w:r w:rsidRPr="007C5B84">
        <w:rPr>
          <w:rStyle w:val="Odkazjemn"/>
        </w:rPr>
        <w:t xml:space="preserve"> </w:t>
      </w:r>
      <w:proofErr w:type="spellStart"/>
      <w:r w:rsidRPr="007C5B84">
        <w:rPr>
          <w:rStyle w:val="Odkazjemn"/>
        </w:rPr>
        <w:t>criteria</w:t>
      </w:r>
      <w:proofErr w:type="spellEnd"/>
      <w:r w:rsidRPr="007C5B84">
        <w:rPr>
          <w:rStyle w:val="Odkazjemn"/>
        </w:rPr>
        <w:t>. [on-line</w:t>
      </w:r>
      <w:r w:rsidRPr="007C5B84">
        <w:rPr>
          <w:rStyle w:val="Odkazjemn"/>
          <w:szCs w:val="18"/>
        </w:rPr>
        <w:sym w:font="Symbol" w:char="F05D"/>
      </w:r>
      <w:r w:rsidRPr="007C5B84">
        <w:rPr>
          <w:rStyle w:val="Odkazjemn"/>
        </w:rPr>
        <w:t xml:space="preserve">, 2010, [cit. </w:t>
      </w:r>
      <w:proofErr w:type="gramStart"/>
      <w:r w:rsidRPr="007C5B84">
        <w:rPr>
          <w:rStyle w:val="Odkazjemn"/>
        </w:rPr>
        <w:t>2008-02</w:t>
      </w:r>
      <w:proofErr w:type="gramEnd"/>
      <w:r w:rsidRPr="007C5B84">
        <w:rPr>
          <w:rStyle w:val="Odkazjemn"/>
        </w:rPr>
        <w:t>-08]. Dostupné z: &lt;http://www.ecb.int/ecb/orga/escb/html/convergence-criteria.en.html&gt;</w:t>
      </w:r>
    </w:p>
  </w:footnote>
  <w:footnote w:id="8">
    <w:p w:rsidR="00FD7B45" w:rsidRDefault="00FD7B45" w:rsidP="00B463C6">
      <w:pPr>
        <w:pStyle w:val="externalclass9015b86d913f4aeeb124c00a12335c81"/>
        <w:numPr>
          <w:ilvl w:val="0"/>
          <w:numId w:val="0"/>
        </w:numPr>
        <w:spacing w:before="0" w:beforeAutospacing="0" w:after="0" w:afterAutospacing="0"/>
      </w:pPr>
      <w:r w:rsidRPr="007C5B84">
        <w:rPr>
          <w:rStyle w:val="Odkazjemn"/>
        </w:rPr>
        <w:footnoteRef/>
      </w:r>
      <w:r w:rsidRPr="007C5B84">
        <w:rPr>
          <w:rStyle w:val="Odkazjemn"/>
        </w:rPr>
        <w:t xml:space="preserve"> JÍLEK, J. Peníze a měnová politika.: </w:t>
      </w:r>
      <w:proofErr w:type="spellStart"/>
      <w:r w:rsidRPr="007C5B84">
        <w:rPr>
          <w:rStyle w:val="Odkazjemn"/>
        </w:rPr>
        <w:t>Vyd</w:t>
      </w:r>
      <w:proofErr w:type="spellEnd"/>
      <w:r w:rsidRPr="007C5B84">
        <w:rPr>
          <w:rStyle w:val="Odkazjemn"/>
        </w:rPr>
        <w:t xml:space="preserve"> 1. Praha: </w:t>
      </w:r>
      <w:proofErr w:type="spellStart"/>
      <w:r w:rsidRPr="007C5B84">
        <w:rPr>
          <w:rStyle w:val="Odkazjemn"/>
        </w:rPr>
        <w:t>Grada</w:t>
      </w:r>
      <w:proofErr w:type="spellEnd"/>
      <w:r w:rsidRPr="007C5B84">
        <w:rPr>
          <w:rStyle w:val="Odkazjemn"/>
        </w:rPr>
        <w:t>, 2</w:t>
      </w:r>
      <w:r>
        <w:rPr>
          <w:rStyle w:val="Odkazjemn"/>
        </w:rPr>
        <w:t xml:space="preserve">004. 742 s. </w:t>
      </w:r>
      <w:proofErr w:type="spellStart"/>
      <w:r>
        <w:rPr>
          <w:rStyle w:val="Odkazjemn"/>
        </w:rPr>
        <w:t>ISBN</w:t>
      </w:r>
      <w:proofErr w:type="spellEnd"/>
      <w:r>
        <w:rPr>
          <w:rStyle w:val="Odkazjemn"/>
        </w:rPr>
        <w:t xml:space="preserve"> </w:t>
      </w:r>
      <w:proofErr w:type="gramStart"/>
      <w:r>
        <w:rPr>
          <w:rStyle w:val="Odkazjemn"/>
        </w:rPr>
        <w:t>80-247</w:t>
      </w:r>
      <w:proofErr w:type="gramEnd"/>
      <w:r>
        <w:rPr>
          <w:rStyle w:val="Odkazjemn"/>
        </w:rPr>
        <w:t>-0769-1.</w:t>
      </w:r>
    </w:p>
  </w:footnote>
  <w:footnote w:id="9">
    <w:p w:rsidR="00FD7B45" w:rsidRPr="007C5B84" w:rsidRDefault="00FD7B45" w:rsidP="007C5B84">
      <w:pPr>
        <w:autoSpaceDE w:val="0"/>
        <w:autoSpaceDN w:val="0"/>
        <w:adjustRightInd w:val="0"/>
        <w:spacing w:line="240" w:lineRule="auto"/>
        <w:jc w:val="left"/>
        <w:rPr>
          <w:rStyle w:val="Odkazjemn"/>
        </w:rPr>
      </w:pPr>
      <w:r w:rsidRPr="007C5B84">
        <w:rPr>
          <w:rStyle w:val="Odkazjemn"/>
        </w:rPr>
        <w:footnoteRef/>
      </w:r>
      <w:r w:rsidRPr="007C5B84">
        <w:rPr>
          <w:rStyle w:val="Odkazjemn"/>
        </w:rPr>
        <w:t xml:space="preserve"> </w:t>
      </w:r>
      <w:proofErr w:type="gramStart"/>
      <w:r w:rsidRPr="007C5B84">
        <w:rPr>
          <w:rStyle w:val="Odkazjemn"/>
        </w:rPr>
        <w:t>LACINA,L . Měnová</w:t>
      </w:r>
      <w:proofErr w:type="gramEnd"/>
      <w:r w:rsidRPr="007C5B84">
        <w:rPr>
          <w:rStyle w:val="Odkazjemn"/>
        </w:rPr>
        <w:t xml:space="preserve"> integrace:Náklady a přínosy členství v měnové unii. </w:t>
      </w:r>
      <w:proofErr w:type="spellStart"/>
      <w:r w:rsidRPr="007C5B84">
        <w:rPr>
          <w:rStyle w:val="Odkazjemn"/>
        </w:rPr>
        <w:t>1Vyd</w:t>
      </w:r>
      <w:proofErr w:type="spellEnd"/>
      <w:r w:rsidRPr="007C5B84">
        <w:rPr>
          <w:rStyle w:val="Odkazjemn"/>
        </w:rPr>
        <w:t xml:space="preserve">. Praha: </w:t>
      </w:r>
      <w:proofErr w:type="gramStart"/>
      <w:r w:rsidRPr="007C5B84">
        <w:rPr>
          <w:rStyle w:val="Odkazjemn"/>
        </w:rPr>
        <w:t>C.H.</w:t>
      </w:r>
      <w:proofErr w:type="gramEnd"/>
      <w:r w:rsidRPr="007C5B84">
        <w:rPr>
          <w:rStyle w:val="Odkazjemn"/>
        </w:rPr>
        <w:t xml:space="preserve"> </w:t>
      </w:r>
      <w:proofErr w:type="spellStart"/>
      <w:r w:rsidRPr="007C5B84">
        <w:rPr>
          <w:rStyle w:val="Odkazjemn"/>
        </w:rPr>
        <w:t>Beck</w:t>
      </w:r>
      <w:proofErr w:type="spellEnd"/>
      <w:r w:rsidRPr="007C5B84">
        <w:rPr>
          <w:rStyle w:val="Odkazjemn"/>
        </w:rPr>
        <w:t xml:space="preserve"> 2007, </w:t>
      </w:r>
      <w:proofErr w:type="spellStart"/>
      <w:r w:rsidRPr="007C5B84">
        <w:rPr>
          <w:rStyle w:val="Odkazjemn"/>
        </w:rPr>
        <w:t>ISBN</w:t>
      </w:r>
      <w:proofErr w:type="spellEnd"/>
      <w:r w:rsidRPr="007C5B84">
        <w:rPr>
          <w:rStyle w:val="Odkazjemn"/>
        </w:rPr>
        <w:t xml:space="preserve"> 978-</w:t>
      </w:r>
    </w:p>
    <w:p w:rsidR="00FD7B45" w:rsidRDefault="00FD7B45" w:rsidP="007C5B84">
      <w:pPr>
        <w:pStyle w:val="Textpoznpodarou"/>
      </w:pPr>
      <w:proofErr w:type="gramStart"/>
      <w:r w:rsidRPr="007C5B84">
        <w:rPr>
          <w:rStyle w:val="Odkazjemn"/>
        </w:rPr>
        <w:t>80-7179</w:t>
      </w:r>
      <w:proofErr w:type="gramEnd"/>
      <w:r w:rsidRPr="007C5B84">
        <w:rPr>
          <w:rStyle w:val="Odkazjemn"/>
        </w:rPr>
        <w:t>-560-5.</w:t>
      </w:r>
    </w:p>
  </w:footnote>
  <w:footnote w:id="10">
    <w:p w:rsidR="00FD7B45" w:rsidRDefault="00FD7B45">
      <w:pPr>
        <w:pStyle w:val="Textpoznpodarou"/>
      </w:pPr>
      <w:r w:rsidRPr="0047603E">
        <w:rPr>
          <w:rStyle w:val="Odkazjemn"/>
        </w:rPr>
        <w:footnoteRef/>
      </w:r>
      <w:r w:rsidRPr="0047603E">
        <w:rPr>
          <w:rStyle w:val="Odkazjemn"/>
        </w:rPr>
        <w:t xml:space="preserve"> </w:t>
      </w:r>
      <w:proofErr w:type="spellStart"/>
      <w:r w:rsidRPr="0047603E">
        <w:rPr>
          <w:rStyle w:val="Odkazjemn"/>
        </w:rPr>
        <w:t>European</w:t>
      </w:r>
      <w:proofErr w:type="spellEnd"/>
      <w:r w:rsidRPr="0047603E">
        <w:rPr>
          <w:rStyle w:val="Odkazjemn"/>
        </w:rPr>
        <w:t xml:space="preserve"> </w:t>
      </w:r>
      <w:proofErr w:type="spellStart"/>
      <w:r w:rsidRPr="0047603E">
        <w:rPr>
          <w:rStyle w:val="Odkazjemn"/>
        </w:rPr>
        <w:t>Central</w:t>
      </w:r>
      <w:proofErr w:type="spellEnd"/>
      <w:r w:rsidRPr="0047603E">
        <w:rPr>
          <w:rStyle w:val="Odkazjemn"/>
        </w:rPr>
        <w:t xml:space="preserve"> Bank.: </w:t>
      </w:r>
      <w:proofErr w:type="spellStart"/>
      <w:r w:rsidRPr="0047603E">
        <w:rPr>
          <w:rStyle w:val="Odkazjemn"/>
        </w:rPr>
        <w:t>Convergence</w:t>
      </w:r>
      <w:proofErr w:type="spellEnd"/>
      <w:r w:rsidRPr="0047603E">
        <w:rPr>
          <w:rStyle w:val="Odkazjemn"/>
        </w:rPr>
        <w:t xml:space="preserve"> </w:t>
      </w:r>
      <w:proofErr w:type="spellStart"/>
      <w:r w:rsidRPr="0047603E">
        <w:rPr>
          <w:rStyle w:val="Odkazjemn"/>
        </w:rPr>
        <w:t>criteria</w:t>
      </w:r>
      <w:proofErr w:type="spellEnd"/>
      <w:r w:rsidRPr="0047603E">
        <w:rPr>
          <w:rStyle w:val="Odkazjemn"/>
        </w:rPr>
        <w:t>. [on-line</w:t>
      </w:r>
      <w:r w:rsidRPr="0047603E">
        <w:rPr>
          <w:rStyle w:val="Odkazjemn"/>
          <w:szCs w:val="18"/>
        </w:rPr>
        <w:sym w:font="Symbol" w:char="F05D"/>
      </w:r>
      <w:r>
        <w:rPr>
          <w:rStyle w:val="Odkazjemn"/>
        </w:rPr>
        <w:t xml:space="preserve">, 2010, </w:t>
      </w:r>
      <w:r w:rsidRPr="0047603E">
        <w:rPr>
          <w:rStyle w:val="Odkazjemn"/>
        </w:rPr>
        <w:t xml:space="preserve">[cit. </w:t>
      </w:r>
      <w:proofErr w:type="gramStart"/>
      <w:r w:rsidRPr="0047603E">
        <w:rPr>
          <w:rStyle w:val="Odkazjemn"/>
        </w:rPr>
        <w:t>20</w:t>
      </w:r>
      <w:r>
        <w:rPr>
          <w:rStyle w:val="Odkazjemn"/>
        </w:rPr>
        <w:t>10</w:t>
      </w:r>
      <w:r w:rsidRPr="0047603E">
        <w:rPr>
          <w:rStyle w:val="Odkazjemn"/>
        </w:rPr>
        <w:t>-02</w:t>
      </w:r>
      <w:proofErr w:type="gramEnd"/>
      <w:r w:rsidRPr="0047603E">
        <w:rPr>
          <w:rStyle w:val="Odkazjemn"/>
        </w:rPr>
        <w:t xml:space="preserve">-08]. Dostupné z: </w:t>
      </w:r>
      <w:r w:rsidRPr="00363E51">
        <w:rPr>
          <w:rStyle w:val="Odkazjemn"/>
        </w:rPr>
        <w:t>&lt;http://www.ecb.int/ecb/orga/escb/html/convergence-criteria.en.html&gt;</w:t>
      </w:r>
    </w:p>
  </w:footnote>
  <w:footnote w:id="11">
    <w:p w:rsidR="00FD7B45" w:rsidRDefault="00FD7B45">
      <w:pPr>
        <w:pStyle w:val="Textpoznpodarou"/>
      </w:pPr>
      <w:r w:rsidRPr="00363E51">
        <w:rPr>
          <w:rStyle w:val="Odkazjemn"/>
        </w:rPr>
        <w:footnoteRef/>
      </w:r>
      <w:r w:rsidRPr="00363E51">
        <w:rPr>
          <w:rStyle w:val="Odkazjemn"/>
        </w:rPr>
        <w:t xml:space="preserve"> Uvedeno výše</w:t>
      </w:r>
    </w:p>
  </w:footnote>
  <w:footnote w:id="12">
    <w:p w:rsidR="00FD7B45" w:rsidRPr="00363E51" w:rsidRDefault="00FD7B45" w:rsidP="0047603E">
      <w:pPr>
        <w:pStyle w:val="Textpoznpodarou"/>
        <w:rPr>
          <w:rStyle w:val="Odkazjemn"/>
        </w:rPr>
      </w:pPr>
      <w:r w:rsidRPr="00363E51">
        <w:rPr>
          <w:rStyle w:val="Odkazjemn"/>
        </w:rPr>
        <w:footnoteRef/>
      </w:r>
      <w:r w:rsidRPr="00363E51">
        <w:rPr>
          <w:rStyle w:val="Odkazjemn"/>
        </w:rPr>
        <w:t xml:space="preserve"> Uvedeno výše</w:t>
      </w:r>
    </w:p>
    <w:p w:rsidR="00FD7B45" w:rsidRDefault="00FD7B45" w:rsidP="0047603E">
      <w:pPr>
        <w:pStyle w:val="Textpoznpodarou"/>
      </w:pPr>
    </w:p>
  </w:footnote>
  <w:footnote w:id="13">
    <w:p w:rsidR="00FD7B45" w:rsidRPr="00361840" w:rsidRDefault="00FD7B45" w:rsidP="00361840">
      <w:pPr>
        <w:autoSpaceDE w:val="0"/>
        <w:autoSpaceDN w:val="0"/>
        <w:adjustRightInd w:val="0"/>
        <w:spacing w:line="240" w:lineRule="auto"/>
        <w:jc w:val="left"/>
        <w:rPr>
          <w:rStyle w:val="Odkazjemn"/>
        </w:rPr>
      </w:pPr>
      <w:r w:rsidRPr="00361840">
        <w:rPr>
          <w:rStyle w:val="Odkazjemn"/>
        </w:rPr>
        <w:footnoteRef/>
      </w:r>
      <w:r w:rsidRPr="00361840">
        <w:rPr>
          <w:rStyle w:val="Odkazjemn"/>
        </w:rPr>
        <w:t xml:space="preserve"> </w:t>
      </w:r>
      <w:proofErr w:type="gramStart"/>
      <w:r w:rsidRPr="00361840">
        <w:rPr>
          <w:rStyle w:val="Odkazjemn"/>
        </w:rPr>
        <w:t>LACINA,L . Měnová</w:t>
      </w:r>
      <w:proofErr w:type="gramEnd"/>
      <w:r w:rsidRPr="00361840">
        <w:rPr>
          <w:rStyle w:val="Odkazjemn"/>
        </w:rPr>
        <w:t xml:space="preserve"> integrace:Náklady a přínosy členství v měnové unii. </w:t>
      </w:r>
      <w:proofErr w:type="spellStart"/>
      <w:r w:rsidRPr="00361840">
        <w:rPr>
          <w:rStyle w:val="Odkazjemn"/>
        </w:rPr>
        <w:t>1Vyd</w:t>
      </w:r>
      <w:proofErr w:type="spellEnd"/>
      <w:r w:rsidRPr="00361840">
        <w:rPr>
          <w:rStyle w:val="Odkazjemn"/>
        </w:rPr>
        <w:t xml:space="preserve">. Praha: </w:t>
      </w:r>
      <w:proofErr w:type="gramStart"/>
      <w:r w:rsidRPr="00361840">
        <w:rPr>
          <w:rStyle w:val="Odkazjemn"/>
        </w:rPr>
        <w:t>C.H.</w:t>
      </w:r>
      <w:proofErr w:type="gramEnd"/>
      <w:r w:rsidRPr="00361840">
        <w:rPr>
          <w:rStyle w:val="Odkazjemn"/>
        </w:rPr>
        <w:t xml:space="preserve"> </w:t>
      </w:r>
      <w:proofErr w:type="spellStart"/>
      <w:r w:rsidRPr="00361840">
        <w:rPr>
          <w:rStyle w:val="Odkazjemn"/>
        </w:rPr>
        <w:t>Beck</w:t>
      </w:r>
      <w:proofErr w:type="spellEnd"/>
      <w:r w:rsidRPr="00361840">
        <w:rPr>
          <w:rStyle w:val="Odkazjemn"/>
        </w:rPr>
        <w:t xml:space="preserve"> 2007, </w:t>
      </w:r>
      <w:proofErr w:type="spellStart"/>
      <w:r w:rsidRPr="00361840">
        <w:rPr>
          <w:rStyle w:val="Odkazjemn"/>
        </w:rPr>
        <w:t>ISBN</w:t>
      </w:r>
      <w:proofErr w:type="spellEnd"/>
      <w:r w:rsidRPr="00361840">
        <w:rPr>
          <w:rStyle w:val="Odkazjemn"/>
        </w:rPr>
        <w:t xml:space="preserve"> 978-</w:t>
      </w:r>
    </w:p>
    <w:p w:rsidR="00FD7B45" w:rsidRDefault="00FD7B45">
      <w:pPr>
        <w:pStyle w:val="Textpoznpodarou"/>
      </w:pPr>
      <w:proofErr w:type="gramStart"/>
      <w:r w:rsidRPr="00361840">
        <w:rPr>
          <w:rStyle w:val="Odkazjemn"/>
        </w:rPr>
        <w:t>80-7179</w:t>
      </w:r>
      <w:proofErr w:type="gramEnd"/>
      <w:r w:rsidRPr="00361840">
        <w:rPr>
          <w:rStyle w:val="Odkazjemn"/>
        </w:rPr>
        <w:t>-560-5.</w:t>
      </w:r>
    </w:p>
  </w:footnote>
  <w:footnote w:id="14">
    <w:p w:rsidR="00FD7B45" w:rsidRDefault="00FD7B45" w:rsidP="00363E51">
      <w:pPr>
        <w:pStyle w:val="externalclass9015b86d913f4aeeb124c00a12335c81"/>
        <w:numPr>
          <w:ilvl w:val="0"/>
          <w:numId w:val="0"/>
        </w:numPr>
        <w:spacing w:before="0" w:beforeAutospacing="0" w:after="0" w:afterAutospacing="0"/>
      </w:pPr>
      <w:r w:rsidRPr="00363E51">
        <w:rPr>
          <w:rStyle w:val="Odkazjemn"/>
        </w:rPr>
        <w:footnoteRef/>
      </w:r>
      <w:r w:rsidRPr="00363E51">
        <w:rPr>
          <w:rStyle w:val="Odkazjemn"/>
        </w:rPr>
        <w:t xml:space="preserve"> </w:t>
      </w:r>
      <w:proofErr w:type="spellStart"/>
      <w:r w:rsidRPr="00363E51">
        <w:rPr>
          <w:rStyle w:val="Odkazjemn"/>
        </w:rPr>
        <w:t>NIEDERMAYER</w:t>
      </w:r>
      <w:proofErr w:type="spellEnd"/>
      <w:r w:rsidRPr="00363E51">
        <w:rPr>
          <w:rStyle w:val="Odkazjemn"/>
        </w:rPr>
        <w:t xml:space="preserve">, L. Měnová politika a příchod eura: sborník textů ze seminářů č. 16/2002. </w:t>
      </w:r>
      <w:proofErr w:type="spellStart"/>
      <w:r w:rsidRPr="00363E51">
        <w:rPr>
          <w:rStyle w:val="Odkazjemn"/>
        </w:rPr>
        <w:t>Edited</w:t>
      </w:r>
      <w:proofErr w:type="spellEnd"/>
      <w:r w:rsidRPr="00363E51">
        <w:rPr>
          <w:rStyle w:val="Odkazjemn"/>
        </w:rPr>
        <w:t xml:space="preserve"> by Marek Loužek. </w:t>
      </w:r>
      <w:proofErr w:type="spellStart"/>
      <w:r w:rsidRPr="00363E51">
        <w:rPr>
          <w:rStyle w:val="Odkazjemn"/>
        </w:rPr>
        <w:t>Vyd</w:t>
      </w:r>
      <w:proofErr w:type="spellEnd"/>
      <w:r w:rsidRPr="00363E51">
        <w:rPr>
          <w:rStyle w:val="Odkazjemn"/>
        </w:rPr>
        <w:t xml:space="preserve">. 1. Praha: Centrum pro ekonomiku a politiku, 2002. 107 s. Ekonomika, právo, politika; č. 16/2002. </w:t>
      </w:r>
      <w:proofErr w:type="spellStart"/>
      <w:r w:rsidRPr="00363E51">
        <w:rPr>
          <w:rStyle w:val="Odkazjemn"/>
        </w:rPr>
        <w:t>ISBN</w:t>
      </w:r>
      <w:proofErr w:type="spellEnd"/>
      <w:r w:rsidRPr="00363E51">
        <w:rPr>
          <w:rStyle w:val="Odkazjemn"/>
        </w:rPr>
        <w:t xml:space="preserve"> </w:t>
      </w:r>
      <w:proofErr w:type="gramStart"/>
      <w:r w:rsidRPr="00363E51">
        <w:rPr>
          <w:rStyle w:val="Odkazjemn"/>
        </w:rPr>
        <w:t>80-86547</w:t>
      </w:r>
      <w:proofErr w:type="gramEnd"/>
      <w:r w:rsidRPr="00363E51">
        <w:rPr>
          <w:rStyle w:val="Odkazjemn"/>
        </w:rPr>
        <w:t>-08-6.</w:t>
      </w:r>
    </w:p>
  </w:footnote>
  <w:footnote w:id="15">
    <w:p w:rsidR="00FD7B45" w:rsidRDefault="00FD7B45">
      <w:pPr>
        <w:pStyle w:val="Textpoznpodarou"/>
      </w:pPr>
      <w:r w:rsidRPr="00363E51">
        <w:rPr>
          <w:rStyle w:val="Odkazjemn"/>
        </w:rPr>
        <w:footnoteRef/>
      </w:r>
      <w:r w:rsidRPr="00363E51">
        <w:rPr>
          <w:rStyle w:val="Odkazjemn"/>
        </w:rPr>
        <w:t xml:space="preserve"> Zavádění eura v  České republice [online], Rozšiřování eurozóny, 2009, [cit. </w:t>
      </w:r>
      <w:proofErr w:type="gramStart"/>
      <w:r w:rsidRPr="00363E51">
        <w:rPr>
          <w:rStyle w:val="Odkazjemn"/>
        </w:rPr>
        <w:t>2009-11</w:t>
      </w:r>
      <w:proofErr w:type="gramEnd"/>
      <w:r w:rsidRPr="00363E51">
        <w:rPr>
          <w:rStyle w:val="Odkazjemn"/>
        </w:rPr>
        <w:t>-30]. Dostupný z &lt;</w:t>
      </w:r>
      <w:hyperlink r:id="rId6" w:history="1">
        <w:r w:rsidRPr="00363E51">
          <w:rPr>
            <w:rStyle w:val="Odkazjemn"/>
          </w:rPr>
          <w:t>http://www.zavedenieura.cz/cps/rde/xchg/euro/xsl/euro_podmin_prijeti.html</w:t>
        </w:r>
      </w:hyperlink>
      <w:r w:rsidRPr="00363E51">
        <w:rPr>
          <w:rStyle w:val="Odkazjemn"/>
        </w:rPr>
        <w:t>&gt;</w:t>
      </w:r>
    </w:p>
  </w:footnote>
  <w:footnote w:id="16">
    <w:p w:rsidR="00FD7B45" w:rsidRDefault="00FD7B45" w:rsidP="00363E51">
      <w:pPr>
        <w:pStyle w:val="externalclass9015b86d913f4aeeb124c00a12335c81"/>
        <w:numPr>
          <w:ilvl w:val="0"/>
          <w:numId w:val="0"/>
        </w:numPr>
        <w:spacing w:before="0" w:beforeAutospacing="0" w:after="0" w:afterAutospacing="0"/>
        <w:ind w:left="453" w:hanging="453"/>
      </w:pPr>
      <w:r w:rsidRPr="00363E51">
        <w:rPr>
          <w:rStyle w:val="Odkazjemn"/>
        </w:rPr>
        <w:footnoteRef/>
      </w:r>
      <w:r w:rsidRPr="00363E51">
        <w:rPr>
          <w:rStyle w:val="Odkazjemn"/>
        </w:rPr>
        <w:t xml:space="preserve">  Banka </w:t>
      </w:r>
      <w:proofErr w:type="spellStart"/>
      <w:r w:rsidRPr="00363E51">
        <w:rPr>
          <w:rStyle w:val="Odkazjemn"/>
        </w:rPr>
        <w:t>Slovenije</w:t>
      </w:r>
      <w:proofErr w:type="spellEnd"/>
      <w:r w:rsidRPr="00363E51">
        <w:rPr>
          <w:rStyle w:val="Odkazjemn"/>
        </w:rPr>
        <w:t xml:space="preserve">. Joint </w:t>
      </w:r>
      <w:proofErr w:type="spellStart"/>
      <w:r w:rsidRPr="00363E51">
        <w:rPr>
          <w:rStyle w:val="Odkazjemn"/>
        </w:rPr>
        <w:t>programme</w:t>
      </w:r>
      <w:proofErr w:type="spellEnd"/>
      <w:r w:rsidRPr="00363E51">
        <w:rPr>
          <w:rStyle w:val="Odkazjemn"/>
        </w:rPr>
        <w:t xml:space="preserve"> </w:t>
      </w:r>
      <w:proofErr w:type="spellStart"/>
      <w:r w:rsidRPr="00363E51">
        <w:rPr>
          <w:rStyle w:val="Odkazjemn"/>
        </w:rPr>
        <w:t>of</w:t>
      </w:r>
      <w:proofErr w:type="spellEnd"/>
      <w:r w:rsidRPr="00363E51">
        <w:rPr>
          <w:rStyle w:val="Odkazjemn"/>
        </w:rPr>
        <w:t xml:space="preserve"> </w:t>
      </w:r>
      <w:proofErr w:type="spellStart"/>
      <w:r w:rsidRPr="00363E51">
        <w:rPr>
          <w:rStyle w:val="Odkazjemn"/>
        </w:rPr>
        <w:t>the</w:t>
      </w:r>
      <w:proofErr w:type="spellEnd"/>
      <w:r w:rsidRPr="00363E51">
        <w:rPr>
          <w:rStyle w:val="Odkazjemn"/>
        </w:rPr>
        <w:t xml:space="preserve"> </w:t>
      </w:r>
      <w:proofErr w:type="spellStart"/>
      <w:r w:rsidRPr="00363E51">
        <w:rPr>
          <w:rStyle w:val="Odkazjemn"/>
        </w:rPr>
        <w:t>Slovenian</w:t>
      </w:r>
      <w:proofErr w:type="spellEnd"/>
      <w:r w:rsidRPr="00363E51">
        <w:rPr>
          <w:rStyle w:val="Odkazjemn"/>
        </w:rPr>
        <w:t xml:space="preserve"> </w:t>
      </w:r>
      <w:proofErr w:type="spellStart"/>
      <w:r w:rsidRPr="00363E51">
        <w:rPr>
          <w:rStyle w:val="Odkazjemn"/>
        </w:rPr>
        <w:t>Government</w:t>
      </w:r>
      <w:proofErr w:type="spellEnd"/>
      <w:r w:rsidRPr="00363E51">
        <w:rPr>
          <w:rStyle w:val="Odkazjemn"/>
        </w:rPr>
        <w:t xml:space="preserve"> </w:t>
      </w:r>
      <w:proofErr w:type="spellStart"/>
      <w:r w:rsidRPr="00363E51">
        <w:rPr>
          <w:rStyle w:val="Odkazjemn"/>
        </w:rPr>
        <w:t>and</w:t>
      </w:r>
      <w:proofErr w:type="spellEnd"/>
      <w:r w:rsidRPr="00363E51">
        <w:rPr>
          <w:rStyle w:val="Odkazjemn"/>
        </w:rPr>
        <w:t xml:space="preserve"> </w:t>
      </w:r>
      <w:proofErr w:type="spellStart"/>
      <w:r w:rsidRPr="00363E51">
        <w:rPr>
          <w:rStyle w:val="Odkazjemn"/>
        </w:rPr>
        <w:t>the</w:t>
      </w:r>
      <w:proofErr w:type="spellEnd"/>
      <w:r w:rsidRPr="00363E51">
        <w:rPr>
          <w:rStyle w:val="Odkazjemn"/>
        </w:rPr>
        <w:t xml:space="preserve"> Bank </w:t>
      </w:r>
      <w:proofErr w:type="spellStart"/>
      <w:r w:rsidRPr="00363E51">
        <w:rPr>
          <w:rStyle w:val="Odkazjemn"/>
        </w:rPr>
        <w:t>of</w:t>
      </w:r>
      <w:proofErr w:type="spellEnd"/>
      <w:r w:rsidRPr="00363E51">
        <w:rPr>
          <w:rStyle w:val="Odkazjemn"/>
        </w:rPr>
        <w:t xml:space="preserve"> </w:t>
      </w:r>
      <w:proofErr w:type="spellStart"/>
      <w:r w:rsidRPr="00363E51">
        <w:rPr>
          <w:rStyle w:val="Odkazjemn"/>
        </w:rPr>
        <w:t>Slovenia</w:t>
      </w:r>
      <w:proofErr w:type="spellEnd"/>
      <w:r w:rsidRPr="00363E51">
        <w:rPr>
          <w:rStyle w:val="Odkazjemn"/>
        </w:rPr>
        <w:t xml:space="preserve">: </w:t>
      </w:r>
      <w:proofErr w:type="spellStart"/>
      <w:r w:rsidRPr="00363E51">
        <w:rPr>
          <w:rStyle w:val="Odkazjemn"/>
        </w:rPr>
        <w:t>Programme</w:t>
      </w:r>
      <w:proofErr w:type="spellEnd"/>
      <w:r w:rsidRPr="00363E51">
        <w:rPr>
          <w:rStyle w:val="Odkazjemn"/>
        </w:rPr>
        <w:t xml:space="preserve"> </w:t>
      </w:r>
      <w:proofErr w:type="spellStart"/>
      <w:r w:rsidRPr="00363E51">
        <w:rPr>
          <w:rStyle w:val="Odkazjemn"/>
        </w:rPr>
        <w:t>for</w:t>
      </w:r>
      <w:proofErr w:type="spellEnd"/>
      <w:r w:rsidRPr="00363E51">
        <w:rPr>
          <w:rStyle w:val="Odkazjemn"/>
        </w:rPr>
        <w:t xml:space="preserve"> ERM II</w:t>
      </w:r>
      <w:r>
        <w:rPr>
          <w:rStyle w:val="Odkazjemn"/>
        </w:rPr>
        <w:t xml:space="preserve"> </w:t>
      </w:r>
      <w:proofErr w:type="spellStart"/>
      <w:r w:rsidRPr="00363E51">
        <w:rPr>
          <w:rStyle w:val="Odkazjemn"/>
        </w:rPr>
        <w:t>entry</w:t>
      </w:r>
      <w:proofErr w:type="spellEnd"/>
      <w:r w:rsidRPr="00363E51">
        <w:rPr>
          <w:rStyle w:val="Odkazjemn"/>
        </w:rPr>
        <w:t xml:space="preserve"> </w:t>
      </w:r>
      <w:proofErr w:type="spellStart"/>
      <w:r w:rsidRPr="00363E51">
        <w:rPr>
          <w:rStyle w:val="Odkazjemn"/>
        </w:rPr>
        <w:t>and</w:t>
      </w:r>
      <w:proofErr w:type="spellEnd"/>
      <w:r w:rsidRPr="00363E51">
        <w:rPr>
          <w:rStyle w:val="Odkazjemn"/>
        </w:rPr>
        <w:t xml:space="preserve"> </w:t>
      </w:r>
      <w:proofErr w:type="spellStart"/>
      <w:r w:rsidRPr="00363E51">
        <w:rPr>
          <w:rStyle w:val="Odkazjemn"/>
        </w:rPr>
        <w:t>adoption</w:t>
      </w:r>
      <w:proofErr w:type="spellEnd"/>
      <w:r w:rsidRPr="00363E51">
        <w:rPr>
          <w:rStyle w:val="Odkazjemn"/>
        </w:rPr>
        <w:t xml:space="preserve"> </w:t>
      </w:r>
      <w:proofErr w:type="spellStart"/>
      <w:r w:rsidRPr="00363E51">
        <w:rPr>
          <w:rStyle w:val="Odkazjemn"/>
        </w:rPr>
        <w:t>of</w:t>
      </w:r>
      <w:proofErr w:type="spellEnd"/>
      <w:r w:rsidRPr="00363E51">
        <w:rPr>
          <w:rStyle w:val="Odkazjemn"/>
        </w:rPr>
        <w:t xml:space="preserve"> </w:t>
      </w:r>
      <w:proofErr w:type="spellStart"/>
      <w:r w:rsidRPr="00363E51">
        <w:rPr>
          <w:rStyle w:val="Odkazjemn"/>
        </w:rPr>
        <w:t>the</w:t>
      </w:r>
      <w:proofErr w:type="spellEnd"/>
      <w:r w:rsidRPr="00363E51">
        <w:rPr>
          <w:rStyle w:val="Odkazjemn"/>
        </w:rPr>
        <w:t xml:space="preserve"> euro. Listopad 2003.</w:t>
      </w:r>
    </w:p>
  </w:footnote>
  <w:footnote w:id="17">
    <w:p w:rsidR="00FD7B45" w:rsidRDefault="00FD7B45" w:rsidP="00363E51">
      <w:pPr>
        <w:pStyle w:val="externalclass9015b86d913f4aeeb124c00a12335c81"/>
        <w:numPr>
          <w:ilvl w:val="0"/>
          <w:numId w:val="0"/>
        </w:numPr>
        <w:spacing w:before="0" w:beforeAutospacing="0" w:after="0" w:afterAutospacing="0"/>
      </w:pPr>
      <w:r w:rsidRPr="00363E51">
        <w:rPr>
          <w:rStyle w:val="Odkazjemn"/>
        </w:rPr>
        <w:footnoteRef/>
      </w:r>
      <w:r w:rsidRPr="00363E51">
        <w:rPr>
          <w:rStyle w:val="Odkazjemn"/>
        </w:rPr>
        <w:t xml:space="preserve"> </w:t>
      </w:r>
      <w:proofErr w:type="spellStart"/>
      <w:r w:rsidRPr="00363E51">
        <w:rPr>
          <w:rStyle w:val="Odkazjemn"/>
        </w:rPr>
        <w:t>AWD</w:t>
      </w:r>
      <w:proofErr w:type="spellEnd"/>
      <w:r w:rsidRPr="00363E51">
        <w:rPr>
          <w:rStyle w:val="Odkazjemn"/>
        </w:rPr>
        <w:t xml:space="preserve"> Česká republika s.r.o.: Měnová unie. [online], 2010, [cit. </w:t>
      </w:r>
      <w:proofErr w:type="gramStart"/>
      <w:r w:rsidRPr="00363E51">
        <w:rPr>
          <w:rStyle w:val="Odkazjemn"/>
        </w:rPr>
        <w:t>2010-03</w:t>
      </w:r>
      <w:proofErr w:type="gramEnd"/>
      <w:r w:rsidRPr="00363E51">
        <w:rPr>
          <w:rStyle w:val="Odkazjemn"/>
        </w:rPr>
        <w:t>-19]. Dostupné z: &lt;http://</w:t>
      </w:r>
      <w:hyperlink r:id="rId7" w:history="1">
        <w:r w:rsidRPr="00363E51">
          <w:rPr>
            <w:rStyle w:val="Odkazjemn"/>
          </w:rPr>
          <w:t>www.finance.cz/zpravy/finance/48714-clenstvi-v-unii-pomohlo-zahranicnimu-obchodu/</w:t>
        </w:r>
      </w:hyperlink>
      <w:r w:rsidRPr="00363E51">
        <w:rPr>
          <w:rStyle w:val="Odkazjemn"/>
        </w:rPr>
        <w:t>&gt;</w:t>
      </w:r>
    </w:p>
  </w:footnote>
  <w:footnote w:id="18">
    <w:p w:rsidR="00FD7B45" w:rsidRDefault="00FD7B45" w:rsidP="009047B5">
      <w:pPr>
        <w:pStyle w:val="externalclass9015b86d913f4aeeb124c00a12335c81"/>
        <w:numPr>
          <w:ilvl w:val="0"/>
          <w:numId w:val="0"/>
        </w:numPr>
        <w:spacing w:before="0" w:beforeAutospacing="0" w:after="0" w:afterAutospacing="0"/>
      </w:pPr>
      <w:r w:rsidRPr="00363E51">
        <w:rPr>
          <w:rStyle w:val="Odkazjemn"/>
        </w:rPr>
        <w:footnoteRef/>
      </w:r>
      <w:r w:rsidRPr="00363E51">
        <w:rPr>
          <w:rStyle w:val="Odkazjemn"/>
        </w:rPr>
        <w:t xml:space="preserve"> </w:t>
      </w:r>
      <w:proofErr w:type="spellStart"/>
      <w:r w:rsidRPr="00363E51">
        <w:rPr>
          <w:rStyle w:val="Odkazjemn"/>
        </w:rPr>
        <w:t>FELDSTEIN</w:t>
      </w:r>
      <w:proofErr w:type="spellEnd"/>
      <w:r w:rsidRPr="00363E51">
        <w:rPr>
          <w:rStyle w:val="Odkazjemn"/>
        </w:rPr>
        <w:t xml:space="preserve">, M. Argumenty proti evropské měnové unii.  </w:t>
      </w:r>
      <w:r w:rsidRPr="00363E51">
        <w:rPr>
          <w:rStyle w:val="Odkazjemn"/>
          <w:szCs w:val="18"/>
        </w:rPr>
        <w:sym w:font="Symbol" w:char="F05B"/>
      </w:r>
      <w:r w:rsidRPr="00363E51">
        <w:rPr>
          <w:rStyle w:val="Odkazjemn"/>
        </w:rPr>
        <w:t>on-line</w:t>
      </w:r>
      <w:r w:rsidRPr="00363E51">
        <w:rPr>
          <w:rStyle w:val="Odkazjemn"/>
          <w:szCs w:val="18"/>
        </w:rPr>
        <w:sym w:font="Symbol" w:char="F05D"/>
      </w:r>
      <w:r w:rsidRPr="00363E51">
        <w:rPr>
          <w:rStyle w:val="Odkazjemn"/>
        </w:rPr>
        <w:t xml:space="preserve">. 1992 </w:t>
      </w:r>
      <w:r w:rsidRPr="00363E51">
        <w:rPr>
          <w:rStyle w:val="Odkazjemn"/>
          <w:szCs w:val="18"/>
        </w:rPr>
        <w:sym w:font="Symbol" w:char="F05B"/>
      </w:r>
      <w:r w:rsidRPr="00363E51">
        <w:rPr>
          <w:rStyle w:val="Odkazjemn"/>
        </w:rPr>
        <w:t xml:space="preserve">cit. </w:t>
      </w:r>
      <w:proofErr w:type="gramStart"/>
      <w:r w:rsidRPr="00363E51">
        <w:rPr>
          <w:rStyle w:val="Odkazjemn"/>
        </w:rPr>
        <w:t>2009-01</w:t>
      </w:r>
      <w:proofErr w:type="gramEnd"/>
      <w:r w:rsidRPr="00363E51">
        <w:rPr>
          <w:rStyle w:val="Odkazjemn"/>
        </w:rPr>
        <w:t>-18</w:t>
      </w:r>
      <w:r w:rsidRPr="00363E51">
        <w:rPr>
          <w:rStyle w:val="Odkazjemn"/>
          <w:szCs w:val="18"/>
        </w:rPr>
        <w:sym w:font="Symbol" w:char="F05D"/>
      </w:r>
      <w:r w:rsidRPr="00363E51">
        <w:rPr>
          <w:rStyle w:val="Odkazjemn"/>
        </w:rPr>
        <w:t>. Dostupné z: &lt;http://www.euportal.cz/Articles/1842-argumenty-proti-vropske-menove-unii.aspx&gt;.</w:t>
      </w:r>
    </w:p>
  </w:footnote>
  <w:footnote w:id="19">
    <w:p w:rsidR="00FD7B45" w:rsidRDefault="00FD7B45" w:rsidP="009047B5">
      <w:pPr>
        <w:pStyle w:val="externalclass9015b86d913f4aeeb124c00a12335c81"/>
        <w:numPr>
          <w:ilvl w:val="0"/>
          <w:numId w:val="0"/>
        </w:numPr>
        <w:spacing w:before="0" w:beforeAutospacing="0" w:after="0" w:afterAutospacing="0"/>
      </w:pPr>
      <w:r w:rsidRPr="00363E51">
        <w:rPr>
          <w:rStyle w:val="Odkazjemn"/>
        </w:rPr>
        <w:footnoteRef/>
      </w:r>
      <w:r w:rsidRPr="00363E51">
        <w:rPr>
          <w:rStyle w:val="Odkazjemn"/>
        </w:rPr>
        <w:t xml:space="preserve">  Uvedeno výše</w:t>
      </w:r>
    </w:p>
  </w:footnote>
  <w:footnote w:id="20">
    <w:p w:rsidR="00FD7B45" w:rsidRDefault="00FD7B45" w:rsidP="00E63CFA">
      <w:pPr>
        <w:pStyle w:val="Textpoznpodarou"/>
      </w:pPr>
      <w:r w:rsidRPr="00363E51">
        <w:rPr>
          <w:rStyle w:val="Odkazjemn"/>
        </w:rPr>
        <w:footnoteRef/>
      </w:r>
      <w:r w:rsidRPr="00363E51">
        <w:rPr>
          <w:rStyle w:val="Odkazjemn"/>
        </w:rPr>
        <w:t xml:space="preserve">  </w:t>
      </w:r>
      <w:proofErr w:type="gramStart"/>
      <w:r w:rsidRPr="00363E51">
        <w:rPr>
          <w:rStyle w:val="Odkazjemn"/>
        </w:rPr>
        <w:t>VODIČKOVÁ,Š Zavedení</w:t>
      </w:r>
      <w:proofErr w:type="gramEnd"/>
      <w:r w:rsidRPr="00363E51">
        <w:rPr>
          <w:rStyle w:val="Odkazjemn"/>
        </w:rPr>
        <w:t xml:space="preserve"> eura ve vybrané zemi 2008, [Diplomová práce]. Brno: Masarykova univerzita v Brně, </w:t>
      </w:r>
      <w:proofErr w:type="spellStart"/>
      <w:r w:rsidRPr="00363E51">
        <w:rPr>
          <w:rStyle w:val="Odkazjemn"/>
        </w:rPr>
        <w:t>Ek</w:t>
      </w:r>
      <w:r>
        <w:rPr>
          <w:rStyle w:val="Odkazjemn"/>
        </w:rPr>
        <w:t>onomicko</w:t>
      </w:r>
      <w:proofErr w:type="spellEnd"/>
      <w:r>
        <w:rPr>
          <w:rStyle w:val="Odkazjemn"/>
        </w:rPr>
        <w:t xml:space="preserve"> </w:t>
      </w:r>
      <w:proofErr w:type="gramStart"/>
      <w:r>
        <w:rPr>
          <w:rStyle w:val="Odkazjemn"/>
        </w:rPr>
        <w:t>správní  fakulta</w:t>
      </w:r>
      <w:proofErr w:type="gramEnd"/>
      <w:r>
        <w:rPr>
          <w:rStyle w:val="Odkazjemn"/>
        </w:rPr>
        <w:t>, 2008</w:t>
      </w:r>
    </w:p>
  </w:footnote>
  <w:footnote w:id="21">
    <w:p w:rsidR="00FD7B45" w:rsidRDefault="00FD7B45">
      <w:pPr>
        <w:pStyle w:val="Textpoznpodarou"/>
      </w:pPr>
      <w:r w:rsidRPr="00363E51">
        <w:rPr>
          <w:rStyle w:val="Odkazjemn"/>
        </w:rPr>
        <w:footnoteRef/>
      </w:r>
      <w:r w:rsidRPr="00363E51">
        <w:rPr>
          <w:rStyle w:val="Odkazjemn"/>
        </w:rPr>
        <w:t xml:space="preserve"> </w:t>
      </w:r>
      <w:proofErr w:type="spellStart"/>
      <w:r w:rsidRPr="00363E51">
        <w:rPr>
          <w:rStyle w:val="Odkazjemn"/>
        </w:rPr>
        <w:t>Economic</w:t>
      </w:r>
      <w:proofErr w:type="spellEnd"/>
      <w:r w:rsidRPr="00363E51">
        <w:rPr>
          <w:rStyle w:val="Odkazjemn"/>
        </w:rPr>
        <w:t xml:space="preserve"> help [online] </w:t>
      </w:r>
      <w:proofErr w:type="spellStart"/>
      <w:r w:rsidRPr="00363E51">
        <w:rPr>
          <w:rStyle w:val="Odkazjemn"/>
        </w:rPr>
        <w:t>Benefits</w:t>
      </w:r>
      <w:proofErr w:type="spellEnd"/>
      <w:r w:rsidRPr="00363E51">
        <w:rPr>
          <w:rStyle w:val="Odkazjemn"/>
        </w:rPr>
        <w:t xml:space="preserve"> </w:t>
      </w:r>
      <w:proofErr w:type="spellStart"/>
      <w:r w:rsidRPr="00363E51">
        <w:rPr>
          <w:rStyle w:val="Odkazjemn"/>
        </w:rPr>
        <w:t>of</w:t>
      </w:r>
      <w:proofErr w:type="spellEnd"/>
      <w:r w:rsidRPr="00363E51">
        <w:rPr>
          <w:rStyle w:val="Odkazjemn"/>
        </w:rPr>
        <w:t xml:space="preserve"> euro, 2010, [</w:t>
      </w:r>
      <w:proofErr w:type="gramStart"/>
      <w:r w:rsidRPr="00363E51">
        <w:rPr>
          <w:rStyle w:val="Odkazjemn"/>
        </w:rPr>
        <w:t>cit</w:t>
      </w:r>
      <w:proofErr w:type="gramEnd"/>
      <w:r w:rsidRPr="00363E51">
        <w:rPr>
          <w:rStyle w:val="Odkazjemn"/>
        </w:rPr>
        <w:t>.</w:t>
      </w:r>
      <w:proofErr w:type="gramStart"/>
      <w:r w:rsidRPr="00363E51">
        <w:rPr>
          <w:rStyle w:val="Odkazjemn"/>
        </w:rPr>
        <w:t>2010</w:t>
      </w:r>
      <w:proofErr w:type="gramEnd"/>
      <w:r w:rsidRPr="00363E51">
        <w:rPr>
          <w:rStyle w:val="Odkazjemn"/>
        </w:rPr>
        <w:t xml:space="preserve">-9-15]. Dostupný z </w:t>
      </w:r>
      <w:r>
        <w:rPr>
          <w:rStyle w:val="Odkazjemn"/>
        </w:rPr>
        <w:t>&lt;</w:t>
      </w:r>
      <w:hyperlink r:id="rId8" w:history="1">
        <w:r w:rsidRPr="00363E51">
          <w:rPr>
            <w:rStyle w:val="Odkazjemn"/>
          </w:rPr>
          <w:t>http://www.economicshelp.org/europe/benefits-euro.html</w:t>
        </w:r>
      </w:hyperlink>
      <w:r>
        <w:rPr>
          <w:rStyle w:val="Odkazjemn"/>
        </w:rPr>
        <w:t>&gt;</w:t>
      </w:r>
    </w:p>
  </w:footnote>
  <w:footnote w:id="22">
    <w:p w:rsidR="00FD7B45" w:rsidRDefault="00FD7B45" w:rsidP="00363E51">
      <w:pPr>
        <w:spacing w:line="240" w:lineRule="auto"/>
      </w:pPr>
      <w:r w:rsidRPr="00363E51">
        <w:rPr>
          <w:rStyle w:val="Odkazjemn"/>
        </w:rPr>
        <w:footnoteRef/>
      </w:r>
      <w:r w:rsidRPr="00363E51">
        <w:rPr>
          <w:rStyle w:val="Odkazjemn"/>
        </w:rPr>
        <w:t xml:space="preserve"> </w:t>
      </w:r>
      <w:r>
        <w:rPr>
          <w:rStyle w:val="Odkazjemn"/>
        </w:rPr>
        <w:t>Uvedeno výše</w:t>
      </w:r>
    </w:p>
  </w:footnote>
  <w:footnote w:id="23">
    <w:p w:rsidR="00FD7B45" w:rsidRDefault="00FD7B45" w:rsidP="00363E51">
      <w:pPr>
        <w:spacing w:line="240" w:lineRule="auto"/>
      </w:pPr>
      <w:r w:rsidRPr="00363E51">
        <w:rPr>
          <w:rStyle w:val="Odkazjemn"/>
        </w:rPr>
        <w:footnoteRef/>
      </w:r>
      <w:r w:rsidRPr="00363E51">
        <w:rPr>
          <w:rStyle w:val="Odkazjemn"/>
        </w:rPr>
        <w:t xml:space="preserve"> </w:t>
      </w:r>
      <w:proofErr w:type="spellStart"/>
      <w:r w:rsidRPr="00363E51">
        <w:rPr>
          <w:rStyle w:val="Odkazjemn"/>
        </w:rPr>
        <w:t>Economic</w:t>
      </w:r>
      <w:proofErr w:type="spellEnd"/>
      <w:r w:rsidRPr="00363E51">
        <w:rPr>
          <w:rStyle w:val="Odkazjemn"/>
        </w:rPr>
        <w:t xml:space="preserve"> help [online] </w:t>
      </w:r>
      <w:proofErr w:type="spellStart"/>
      <w:r w:rsidRPr="00363E51">
        <w:rPr>
          <w:rStyle w:val="Odkazjemn"/>
        </w:rPr>
        <w:t>Benefits</w:t>
      </w:r>
      <w:proofErr w:type="spellEnd"/>
      <w:r w:rsidRPr="00363E51">
        <w:rPr>
          <w:rStyle w:val="Odkazjemn"/>
        </w:rPr>
        <w:t xml:space="preserve"> </w:t>
      </w:r>
      <w:proofErr w:type="spellStart"/>
      <w:r w:rsidRPr="00363E51">
        <w:rPr>
          <w:rStyle w:val="Odkazjemn"/>
        </w:rPr>
        <w:t>of</w:t>
      </w:r>
      <w:proofErr w:type="spellEnd"/>
      <w:r w:rsidRPr="00363E51">
        <w:rPr>
          <w:rStyle w:val="Odkazjemn"/>
        </w:rPr>
        <w:t xml:space="preserve"> euro, 2010, [</w:t>
      </w:r>
      <w:proofErr w:type="gramStart"/>
      <w:r w:rsidRPr="00363E51">
        <w:rPr>
          <w:rStyle w:val="Odkazjemn"/>
        </w:rPr>
        <w:t>cit</w:t>
      </w:r>
      <w:proofErr w:type="gramEnd"/>
      <w:r w:rsidRPr="00363E51">
        <w:rPr>
          <w:rStyle w:val="Odkazjemn"/>
        </w:rPr>
        <w:t>.</w:t>
      </w:r>
      <w:proofErr w:type="gramStart"/>
      <w:r w:rsidRPr="00363E51">
        <w:rPr>
          <w:rStyle w:val="Odkazjemn"/>
        </w:rPr>
        <w:t>2010</w:t>
      </w:r>
      <w:proofErr w:type="gramEnd"/>
      <w:r w:rsidRPr="00363E51">
        <w:rPr>
          <w:rStyle w:val="Odkazjemn"/>
        </w:rPr>
        <w:t xml:space="preserve">-9-15]. Dostupný z </w:t>
      </w:r>
      <w:r>
        <w:rPr>
          <w:rStyle w:val="Odkazjemn"/>
        </w:rPr>
        <w:t>&lt;</w:t>
      </w:r>
      <w:hyperlink r:id="rId9" w:history="1">
        <w:r w:rsidRPr="00363E51">
          <w:rPr>
            <w:rStyle w:val="Odkazjemn"/>
          </w:rPr>
          <w:t>http://www.economicshelp.org/europe/benefits-euro.html</w:t>
        </w:r>
      </w:hyperlink>
      <w:r>
        <w:rPr>
          <w:rStyle w:val="Odkazjemn"/>
        </w:rPr>
        <w:t>&gt;</w:t>
      </w:r>
    </w:p>
  </w:footnote>
  <w:footnote w:id="24">
    <w:p w:rsidR="00FD7B45" w:rsidRDefault="00FD7B45" w:rsidP="00363E51">
      <w:pPr>
        <w:pStyle w:val="Textpoznpodarou"/>
      </w:pPr>
      <w:r w:rsidRPr="00363E51">
        <w:rPr>
          <w:rStyle w:val="Odkazjemn"/>
        </w:rPr>
        <w:footnoteRef/>
      </w:r>
      <w:r w:rsidRPr="00363E51">
        <w:rPr>
          <w:rStyle w:val="Odkazjemn"/>
        </w:rPr>
        <w:t xml:space="preserve"> </w:t>
      </w:r>
      <w:proofErr w:type="gramStart"/>
      <w:r w:rsidRPr="00363E51">
        <w:rPr>
          <w:rStyle w:val="Odkazjemn"/>
        </w:rPr>
        <w:t>VODIČKOVÁ,Š Zavedení</w:t>
      </w:r>
      <w:proofErr w:type="gramEnd"/>
      <w:r w:rsidRPr="00363E51">
        <w:rPr>
          <w:rStyle w:val="Odkazjemn"/>
        </w:rPr>
        <w:t xml:space="preserve"> eura ve vybrané zemi, 2008, [Diplomová práce]. Brno: Masarykova univerzita v Brně, </w:t>
      </w:r>
      <w:proofErr w:type="spellStart"/>
      <w:r w:rsidRPr="00363E51">
        <w:rPr>
          <w:rStyle w:val="Odkazjemn"/>
        </w:rPr>
        <w:t>Ekonomicko</w:t>
      </w:r>
      <w:proofErr w:type="spellEnd"/>
      <w:r w:rsidRPr="00363E51">
        <w:rPr>
          <w:rStyle w:val="Odkazjemn"/>
        </w:rPr>
        <w:t xml:space="preserve"> </w:t>
      </w:r>
      <w:proofErr w:type="gramStart"/>
      <w:r w:rsidRPr="00363E51">
        <w:rPr>
          <w:rStyle w:val="Odkazjemn"/>
        </w:rPr>
        <w:t>správní  fakulta</w:t>
      </w:r>
      <w:proofErr w:type="gramEnd"/>
      <w:r w:rsidRPr="00363E51">
        <w:rPr>
          <w:rStyle w:val="Odkazjemn"/>
        </w:rPr>
        <w:t>, 2008</w:t>
      </w:r>
    </w:p>
  </w:footnote>
  <w:footnote w:id="25">
    <w:p w:rsidR="00FD7B45" w:rsidRDefault="00FD7B45" w:rsidP="00363E51">
      <w:pPr>
        <w:pStyle w:val="Textpoznpodarou"/>
      </w:pPr>
      <w:r w:rsidRPr="00363E51">
        <w:rPr>
          <w:rStyle w:val="Odkazjemn"/>
        </w:rPr>
        <w:footnoteRef/>
      </w:r>
      <w:r w:rsidRPr="00363E51">
        <w:rPr>
          <w:rStyle w:val="Odkazjemn"/>
        </w:rPr>
        <w:t xml:space="preserve">  </w:t>
      </w:r>
      <w:r>
        <w:rPr>
          <w:rStyle w:val="Odkazjemn"/>
        </w:rPr>
        <w:t>Uvedeno výše</w:t>
      </w:r>
    </w:p>
  </w:footnote>
  <w:footnote w:id="26">
    <w:p w:rsidR="00FD7B45" w:rsidRDefault="00FD7B45" w:rsidP="00363E51">
      <w:pPr>
        <w:pStyle w:val="Textpoznpodarou"/>
      </w:pPr>
      <w:r w:rsidRPr="00363E51">
        <w:rPr>
          <w:rStyle w:val="Odkazjemn"/>
        </w:rPr>
        <w:footnoteRef/>
      </w:r>
      <w:r w:rsidRPr="00363E51">
        <w:rPr>
          <w:rStyle w:val="Odkazjemn"/>
        </w:rPr>
        <w:t xml:space="preserve"> </w:t>
      </w:r>
      <w:proofErr w:type="spellStart"/>
      <w:r w:rsidRPr="00363E51">
        <w:rPr>
          <w:rStyle w:val="Odkazjemn"/>
        </w:rPr>
        <w:t>Economic</w:t>
      </w:r>
      <w:proofErr w:type="spellEnd"/>
      <w:r w:rsidRPr="00363E51">
        <w:rPr>
          <w:rStyle w:val="Odkazjemn"/>
        </w:rPr>
        <w:t xml:space="preserve"> help [online] </w:t>
      </w:r>
      <w:proofErr w:type="spellStart"/>
      <w:r w:rsidRPr="00363E51">
        <w:rPr>
          <w:rStyle w:val="Odkazjemn"/>
        </w:rPr>
        <w:t>Benefits</w:t>
      </w:r>
      <w:proofErr w:type="spellEnd"/>
      <w:r w:rsidRPr="00363E51">
        <w:rPr>
          <w:rStyle w:val="Odkazjemn"/>
        </w:rPr>
        <w:t xml:space="preserve"> </w:t>
      </w:r>
      <w:proofErr w:type="spellStart"/>
      <w:r w:rsidRPr="00363E51">
        <w:rPr>
          <w:rStyle w:val="Odkazjemn"/>
        </w:rPr>
        <w:t>of</w:t>
      </w:r>
      <w:proofErr w:type="spellEnd"/>
      <w:r w:rsidRPr="00363E51">
        <w:rPr>
          <w:rStyle w:val="Odkazjemn"/>
        </w:rPr>
        <w:t xml:space="preserve"> euro [</w:t>
      </w:r>
      <w:proofErr w:type="gramStart"/>
      <w:r w:rsidRPr="00363E51">
        <w:rPr>
          <w:rStyle w:val="Odkazjemn"/>
        </w:rPr>
        <w:t>cit</w:t>
      </w:r>
      <w:proofErr w:type="gramEnd"/>
      <w:r w:rsidRPr="00363E51">
        <w:rPr>
          <w:rStyle w:val="Odkazjemn"/>
        </w:rPr>
        <w:t>.</w:t>
      </w:r>
      <w:proofErr w:type="gramStart"/>
      <w:r w:rsidRPr="00363E51">
        <w:rPr>
          <w:rStyle w:val="Odkazjemn"/>
        </w:rPr>
        <w:t>2010</w:t>
      </w:r>
      <w:proofErr w:type="gramEnd"/>
      <w:r w:rsidRPr="00363E51">
        <w:rPr>
          <w:rStyle w:val="Odkazjemn"/>
        </w:rPr>
        <w:t xml:space="preserve">-9-15]. Dostupný z </w:t>
      </w:r>
      <w:r>
        <w:rPr>
          <w:rStyle w:val="Odkazjemn"/>
        </w:rPr>
        <w:t>&lt;</w:t>
      </w:r>
      <w:hyperlink r:id="rId10" w:history="1">
        <w:r w:rsidRPr="00363E51">
          <w:rPr>
            <w:rStyle w:val="Odkazjemn"/>
          </w:rPr>
          <w:t>http://www.economicshelp.org/europe/benefits-euro.html</w:t>
        </w:r>
      </w:hyperlink>
      <w:r>
        <w:rPr>
          <w:rStyle w:val="Odkazjemn"/>
        </w:rPr>
        <w:t>&gt;</w:t>
      </w:r>
    </w:p>
  </w:footnote>
  <w:footnote w:id="27">
    <w:p w:rsidR="00FD7B45" w:rsidRDefault="00FD7B45" w:rsidP="00E95497">
      <w:pPr>
        <w:pStyle w:val="externalclass9015b86d913f4aeeb124c00a12335c81"/>
        <w:numPr>
          <w:ilvl w:val="0"/>
          <w:numId w:val="0"/>
        </w:numPr>
        <w:spacing w:before="0" w:beforeAutospacing="0" w:after="0" w:afterAutospacing="0"/>
      </w:pPr>
      <w:r w:rsidRPr="00FF0309">
        <w:rPr>
          <w:rStyle w:val="Odkazjemn"/>
        </w:rPr>
        <w:footnoteRef/>
      </w:r>
      <w:r w:rsidRPr="00FF0309">
        <w:rPr>
          <w:rStyle w:val="Odkazjemn"/>
        </w:rPr>
        <w:t xml:space="preserve">  JAVŮREK, P. Dopady zavedení eura na český bankovní sektor. 2002. [Bakalářská práce]. Brno&gt;Masarykova univerzita v Brně, Pedagogická fakulta, 2002.</w:t>
      </w:r>
    </w:p>
  </w:footnote>
  <w:footnote w:id="28">
    <w:p w:rsidR="00FD7B45" w:rsidRDefault="00FD7B45" w:rsidP="00E95497">
      <w:pPr>
        <w:pStyle w:val="Textpoznpodarou"/>
      </w:pPr>
      <w:r w:rsidRPr="00FF0309">
        <w:rPr>
          <w:rStyle w:val="Odkazjemn"/>
        </w:rPr>
        <w:footnoteRef/>
      </w:r>
      <w:r w:rsidRPr="00FF0309">
        <w:rPr>
          <w:rStyle w:val="Odkazjemn"/>
        </w:rPr>
        <w:t xml:space="preserve"> </w:t>
      </w:r>
      <w:proofErr w:type="spellStart"/>
      <w:r w:rsidRPr="00FF0309">
        <w:rPr>
          <w:rStyle w:val="Odkazjemn"/>
        </w:rPr>
        <w:t>Economic</w:t>
      </w:r>
      <w:proofErr w:type="spellEnd"/>
      <w:r w:rsidRPr="00FF0309">
        <w:rPr>
          <w:rStyle w:val="Odkazjemn"/>
        </w:rPr>
        <w:t xml:space="preserve"> help [online] </w:t>
      </w:r>
      <w:proofErr w:type="spellStart"/>
      <w:r w:rsidRPr="00FF0309">
        <w:rPr>
          <w:rStyle w:val="Odkazjemn"/>
        </w:rPr>
        <w:t>Benefits</w:t>
      </w:r>
      <w:proofErr w:type="spellEnd"/>
      <w:r w:rsidRPr="00FF0309">
        <w:rPr>
          <w:rStyle w:val="Odkazjemn"/>
        </w:rPr>
        <w:t xml:space="preserve"> </w:t>
      </w:r>
      <w:proofErr w:type="spellStart"/>
      <w:r w:rsidRPr="00FF0309">
        <w:rPr>
          <w:rStyle w:val="Odkazjemn"/>
        </w:rPr>
        <w:t>of</w:t>
      </w:r>
      <w:proofErr w:type="spellEnd"/>
      <w:r w:rsidRPr="00FF0309">
        <w:rPr>
          <w:rStyle w:val="Odkazjemn"/>
        </w:rPr>
        <w:t xml:space="preserve"> euro, 2010, [cit.</w:t>
      </w:r>
      <w:r>
        <w:rPr>
          <w:rStyle w:val="Odkazjemn"/>
        </w:rPr>
        <w:t xml:space="preserve"> </w:t>
      </w:r>
      <w:proofErr w:type="gramStart"/>
      <w:r w:rsidRPr="00FF0309">
        <w:rPr>
          <w:rStyle w:val="Odkazjemn"/>
        </w:rPr>
        <w:t>2010-9-15</w:t>
      </w:r>
      <w:proofErr w:type="gramEnd"/>
      <w:r w:rsidRPr="00FF0309">
        <w:rPr>
          <w:rStyle w:val="Odkazjemn"/>
        </w:rPr>
        <w:t xml:space="preserve">]. Dostupný z </w:t>
      </w:r>
      <w:r>
        <w:rPr>
          <w:rStyle w:val="Odkazjemn"/>
        </w:rPr>
        <w:t>&lt;</w:t>
      </w:r>
      <w:hyperlink r:id="rId11" w:history="1">
        <w:r w:rsidRPr="00FF0309">
          <w:rPr>
            <w:rStyle w:val="Odkazjemn"/>
          </w:rPr>
          <w:t>http://www.economicshelp.org/europe/benefits-euro.html</w:t>
        </w:r>
      </w:hyperlink>
      <w:r>
        <w:rPr>
          <w:rStyle w:val="Odkazjemn"/>
        </w:rPr>
        <w:t>&gt;</w:t>
      </w:r>
    </w:p>
  </w:footnote>
  <w:footnote w:id="29">
    <w:p w:rsidR="00FD7B45" w:rsidRDefault="00FD7B45" w:rsidP="00575E1F">
      <w:pPr>
        <w:pStyle w:val="externalclass9015b86d913f4aeeb124c00a12335c81"/>
        <w:numPr>
          <w:ilvl w:val="0"/>
          <w:numId w:val="0"/>
        </w:numPr>
        <w:spacing w:before="0" w:beforeAutospacing="0" w:after="0" w:afterAutospacing="0"/>
        <w:ind w:left="453" w:hanging="453"/>
      </w:pPr>
      <w:r w:rsidRPr="00FF0309">
        <w:rPr>
          <w:rStyle w:val="Odkazjemn"/>
        </w:rPr>
        <w:footnoteRef/>
      </w:r>
      <w:r w:rsidRPr="00FF0309">
        <w:rPr>
          <w:rStyle w:val="Odkazjemn"/>
        </w:rPr>
        <w:t xml:space="preserve"> </w:t>
      </w:r>
      <w:proofErr w:type="spellStart"/>
      <w:r w:rsidRPr="00FF0309">
        <w:rPr>
          <w:rStyle w:val="Odkazjemn"/>
        </w:rPr>
        <w:t>European</w:t>
      </w:r>
      <w:proofErr w:type="spellEnd"/>
      <w:r w:rsidRPr="00FF0309">
        <w:rPr>
          <w:rStyle w:val="Odkazjemn"/>
        </w:rPr>
        <w:t xml:space="preserve"> </w:t>
      </w:r>
      <w:proofErr w:type="spellStart"/>
      <w:r w:rsidRPr="00FF0309">
        <w:rPr>
          <w:rStyle w:val="Odkazjemn"/>
        </w:rPr>
        <w:t>Central</w:t>
      </w:r>
      <w:proofErr w:type="spellEnd"/>
      <w:r w:rsidRPr="00FF0309">
        <w:rPr>
          <w:rStyle w:val="Odkazjemn"/>
        </w:rPr>
        <w:t xml:space="preserve"> Bank.: EU </w:t>
      </w:r>
      <w:proofErr w:type="spellStart"/>
      <w:r w:rsidRPr="00FF0309">
        <w:rPr>
          <w:rStyle w:val="Odkazjemn"/>
        </w:rPr>
        <w:t>enlargement</w:t>
      </w:r>
      <w:proofErr w:type="spellEnd"/>
      <w:r w:rsidRPr="00FF0309">
        <w:rPr>
          <w:rStyle w:val="Odkazjemn"/>
        </w:rPr>
        <w:t>. [on-line</w:t>
      </w:r>
      <w:r w:rsidRPr="00FF0309">
        <w:rPr>
          <w:rStyle w:val="Odkazjemn"/>
          <w:szCs w:val="18"/>
        </w:rPr>
        <w:sym w:font="Symbol" w:char="F05D"/>
      </w:r>
      <w:r w:rsidRPr="00FF0309">
        <w:rPr>
          <w:rStyle w:val="Odkazjemn"/>
        </w:rPr>
        <w:t xml:space="preserve">, 2010, [cit. </w:t>
      </w:r>
      <w:proofErr w:type="gramStart"/>
      <w:r w:rsidRPr="00FF0309">
        <w:rPr>
          <w:rStyle w:val="Odkazjemn"/>
        </w:rPr>
        <w:t>2010</w:t>
      </w:r>
      <w:r>
        <w:rPr>
          <w:rStyle w:val="Odkazjemn"/>
        </w:rPr>
        <w:t>-09</w:t>
      </w:r>
      <w:proofErr w:type="gramEnd"/>
      <w:r>
        <w:rPr>
          <w:rStyle w:val="Odkazjemn"/>
        </w:rPr>
        <w:t xml:space="preserve">-15]. Dostupné z: </w:t>
      </w:r>
      <w:r w:rsidRPr="00FF0309">
        <w:rPr>
          <w:rStyle w:val="Odkazjemn"/>
        </w:rPr>
        <w:t>&lt;http://www.</w:t>
      </w:r>
      <w:proofErr w:type="spellStart"/>
      <w:r w:rsidRPr="00FF0309">
        <w:rPr>
          <w:rStyle w:val="Odkazjemn"/>
        </w:rPr>
        <w:t>ecb.int</w:t>
      </w:r>
      <w:proofErr w:type="spellEnd"/>
      <w:r w:rsidRPr="00FF0309">
        <w:rPr>
          <w:rStyle w:val="Odkazjemn"/>
        </w:rPr>
        <w:t>/</w:t>
      </w:r>
      <w:proofErr w:type="spellStart"/>
      <w:r w:rsidRPr="00FF0309">
        <w:rPr>
          <w:rStyle w:val="Odkazjemn"/>
        </w:rPr>
        <w:t>pub</w:t>
      </w:r>
      <w:proofErr w:type="spellEnd"/>
      <w:r w:rsidRPr="00FF0309">
        <w:rPr>
          <w:rStyle w:val="Odkazjemn"/>
        </w:rPr>
        <w:t>/</w:t>
      </w:r>
      <w:proofErr w:type="spellStart"/>
      <w:r w:rsidRPr="00FF0309">
        <w:rPr>
          <w:rStyle w:val="Odkazjemn"/>
        </w:rPr>
        <w:t>pdf</w:t>
      </w:r>
      <w:proofErr w:type="spellEnd"/>
      <w:r w:rsidRPr="00FF0309">
        <w:rPr>
          <w:rStyle w:val="Odkazjemn"/>
        </w:rPr>
        <w:t>/</w:t>
      </w:r>
      <w:proofErr w:type="spellStart"/>
      <w:r w:rsidRPr="00FF0309">
        <w:rPr>
          <w:rStyle w:val="Odkazjemn"/>
        </w:rPr>
        <w:t>other</w:t>
      </w:r>
      <w:proofErr w:type="spellEnd"/>
      <w:r w:rsidRPr="00FF0309">
        <w:rPr>
          <w:rStyle w:val="Odkazjemn"/>
        </w:rPr>
        <w:t>/</w:t>
      </w:r>
      <w:proofErr w:type="spellStart"/>
      <w:r w:rsidRPr="00FF0309">
        <w:rPr>
          <w:rStyle w:val="Odkazjemn"/>
        </w:rPr>
        <w:t>whypricestabilitycs.pdf</w:t>
      </w:r>
      <w:proofErr w:type="spellEnd"/>
      <w:r w:rsidRPr="00FF0309">
        <w:rPr>
          <w:rStyle w:val="Odkazjemn"/>
        </w:rPr>
        <w:t>&gt;.</w:t>
      </w:r>
    </w:p>
  </w:footnote>
  <w:footnote w:id="30">
    <w:p w:rsidR="00FD7B45" w:rsidRDefault="00FD7B45" w:rsidP="00FF0309">
      <w:pPr>
        <w:spacing w:line="240" w:lineRule="auto"/>
      </w:pPr>
      <w:r w:rsidRPr="00FF0309">
        <w:rPr>
          <w:rStyle w:val="Odkazjemn"/>
        </w:rPr>
        <w:footnoteRef/>
      </w:r>
      <w:r w:rsidRPr="00FF0309">
        <w:rPr>
          <w:rStyle w:val="Odkazjemn"/>
        </w:rPr>
        <w:t xml:space="preserve"> </w:t>
      </w:r>
      <w:proofErr w:type="spellStart"/>
      <w:r w:rsidRPr="00FF0309">
        <w:rPr>
          <w:rStyle w:val="Odkazjemn"/>
        </w:rPr>
        <w:t>AWD</w:t>
      </w:r>
      <w:proofErr w:type="spellEnd"/>
      <w:r w:rsidRPr="00FF0309">
        <w:rPr>
          <w:rStyle w:val="Odkazjemn"/>
        </w:rPr>
        <w:t xml:space="preserve"> Česká republika s.r.o.: Měnová unie. [online], 2010 [cit. </w:t>
      </w:r>
      <w:proofErr w:type="gramStart"/>
      <w:r w:rsidRPr="00FF0309">
        <w:rPr>
          <w:rStyle w:val="Odkazjemn"/>
        </w:rPr>
        <w:t>2010-03</w:t>
      </w:r>
      <w:proofErr w:type="gramEnd"/>
      <w:r w:rsidRPr="00FF0309">
        <w:rPr>
          <w:rStyle w:val="Odkazjemn"/>
        </w:rPr>
        <w:t>-19]. Dostupné z: &lt;http://</w:t>
      </w:r>
      <w:hyperlink r:id="rId12" w:history="1">
        <w:r w:rsidRPr="00FF0309">
          <w:rPr>
            <w:rStyle w:val="Odkazjemn"/>
          </w:rPr>
          <w:t>www.finance.cz/zpravy/finance/48714-clenstvi-v-unii-pomohlo-zahranicnimu-obchodu/</w:t>
        </w:r>
      </w:hyperlink>
      <w:r>
        <w:rPr>
          <w:rStyle w:val="Odkazjemn"/>
        </w:rPr>
        <w:t>&gt;</w:t>
      </w:r>
    </w:p>
  </w:footnote>
  <w:footnote w:id="31">
    <w:p w:rsidR="00FD7B45" w:rsidRDefault="00FD7B45" w:rsidP="00575E1F">
      <w:pPr>
        <w:spacing w:line="240" w:lineRule="auto"/>
      </w:pPr>
      <w:r w:rsidRPr="00FF0309">
        <w:rPr>
          <w:rStyle w:val="Odkazjemn"/>
        </w:rPr>
        <w:footnoteRef/>
      </w:r>
      <w:r w:rsidRPr="00FF0309">
        <w:rPr>
          <w:rStyle w:val="Odkazjemn"/>
        </w:rPr>
        <w:t xml:space="preserve"> </w:t>
      </w:r>
      <w:proofErr w:type="spellStart"/>
      <w:r w:rsidRPr="00FF0309">
        <w:rPr>
          <w:rStyle w:val="Odkazjemn"/>
        </w:rPr>
        <w:t>Economic</w:t>
      </w:r>
      <w:proofErr w:type="spellEnd"/>
      <w:r w:rsidRPr="00FF0309">
        <w:rPr>
          <w:rStyle w:val="Odkazjemn"/>
        </w:rPr>
        <w:t xml:space="preserve"> help [online] </w:t>
      </w:r>
      <w:proofErr w:type="spellStart"/>
      <w:r w:rsidRPr="00FF0309">
        <w:rPr>
          <w:rStyle w:val="Odkazjemn"/>
        </w:rPr>
        <w:t>Cost</w:t>
      </w:r>
      <w:proofErr w:type="spellEnd"/>
      <w:r w:rsidRPr="00FF0309">
        <w:rPr>
          <w:rStyle w:val="Odkazjemn"/>
        </w:rPr>
        <w:t xml:space="preserve"> </w:t>
      </w:r>
      <w:proofErr w:type="spellStart"/>
      <w:r w:rsidRPr="00FF0309">
        <w:rPr>
          <w:rStyle w:val="Odkazjemn"/>
        </w:rPr>
        <w:t>of</w:t>
      </w:r>
      <w:proofErr w:type="spellEnd"/>
      <w:r w:rsidRPr="00FF0309">
        <w:rPr>
          <w:rStyle w:val="Odkazjemn"/>
        </w:rPr>
        <w:t xml:space="preserve"> </w:t>
      </w:r>
      <w:proofErr w:type="spellStart"/>
      <w:r w:rsidRPr="00FF0309">
        <w:rPr>
          <w:rStyle w:val="Odkazjemn"/>
        </w:rPr>
        <w:t>joing</w:t>
      </w:r>
      <w:proofErr w:type="spellEnd"/>
      <w:r w:rsidRPr="00FF0309">
        <w:rPr>
          <w:rStyle w:val="Odkazjemn"/>
        </w:rPr>
        <w:t xml:space="preserve"> </w:t>
      </w:r>
      <w:proofErr w:type="spellStart"/>
      <w:proofErr w:type="gramStart"/>
      <w:r w:rsidRPr="00FF0309">
        <w:rPr>
          <w:rStyle w:val="Odkazjemn"/>
        </w:rPr>
        <w:t>the</w:t>
      </w:r>
      <w:proofErr w:type="spellEnd"/>
      <w:r w:rsidRPr="00FF0309">
        <w:rPr>
          <w:rStyle w:val="Odkazjemn"/>
        </w:rPr>
        <w:t xml:space="preserve">  euro</w:t>
      </w:r>
      <w:proofErr w:type="gramEnd"/>
      <w:r w:rsidRPr="00FF0309">
        <w:rPr>
          <w:rStyle w:val="Odkazjemn"/>
        </w:rPr>
        <w:t xml:space="preserve">, 2010, [cit.2010-9-15]. Dostupný z </w:t>
      </w:r>
      <w:hyperlink r:id="rId13" w:history="1"/>
      <w:r w:rsidRPr="00FF0309">
        <w:rPr>
          <w:rStyle w:val="Odkazjemn"/>
        </w:rPr>
        <w:t xml:space="preserve"> </w:t>
      </w:r>
      <w:r>
        <w:rPr>
          <w:rStyle w:val="Odkazjemn"/>
        </w:rPr>
        <w:t>&lt;</w:t>
      </w:r>
      <w:hyperlink r:id="rId14" w:history="1">
        <w:r w:rsidRPr="00FF0309">
          <w:rPr>
            <w:rStyle w:val="Odkazjemn"/>
          </w:rPr>
          <w:t>http://www.economicshelp.org/europe/costs-euro.html</w:t>
        </w:r>
      </w:hyperlink>
      <w:r>
        <w:rPr>
          <w:rStyle w:val="Odkazjemn"/>
        </w:rPr>
        <w:t>&gt;</w:t>
      </w:r>
    </w:p>
  </w:footnote>
  <w:footnote w:id="32">
    <w:p w:rsidR="00FD7B45" w:rsidRDefault="00FD7B45" w:rsidP="00FF0309">
      <w:pPr>
        <w:pStyle w:val="externalclass9015b86d913f4aeeb124c00a12335c81"/>
        <w:numPr>
          <w:ilvl w:val="0"/>
          <w:numId w:val="0"/>
        </w:numPr>
        <w:spacing w:before="0" w:beforeAutospacing="0" w:after="0" w:afterAutospacing="0"/>
      </w:pPr>
      <w:r w:rsidRPr="00FF0309">
        <w:rPr>
          <w:rStyle w:val="Odkazjemn"/>
        </w:rPr>
        <w:footnoteRef/>
      </w:r>
      <w:r w:rsidRPr="00FF0309">
        <w:rPr>
          <w:rStyle w:val="Odkazjemn"/>
        </w:rPr>
        <w:t xml:space="preserve"> </w:t>
      </w:r>
      <w:proofErr w:type="spellStart"/>
      <w:r w:rsidRPr="00FF0309">
        <w:rPr>
          <w:rStyle w:val="Odkazjemn"/>
        </w:rPr>
        <w:t>HAZUCHA</w:t>
      </w:r>
      <w:proofErr w:type="spellEnd"/>
      <w:r w:rsidRPr="00FF0309">
        <w:rPr>
          <w:rStyle w:val="Odkazjemn"/>
        </w:rPr>
        <w:t xml:space="preserve">, D. Je EMU optimální měnovou oblastí? </w:t>
      </w:r>
      <w:r w:rsidRPr="00FF0309">
        <w:rPr>
          <w:rStyle w:val="Odkazjemn"/>
          <w:szCs w:val="18"/>
        </w:rPr>
        <w:sym w:font="Symbol" w:char="F05B"/>
      </w:r>
      <w:r w:rsidRPr="00FF0309">
        <w:rPr>
          <w:rStyle w:val="Odkazjemn"/>
        </w:rPr>
        <w:t>on-line</w:t>
      </w:r>
      <w:r w:rsidRPr="00FF0309">
        <w:rPr>
          <w:rStyle w:val="Odkazjemn"/>
          <w:szCs w:val="18"/>
        </w:rPr>
        <w:sym w:font="Symbol" w:char="F05D"/>
      </w:r>
      <w:r w:rsidRPr="00FF0309">
        <w:rPr>
          <w:rStyle w:val="Odkazjemn"/>
        </w:rPr>
        <w:t>. 2005. Dostupné z: &lt;http://www.euportal.cz/Articles/384-je-emu-optimalni-menovou-oblasti-.aspx&gt;.</w:t>
      </w:r>
    </w:p>
  </w:footnote>
  <w:footnote w:id="33">
    <w:p w:rsidR="00FD7B45" w:rsidRDefault="00FD7B45" w:rsidP="00575E1F">
      <w:pPr>
        <w:pStyle w:val="Textpoznpodarou"/>
      </w:pPr>
      <w:r w:rsidRPr="00FF0309">
        <w:rPr>
          <w:rStyle w:val="Odkazjemn"/>
        </w:rPr>
        <w:footnoteRef/>
      </w:r>
      <w:r w:rsidRPr="00FF0309">
        <w:rPr>
          <w:rStyle w:val="Odkazjemn"/>
        </w:rPr>
        <w:t xml:space="preserve"> </w:t>
      </w:r>
      <w:proofErr w:type="spellStart"/>
      <w:r w:rsidRPr="00FF0309">
        <w:rPr>
          <w:rStyle w:val="Odkazjemn"/>
        </w:rPr>
        <w:t>HAZUCHA</w:t>
      </w:r>
      <w:proofErr w:type="spellEnd"/>
      <w:r w:rsidRPr="00FF0309">
        <w:rPr>
          <w:rStyle w:val="Odkazjemn"/>
        </w:rPr>
        <w:t xml:space="preserve">, D. Je EMU optimální měnovou oblastí? </w:t>
      </w:r>
      <w:r w:rsidRPr="00FF0309">
        <w:rPr>
          <w:rStyle w:val="Odkazjemn"/>
          <w:szCs w:val="18"/>
        </w:rPr>
        <w:sym w:font="Symbol" w:char="F05B"/>
      </w:r>
      <w:r w:rsidRPr="00FF0309">
        <w:rPr>
          <w:rStyle w:val="Odkazjemn"/>
        </w:rPr>
        <w:t>on-line</w:t>
      </w:r>
      <w:r w:rsidRPr="00FF0309">
        <w:rPr>
          <w:rStyle w:val="Odkazjemn"/>
          <w:szCs w:val="18"/>
        </w:rPr>
        <w:sym w:font="Symbol" w:char="F05D"/>
      </w:r>
      <w:r w:rsidRPr="00FF0309">
        <w:rPr>
          <w:rStyle w:val="Odkazjemn"/>
        </w:rPr>
        <w:t>. 2005. Dostupné z: &lt;http://www.euportal.cz/Articles/384-je-emu-optimalni-menovou-oblasti-.aspx&gt;.</w:t>
      </w:r>
    </w:p>
  </w:footnote>
  <w:footnote w:id="34">
    <w:p w:rsidR="00FD7B45" w:rsidRDefault="00FD7B45" w:rsidP="00575E1F">
      <w:pPr>
        <w:spacing w:line="240" w:lineRule="auto"/>
      </w:pPr>
      <w:r w:rsidRPr="00FF0309">
        <w:rPr>
          <w:rStyle w:val="Odkazjemn"/>
        </w:rPr>
        <w:footnoteRef/>
      </w:r>
      <w:r w:rsidRPr="00FF0309">
        <w:rPr>
          <w:rStyle w:val="Odkazjemn"/>
        </w:rPr>
        <w:t xml:space="preserve"> </w:t>
      </w:r>
      <w:proofErr w:type="spellStart"/>
      <w:r w:rsidRPr="00FF0309">
        <w:rPr>
          <w:rStyle w:val="Odkazjemn"/>
        </w:rPr>
        <w:t>Economic</w:t>
      </w:r>
      <w:proofErr w:type="spellEnd"/>
      <w:r w:rsidRPr="00FF0309">
        <w:rPr>
          <w:rStyle w:val="Odkazjemn"/>
        </w:rPr>
        <w:t xml:space="preserve"> help [online] </w:t>
      </w:r>
      <w:proofErr w:type="spellStart"/>
      <w:r w:rsidRPr="00FF0309">
        <w:rPr>
          <w:rStyle w:val="Odkazjemn"/>
        </w:rPr>
        <w:t>Cost</w:t>
      </w:r>
      <w:proofErr w:type="spellEnd"/>
      <w:r w:rsidRPr="00FF0309">
        <w:rPr>
          <w:rStyle w:val="Odkazjemn"/>
        </w:rPr>
        <w:t xml:space="preserve"> </w:t>
      </w:r>
      <w:proofErr w:type="spellStart"/>
      <w:r w:rsidRPr="00FF0309">
        <w:rPr>
          <w:rStyle w:val="Odkazjemn"/>
        </w:rPr>
        <w:t>of</w:t>
      </w:r>
      <w:proofErr w:type="spellEnd"/>
      <w:r w:rsidRPr="00FF0309">
        <w:rPr>
          <w:rStyle w:val="Odkazjemn"/>
        </w:rPr>
        <w:t xml:space="preserve"> </w:t>
      </w:r>
      <w:proofErr w:type="spellStart"/>
      <w:r w:rsidRPr="00FF0309">
        <w:rPr>
          <w:rStyle w:val="Odkazjemn"/>
        </w:rPr>
        <w:t>joing</w:t>
      </w:r>
      <w:proofErr w:type="spellEnd"/>
      <w:r w:rsidRPr="00FF0309">
        <w:rPr>
          <w:rStyle w:val="Odkazjemn"/>
        </w:rPr>
        <w:t xml:space="preserve"> </w:t>
      </w:r>
      <w:proofErr w:type="spellStart"/>
      <w:proofErr w:type="gramStart"/>
      <w:r w:rsidRPr="00FF0309">
        <w:rPr>
          <w:rStyle w:val="Odkazjemn"/>
        </w:rPr>
        <w:t>the</w:t>
      </w:r>
      <w:proofErr w:type="spellEnd"/>
      <w:r w:rsidRPr="00FF0309">
        <w:rPr>
          <w:rStyle w:val="Odkazjemn"/>
        </w:rPr>
        <w:t xml:space="preserve">  euro</w:t>
      </w:r>
      <w:proofErr w:type="gramEnd"/>
      <w:r w:rsidRPr="00FF0309">
        <w:rPr>
          <w:rStyle w:val="Odkazjemn"/>
        </w:rPr>
        <w:t xml:space="preserve">, 2010, [cit.2010-9-15]. Dostupný z </w:t>
      </w:r>
      <w:hyperlink r:id="rId15" w:history="1"/>
      <w:r w:rsidRPr="00FF0309">
        <w:rPr>
          <w:rStyle w:val="Odkazjemn"/>
        </w:rPr>
        <w:t xml:space="preserve"> &lt;</w:t>
      </w:r>
      <w:hyperlink r:id="rId16" w:history="1">
        <w:r w:rsidRPr="00FF0309">
          <w:rPr>
            <w:rStyle w:val="Odkazjemn"/>
          </w:rPr>
          <w:t>http://www.economicshelp.org/europe/costs-euro.html</w:t>
        </w:r>
      </w:hyperlink>
      <w:r w:rsidRPr="00FF0309">
        <w:rPr>
          <w:rStyle w:val="Odkazjemn"/>
        </w:rPr>
        <w:t>&gt;</w:t>
      </w:r>
    </w:p>
  </w:footnote>
  <w:footnote w:id="35">
    <w:p w:rsidR="00FD7B45" w:rsidRDefault="00FD7B45" w:rsidP="00575E1F">
      <w:pPr>
        <w:pStyle w:val="externalclass9015b86d913f4aeeb124c00a12335c81"/>
        <w:numPr>
          <w:ilvl w:val="0"/>
          <w:numId w:val="0"/>
        </w:numPr>
        <w:spacing w:before="0" w:beforeAutospacing="0" w:after="0" w:afterAutospacing="0"/>
      </w:pPr>
      <w:r w:rsidRPr="00FF0309">
        <w:rPr>
          <w:rStyle w:val="Odkazjemn"/>
        </w:rPr>
        <w:footnoteRef/>
      </w:r>
      <w:r w:rsidRPr="00FF0309">
        <w:rPr>
          <w:rStyle w:val="Odkazjemn"/>
        </w:rPr>
        <w:t xml:space="preserve"> </w:t>
      </w:r>
      <w:proofErr w:type="spellStart"/>
      <w:r w:rsidRPr="00FF0309">
        <w:rPr>
          <w:rStyle w:val="Odkazjemn"/>
        </w:rPr>
        <w:t>HAZUCHA</w:t>
      </w:r>
      <w:proofErr w:type="spellEnd"/>
      <w:r w:rsidRPr="00FF0309">
        <w:rPr>
          <w:rStyle w:val="Odkazjemn"/>
        </w:rPr>
        <w:t xml:space="preserve">, D. Je EMU optimální měnovou oblastí? </w:t>
      </w:r>
      <w:r w:rsidRPr="00FF0309">
        <w:rPr>
          <w:rStyle w:val="Odkazjemn"/>
          <w:szCs w:val="18"/>
        </w:rPr>
        <w:sym w:font="Symbol" w:char="F05B"/>
      </w:r>
      <w:r w:rsidRPr="00FF0309">
        <w:rPr>
          <w:rStyle w:val="Odkazjemn"/>
        </w:rPr>
        <w:t>on-line</w:t>
      </w:r>
      <w:r w:rsidRPr="00FF0309">
        <w:rPr>
          <w:rStyle w:val="Odkazjemn"/>
          <w:szCs w:val="18"/>
        </w:rPr>
        <w:sym w:font="Symbol" w:char="F05D"/>
      </w:r>
      <w:r w:rsidRPr="00FF0309">
        <w:rPr>
          <w:rStyle w:val="Odkazjemn"/>
        </w:rPr>
        <w:t>. 2005. Dostupné z: &lt;http://www.euportal.cz/Articles/384-je-emu-optimalni-menovou-oblasti-.aspx&gt;.</w:t>
      </w:r>
    </w:p>
  </w:footnote>
  <w:footnote w:id="36">
    <w:p w:rsidR="00FD7B45" w:rsidRDefault="00FD7B45" w:rsidP="00E95497">
      <w:pPr>
        <w:pStyle w:val="externalclass9015b86d913f4aeeb124c00a12335c81"/>
        <w:numPr>
          <w:ilvl w:val="0"/>
          <w:numId w:val="0"/>
        </w:numPr>
        <w:spacing w:before="0" w:beforeAutospacing="0" w:after="0" w:afterAutospacing="0"/>
        <w:ind w:left="453" w:hanging="453"/>
      </w:pPr>
      <w:r w:rsidRPr="00FF0309">
        <w:rPr>
          <w:rStyle w:val="Odkazjemn"/>
        </w:rPr>
        <w:footnoteRef/>
      </w:r>
      <w:r w:rsidRPr="00FF0309">
        <w:rPr>
          <w:rStyle w:val="Odkazjemn"/>
        </w:rPr>
        <w:t xml:space="preserve"> </w:t>
      </w:r>
      <w:proofErr w:type="spellStart"/>
      <w:r w:rsidRPr="00FF0309">
        <w:rPr>
          <w:rStyle w:val="Odkazjemn"/>
        </w:rPr>
        <w:t>Economia</w:t>
      </w:r>
      <w:proofErr w:type="spellEnd"/>
      <w:r w:rsidRPr="00FF0309">
        <w:rPr>
          <w:rStyle w:val="Odkazjemn"/>
        </w:rPr>
        <w:t xml:space="preserve">, a.s. [online], 2010,  [cit. </w:t>
      </w:r>
      <w:proofErr w:type="gramStart"/>
      <w:r w:rsidRPr="00FF0309">
        <w:rPr>
          <w:rStyle w:val="Odkazjemn"/>
        </w:rPr>
        <w:t>2010-02</w:t>
      </w:r>
      <w:proofErr w:type="gramEnd"/>
      <w:r w:rsidRPr="00FF0309">
        <w:rPr>
          <w:rStyle w:val="Odkazjemn"/>
        </w:rPr>
        <w:t>-17]. Dostupné z: &lt;</w:t>
      </w:r>
      <w:hyperlink r:id="rId17" w:history="1">
        <w:r w:rsidRPr="00FF0309">
          <w:rPr>
            <w:rStyle w:val="Odkazjemn"/>
          </w:rPr>
          <w:t>http://bankovnictvi.ihned.cz/c1-12349700-zavedeni-eura-a-jak-ho-nacasovat</w:t>
        </w:r>
      </w:hyperlink>
      <w:r w:rsidRPr="00FF0309">
        <w:rPr>
          <w:rStyle w:val="Odkazjemn"/>
        </w:rPr>
        <w:t xml:space="preserve"> &gt;.</w:t>
      </w:r>
    </w:p>
  </w:footnote>
  <w:footnote w:id="37">
    <w:p w:rsidR="00FD7B45" w:rsidRDefault="00FD7B45" w:rsidP="000B1D07">
      <w:pPr>
        <w:pStyle w:val="externalclass9015b86d913f4aeeb124c00a12335c81"/>
        <w:numPr>
          <w:ilvl w:val="0"/>
          <w:numId w:val="0"/>
        </w:numPr>
        <w:spacing w:before="0" w:beforeAutospacing="0" w:after="0" w:afterAutospacing="0"/>
      </w:pPr>
      <w:r w:rsidRPr="00FF0309">
        <w:rPr>
          <w:rStyle w:val="Odkazjemn"/>
        </w:rPr>
        <w:footnoteRef/>
      </w:r>
      <w:r w:rsidRPr="00FF0309">
        <w:rPr>
          <w:rStyle w:val="Odkazjemn"/>
        </w:rPr>
        <w:t xml:space="preserve"> </w:t>
      </w:r>
      <w:proofErr w:type="spellStart"/>
      <w:r w:rsidRPr="00FF0309">
        <w:rPr>
          <w:rStyle w:val="Odkazjemn"/>
        </w:rPr>
        <w:t>FELDSTEIN</w:t>
      </w:r>
      <w:proofErr w:type="spellEnd"/>
      <w:r w:rsidRPr="00FF0309">
        <w:rPr>
          <w:rStyle w:val="Odkazjemn"/>
        </w:rPr>
        <w:t xml:space="preserve">, M. Argumenty proti evropské měnové unii.  </w:t>
      </w:r>
      <w:r w:rsidRPr="00FF0309">
        <w:rPr>
          <w:rStyle w:val="Odkazjemn"/>
          <w:szCs w:val="18"/>
        </w:rPr>
        <w:sym w:font="Symbol" w:char="F05B"/>
      </w:r>
      <w:r w:rsidRPr="00FF0309">
        <w:rPr>
          <w:rStyle w:val="Odkazjemn"/>
        </w:rPr>
        <w:t>on-line</w:t>
      </w:r>
      <w:r w:rsidRPr="00FF0309">
        <w:rPr>
          <w:rStyle w:val="Odkazjemn"/>
          <w:szCs w:val="18"/>
        </w:rPr>
        <w:sym w:font="Symbol" w:char="F05D"/>
      </w:r>
      <w:r w:rsidRPr="00FF0309">
        <w:rPr>
          <w:rStyle w:val="Odkazjemn"/>
        </w:rPr>
        <w:t xml:space="preserve">. 1992, </w:t>
      </w:r>
      <w:r w:rsidRPr="00FF0309">
        <w:rPr>
          <w:rStyle w:val="Odkazjemn"/>
          <w:szCs w:val="18"/>
        </w:rPr>
        <w:sym w:font="Symbol" w:char="F05B"/>
      </w:r>
      <w:r w:rsidRPr="00FF0309">
        <w:rPr>
          <w:rStyle w:val="Odkazjemn"/>
        </w:rPr>
        <w:t xml:space="preserve">cit. </w:t>
      </w:r>
      <w:proofErr w:type="gramStart"/>
      <w:r w:rsidRPr="00FF0309">
        <w:rPr>
          <w:rStyle w:val="Odkazjemn"/>
        </w:rPr>
        <w:t>2010-01</w:t>
      </w:r>
      <w:proofErr w:type="gramEnd"/>
      <w:r w:rsidRPr="00FF0309">
        <w:rPr>
          <w:rStyle w:val="Odkazjemn"/>
        </w:rPr>
        <w:t>-18</w:t>
      </w:r>
      <w:r w:rsidRPr="00FF0309">
        <w:rPr>
          <w:rStyle w:val="Odkazjemn"/>
          <w:szCs w:val="18"/>
        </w:rPr>
        <w:sym w:font="Symbol" w:char="F05D"/>
      </w:r>
      <w:r w:rsidRPr="00FF0309">
        <w:rPr>
          <w:rStyle w:val="Odkazjemn"/>
        </w:rPr>
        <w:t>. Dostupné z: &lt;http://www.euportal.cz/Articles/1842-argumenty-proti-vropske-menove-unii.aspx&gt;.</w:t>
      </w:r>
    </w:p>
  </w:footnote>
  <w:footnote w:id="38">
    <w:p w:rsidR="00FD7B45" w:rsidRDefault="00FD7B45" w:rsidP="000B1D07">
      <w:pPr>
        <w:pStyle w:val="externalclass9015b86d913f4aeeb124c00a12335c81"/>
        <w:numPr>
          <w:ilvl w:val="0"/>
          <w:numId w:val="0"/>
        </w:numPr>
        <w:spacing w:before="0" w:beforeAutospacing="0" w:after="0" w:afterAutospacing="0"/>
      </w:pPr>
      <w:r w:rsidRPr="00FF0309">
        <w:rPr>
          <w:rStyle w:val="Odkazjemn"/>
        </w:rPr>
        <w:footnoteRef/>
      </w:r>
      <w:r w:rsidRPr="00FF0309">
        <w:rPr>
          <w:rStyle w:val="Odkazjemn"/>
        </w:rPr>
        <w:t xml:space="preserve"> </w:t>
      </w:r>
      <w:proofErr w:type="spellStart"/>
      <w:r w:rsidRPr="00FF0309">
        <w:rPr>
          <w:rStyle w:val="Odkazjemn"/>
        </w:rPr>
        <w:t>NIEDERMAYER</w:t>
      </w:r>
      <w:proofErr w:type="spellEnd"/>
      <w:r w:rsidRPr="00FF0309">
        <w:rPr>
          <w:rStyle w:val="Odkazjemn"/>
        </w:rPr>
        <w:t xml:space="preserve">, L. Měnová politika a příchod eura: sborník textů ze seminářů č. 16/2002. </w:t>
      </w:r>
      <w:proofErr w:type="spellStart"/>
      <w:r w:rsidRPr="00FF0309">
        <w:rPr>
          <w:rStyle w:val="Odkazjemn"/>
        </w:rPr>
        <w:t>Edited</w:t>
      </w:r>
      <w:proofErr w:type="spellEnd"/>
      <w:r w:rsidRPr="00FF0309">
        <w:rPr>
          <w:rStyle w:val="Odkazjemn"/>
        </w:rPr>
        <w:t xml:space="preserve"> by Marek Loužek. </w:t>
      </w:r>
      <w:proofErr w:type="spellStart"/>
      <w:r w:rsidRPr="00FF0309">
        <w:rPr>
          <w:rStyle w:val="Odkazjemn"/>
        </w:rPr>
        <w:t>Vyd</w:t>
      </w:r>
      <w:proofErr w:type="spellEnd"/>
      <w:r w:rsidRPr="00FF0309">
        <w:rPr>
          <w:rStyle w:val="Odkazjemn"/>
        </w:rPr>
        <w:t xml:space="preserve">. 1. Praha: Centrum pro ekonomiku a politiku, 2002. 107 s. Ekonomika, právo, politika; č. 16/2002. </w:t>
      </w:r>
      <w:proofErr w:type="spellStart"/>
      <w:r w:rsidRPr="00FF0309">
        <w:rPr>
          <w:rStyle w:val="Odkazjemn"/>
        </w:rPr>
        <w:t>ISBN</w:t>
      </w:r>
      <w:proofErr w:type="spellEnd"/>
      <w:r w:rsidRPr="00FF0309">
        <w:rPr>
          <w:rStyle w:val="Odkazjemn"/>
        </w:rPr>
        <w:t xml:space="preserve"> </w:t>
      </w:r>
      <w:proofErr w:type="gramStart"/>
      <w:r w:rsidRPr="00FF0309">
        <w:rPr>
          <w:rStyle w:val="Odkazjemn"/>
        </w:rPr>
        <w:t>80-86547</w:t>
      </w:r>
      <w:proofErr w:type="gramEnd"/>
      <w:r w:rsidRPr="00FF0309">
        <w:rPr>
          <w:rStyle w:val="Odkazjemn"/>
        </w:rPr>
        <w:t>-08-6. , [str. 68].</w:t>
      </w:r>
      <w:r w:rsidRPr="00E95497">
        <w:rPr>
          <w:rStyle w:val="Odkazjemn"/>
        </w:rPr>
        <w:t xml:space="preserve">  </w:t>
      </w:r>
    </w:p>
  </w:footnote>
  <w:footnote w:id="39">
    <w:p w:rsidR="00FD7B45" w:rsidRDefault="00FD7B45" w:rsidP="000B1D07">
      <w:pPr>
        <w:pStyle w:val="externalclass9015b86d913f4aeeb124c00a12335c81"/>
        <w:numPr>
          <w:ilvl w:val="0"/>
          <w:numId w:val="0"/>
        </w:numPr>
        <w:spacing w:before="0" w:beforeAutospacing="0" w:after="0" w:afterAutospacing="0"/>
      </w:pPr>
      <w:r w:rsidRPr="00E95497">
        <w:rPr>
          <w:rStyle w:val="Odkazjemn"/>
        </w:rPr>
        <w:footnoteRef/>
      </w:r>
      <w:r w:rsidRPr="00E95497">
        <w:rPr>
          <w:rStyle w:val="Odkazjemn"/>
        </w:rPr>
        <w:t xml:space="preserve"> </w:t>
      </w:r>
      <w:proofErr w:type="spellStart"/>
      <w:r w:rsidRPr="00E95497">
        <w:rPr>
          <w:rStyle w:val="Odkazjemn"/>
        </w:rPr>
        <w:t>NIEDERMAYER</w:t>
      </w:r>
      <w:proofErr w:type="spellEnd"/>
      <w:r w:rsidRPr="00E95497">
        <w:rPr>
          <w:rStyle w:val="Odkazjemn"/>
        </w:rPr>
        <w:t xml:space="preserve">, L. Měnová politika a příchod eura: sborník textů ze seminářů č. 16/2002. </w:t>
      </w:r>
      <w:proofErr w:type="spellStart"/>
      <w:r w:rsidRPr="00E95497">
        <w:rPr>
          <w:rStyle w:val="Odkazjemn"/>
        </w:rPr>
        <w:t>Edited</w:t>
      </w:r>
      <w:proofErr w:type="spellEnd"/>
      <w:r w:rsidRPr="00E95497">
        <w:rPr>
          <w:rStyle w:val="Odkazjemn"/>
        </w:rPr>
        <w:t xml:space="preserve"> by Marek Loužek. </w:t>
      </w:r>
      <w:proofErr w:type="spellStart"/>
      <w:r w:rsidRPr="00E95497">
        <w:rPr>
          <w:rStyle w:val="Odkazjemn"/>
        </w:rPr>
        <w:t>Vyd</w:t>
      </w:r>
      <w:proofErr w:type="spellEnd"/>
      <w:r w:rsidRPr="00E95497">
        <w:rPr>
          <w:rStyle w:val="Odkazjemn"/>
        </w:rPr>
        <w:t xml:space="preserve">. 1. Praha: Centrum pro ekonomiku a politiku, 2002. 107 s. Ekonomika, právo, politika; č. 16/2002. </w:t>
      </w:r>
      <w:proofErr w:type="spellStart"/>
      <w:r w:rsidRPr="00E95497">
        <w:rPr>
          <w:rStyle w:val="Odkazjemn"/>
        </w:rPr>
        <w:t>ISBN</w:t>
      </w:r>
      <w:proofErr w:type="spellEnd"/>
      <w:r w:rsidRPr="00E95497">
        <w:rPr>
          <w:rStyle w:val="Odkazjemn"/>
        </w:rPr>
        <w:t xml:space="preserve"> </w:t>
      </w:r>
      <w:proofErr w:type="gramStart"/>
      <w:r w:rsidRPr="00E95497">
        <w:rPr>
          <w:rStyle w:val="Odkazjemn"/>
        </w:rPr>
        <w:t>80-86547</w:t>
      </w:r>
      <w:proofErr w:type="gramEnd"/>
      <w:r w:rsidRPr="00E95497">
        <w:rPr>
          <w:rStyle w:val="Odkazjemn"/>
        </w:rPr>
        <w:t>-08-6. , [str. 68].</w:t>
      </w:r>
      <w:r w:rsidRPr="000B1D07">
        <w:rPr>
          <w:rStyle w:val="Odkazjemn"/>
        </w:rPr>
        <w:t xml:space="preserve"> </w:t>
      </w:r>
    </w:p>
  </w:footnote>
  <w:footnote w:id="40">
    <w:p w:rsidR="00FD7B45" w:rsidRDefault="00FD7B45" w:rsidP="00E95497">
      <w:pPr>
        <w:pStyle w:val="Textpoznpodarou"/>
      </w:pPr>
      <w:r w:rsidRPr="000B1D07">
        <w:rPr>
          <w:rStyle w:val="Odkazjemn"/>
        </w:rPr>
        <w:footnoteRef/>
      </w:r>
      <w:r>
        <w:rPr>
          <w:rStyle w:val="Odkazjemn"/>
        </w:rPr>
        <w:t xml:space="preserve"> </w:t>
      </w:r>
      <w:proofErr w:type="spellStart"/>
      <w:r>
        <w:rPr>
          <w:rStyle w:val="Odkazjemn"/>
        </w:rPr>
        <w:t>Euroskop</w:t>
      </w:r>
      <w:proofErr w:type="spellEnd"/>
      <w:r>
        <w:rPr>
          <w:rStyle w:val="Odkazjemn"/>
        </w:rPr>
        <w:t xml:space="preserve">: </w:t>
      </w:r>
      <w:r w:rsidRPr="000B1D07">
        <w:rPr>
          <w:rStyle w:val="Odkazjemn"/>
        </w:rPr>
        <w:t xml:space="preserve">Měnová unie pro a proti </w:t>
      </w:r>
      <w:r>
        <w:rPr>
          <w:rStyle w:val="Odkazjemn"/>
        </w:rPr>
        <w:t xml:space="preserve">[online]. [cit. </w:t>
      </w:r>
      <w:proofErr w:type="gramStart"/>
      <w:r w:rsidRPr="000B1D07">
        <w:rPr>
          <w:rStyle w:val="Odkazjemn"/>
        </w:rPr>
        <w:t>20</w:t>
      </w:r>
      <w:r>
        <w:rPr>
          <w:rStyle w:val="Odkazjemn"/>
        </w:rPr>
        <w:t>110</w:t>
      </w:r>
      <w:r w:rsidRPr="000B1D07">
        <w:rPr>
          <w:rStyle w:val="Odkazjemn"/>
        </w:rPr>
        <w:t>-02</w:t>
      </w:r>
      <w:proofErr w:type="gramEnd"/>
      <w:r w:rsidRPr="000B1D07">
        <w:rPr>
          <w:rStyle w:val="Odkazjemn"/>
        </w:rPr>
        <w:t>-17]. Dostupné z</w:t>
      </w:r>
      <w:r>
        <w:rPr>
          <w:rStyle w:val="Odkazjemn"/>
        </w:rPr>
        <w:t xml:space="preserve"> &lt;h</w:t>
      </w:r>
      <w:r w:rsidRPr="000B1D07">
        <w:rPr>
          <w:rStyle w:val="Odkazjemn"/>
        </w:rPr>
        <w:t>ttp://www.euro</w:t>
      </w:r>
      <w:r>
        <w:rPr>
          <w:rStyle w:val="Odkazjemn"/>
        </w:rPr>
        <w:t>skop.cz/323/sekce/menova-unie_</w:t>
      </w:r>
      <w:r w:rsidRPr="000B1D07">
        <w:rPr>
          <w:rStyle w:val="Odkazjemn"/>
        </w:rPr>
        <w:t>pro-a-proti/&gt;</w:t>
      </w:r>
    </w:p>
  </w:footnote>
  <w:footnote w:id="41">
    <w:p w:rsidR="00FD7B45" w:rsidRPr="009047B5" w:rsidRDefault="00FD7B45" w:rsidP="009047B5">
      <w:pPr>
        <w:pStyle w:val="Prliminairetype"/>
        <w:spacing w:before="0"/>
        <w:jc w:val="both"/>
        <w:rPr>
          <w:rStyle w:val="Odkazjemn"/>
          <w:b w:val="0"/>
        </w:rPr>
      </w:pPr>
      <w:r w:rsidRPr="009047B5">
        <w:rPr>
          <w:rStyle w:val="Odkazjemn"/>
          <w:b w:val="0"/>
        </w:rPr>
        <w:footnoteRef/>
      </w:r>
      <w:r w:rsidRPr="009047B5">
        <w:rPr>
          <w:rStyle w:val="Odkazjemn"/>
          <w:b w:val="0"/>
        </w:rPr>
        <w:t xml:space="preserve"> </w:t>
      </w:r>
      <w:proofErr w:type="spellStart"/>
      <w:r w:rsidRPr="009047B5">
        <w:rPr>
          <w:rStyle w:val="Odkazjemn"/>
          <w:b w:val="0"/>
        </w:rPr>
        <w:t>The</w:t>
      </w:r>
      <w:proofErr w:type="spellEnd"/>
      <w:r w:rsidRPr="009047B5">
        <w:rPr>
          <w:rStyle w:val="Odkazjemn"/>
          <w:b w:val="0"/>
        </w:rPr>
        <w:t xml:space="preserve"> </w:t>
      </w:r>
      <w:proofErr w:type="spellStart"/>
      <w:r w:rsidRPr="009047B5">
        <w:rPr>
          <w:rStyle w:val="Odkazjemn"/>
          <w:b w:val="0"/>
        </w:rPr>
        <w:t>European</w:t>
      </w:r>
      <w:proofErr w:type="spellEnd"/>
      <w:r w:rsidRPr="009047B5">
        <w:rPr>
          <w:rStyle w:val="Odkazjemn"/>
          <w:b w:val="0"/>
        </w:rPr>
        <w:t xml:space="preserve"> Parlament, </w:t>
      </w:r>
      <w:proofErr w:type="spellStart"/>
      <w:r w:rsidRPr="009047B5">
        <w:rPr>
          <w:rStyle w:val="Odkazjemn"/>
          <w:b w:val="0"/>
        </w:rPr>
        <w:t>the</w:t>
      </w:r>
      <w:proofErr w:type="spellEnd"/>
      <w:r w:rsidRPr="009047B5">
        <w:rPr>
          <w:rStyle w:val="Odkazjemn"/>
          <w:b w:val="0"/>
        </w:rPr>
        <w:t xml:space="preserve"> </w:t>
      </w:r>
      <w:proofErr w:type="spellStart"/>
      <w:r w:rsidRPr="009047B5">
        <w:rPr>
          <w:rStyle w:val="Odkazjemn"/>
          <w:b w:val="0"/>
        </w:rPr>
        <w:t>European</w:t>
      </w:r>
      <w:proofErr w:type="spellEnd"/>
      <w:r w:rsidRPr="009047B5">
        <w:rPr>
          <w:rStyle w:val="Odkazjemn"/>
          <w:b w:val="0"/>
        </w:rPr>
        <w:t xml:space="preserve"> </w:t>
      </w:r>
      <w:proofErr w:type="spellStart"/>
      <w:r w:rsidRPr="009047B5">
        <w:rPr>
          <w:rStyle w:val="Odkazjemn"/>
          <w:b w:val="0"/>
        </w:rPr>
        <w:t>Economic</w:t>
      </w:r>
      <w:proofErr w:type="spellEnd"/>
      <w:r w:rsidRPr="009047B5">
        <w:rPr>
          <w:rStyle w:val="Odkazjemn"/>
          <w:b w:val="0"/>
        </w:rPr>
        <w:t xml:space="preserve"> </w:t>
      </w:r>
      <w:proofErr w:type="spellStart"/>
      <w:r w:rsidRPr="009047B5">
        <w:rPr>
          <w:rStyle w:val="Odkazjemn"/>
          <w:b w:val="0"/>
        </w:rPr>
        <w:t>and</w:t>
      </w:r>
      <w:proofErr w:type="spellEnd"/>
      <w:r w:rsidRPr="009047B5">
        <w:rPr>
          <w:rStyle w:val="Odkazjemn"/>
          <w:b w:val="0"/>
        </w:rPr>
        <w:t xml:space="preserve"> </w:t>
      </w:r>
      <w:proofErr w:type="spellStart"/>
      <w:r w:rsidRPr="009047B5">
        <w:rPr>
          <w:rStyle w:val="Odkazjemn"/>
          <w:b w:val="0"/>
        </w:rPr>
        <w:t>Social</w:t>
      </w:r>
      <w:proofErr w:type="spellEnd"/>
      <w:r w:rsidRPr="009047B5">
        <w:rPr>
          <w:rStyle w:val="Odkazjemn"/>
          <w:b w:val="0"/>
        </w:rPr>
        <w:t xml:space="preserve"> </w:t>
      </w:r>
      <w:proofErr w:type="spellStart"/>
      <w:r w:rsidRPr="009047B5">
        <w:rPr>
          <w:rStyle w:val="Odkazjemn"/>
          <w:b w:val="0"/>
        </w:rPr>
        <w:t>Committee</w:t>
      </w:r>
      <w:proofErr w:type="spellEnd"/>
      <w:r w:rsidRPr="009047B5">
        <w:rPr>
          <w:rStyle w:val="Odkazjemn"/>
          <w:b w:val="0"/>
        </w:rPr>
        <w:t xml:space="preserve">, </w:t>
      </w:r>
      <w:proofErr w:type="spellStart"/>
      <w:r w:rsidRPr="009047B5">
        <w:rPr>
          <w:rStyle w:val="Odkazjemn"/>
          <w:b w:val="0"/>
        </w:rPr>
        <w:t>the</w:t>
      </w:r>
      <w:proofErr w:type="spellEnd"/>
      <w:r w:rsidRPr="009047B5">
        <w:rPr>
          <w:rStyle w:val="Odkazjemn"/>
          <w:b w:val="0"/>
        </w:rPr>
        <w:t xml:space="preserve"> </w:t>
      </w:r>
      <w:proofErr w:type="spellStart"/>
      <w:r w:rsidRPr="009047B5">
        <w:rPr>
          <w:rStyle w:val="Odkazjemn"/>
          <w:b w:val="0"/>
        </w:rPr>
        <w:t>Committee</w:t>
      </w:r>
      <w:proofErr w:type="spellEnd"/>
      <w:r w:rsidRPr="009047B5">
        <w:rPr>
          <w:rStyle w:val="Odkazjemn"/>
          <w:b w:val="0"/>
        </w:rPr>
        <w:t xml:space="preserve"> </w:t>
      </w:r>
      <w:proofErr w:type="spellStart"/>
      <w:r w:rsidRPr="009047B5">
        <w:rPr>
          <w:rStyle w:val="Odkazjemn"/>
          <w:b w:val="0"/>
        </w:rPr>
        <w:t>of</w:t>
      </w:r>
      <w:proofErr w:type="spellEnd"/>
      <w:r w:rsidRPr="009047B5">
        <w:rPr>
          <w:rStyle w:val="Odkazjemn"/>
          <w:b w:val="0"/>
        </w:rPr>
        <w:t xml:space="preserve"> </w:t>
      </w:r>
      <w:proofErr w:type="spellStart"/>
      <w:r w:rsidRPr="009047B5">
        <w:rPr>
          <w:rStyle w:val="Odkazjemn"/>
          <w:b w:val="0"/>
        </w:rPr>
        <w:t>the</w:t>
      </w:r>
      <w:proofErr w:type="spellEnd"/>
      <w:r w:rsidRPr="009047B5">
        <w:rPr>
          <w:rStyle w:val="Odkazjemn"/>
          <w:b w:val="0"/>
        </w:rPr>
        <w:t xml:space="preserve"> </w:t>
      </w:r>
      <w:proofErr w:type="spellStart"/>
      <w:r w:rsidRPr="009047B5">
        <w:rPr>
          <w:rStyle w:val="Odkazjemn"/>
          <w:b w:val="0"/>
        </w:rPr>
        <w:t>Regions</w:t>
      </w:r>
      <w:proofErr w:type="spellEnd"/>
      <w:r w:rsidRPr="009047B5">
        <w:rPr>
          <w:rStyle w:val="Odkazjemn"/>
          <w:b w:val="0"/>
        </w:rPr>
        <w:t xml:space="preserve"> </w:t>
      </w:r>
      <w:proofErr w:type="spellStart"/>
      <w:r w:rsidRPr="009047B5">
        <w:rPr>
          <w:rStyle w:val="Odkazjemn"/>
          <w:b w:val="0"/>
        </w:rPr>
        <w:t>and</w:t>
      </w:r>
      <w:proofErr w:type="spellEnd"/>
      <w:r w:rsidRPr="009047B5">
        <w:rPr>
          <w:rStyle w:val="Odkazjemn"/>
          <w:b w:val="0"/>
        </w:rPr>
        <w:t xml:space="preserve"> </w:t>
      </w:r>
      <w:proofErr w:type="spellStart"/>
      <w:r w:rsidRPr="009047B5">
        <w:rPr>
          <w:rStyle w:val="Odkazjemn"/>
          <w:b w:val="0"/>
        </w:rPr>
        <w:t>the</w:t>
      </w:r>
      <w:proofErr w:type="spellEnd"/>
      <w:r w:rsidRPr="009047B5">
        <w:rPr>
          <w:rStyle w:val="Odkazjemn"/>
          <w:b w:val="0"/>
        </w:rPr>
        <w:t xml:space="preserve"> </w:t>
      </w:r>
      <w:proofErr w:type="spellStart"/>
      <w:r w:rsidRPr="009047B5">
        <w:rPr>
          <w:rStyle w:val="Odkazjemn"/>
          <w:b w:val="0"/>
        </w:rPr>
        <w:t>European</w:t>
      </w:r>
      <w:proofErr w:type="spellEnd"/>
      <w:r w:rsidRPr="009047B5">
        <w:rPr>
          <w:rStyle w:val="Odkazjemn"/>
          <w:b w:val="0"/>
        </w:rPr>
        <w:t xml:space="preserve"> </w:t>
      </w:r>
      <w:proofErr w:type="spellStart"/>
      <w:r w:rsidRPr="009047B5">
        <w:rPr>
          <w:rStyle w:val="Odkazjemn"/>
          <w:b w:val="0"/>
        </w:rPr>
        <w:t>Central</w:t>
      </w:r>
      <w:proofErr w:type="spellEnd"/>
      <w:r w:rsidRPr="009047B5">
        <w:rPr>
          <w:rStyle w:val="Odkazjemn"/>
          <w:b w:val="0"/>
        </w:rPr>
        <w:t xml:space="preserve"> </w:t>
      </w:r>
      <w:proofErr w:type="gramStart"/>
      <w:r w:rsidRPr="009047B5">
        <w:rPr>
          <w:rStyle w:val="Odkazjemn"/>
          <w:b w:val="0"/>
        </w:rPr>
        <w:t>Bank - [online</w:t>
      </w:r>
      <w:proofErr w:type="gramEnd"/>
      <w:r w:rsidRPr="009047B5">
        <w:rPr>
          <w:rStyle w:val="Odkazjemn"/>
          <w:b w:val="0"/>
        </w:rPr>
        <w:t xml:space="preserve">], </w:t>
      </w:r>
      <w:proofErr w:type="spellStart"/>
      <w:r w:rsidRPr="009047B5">
        <w:rPr>
          <w:rStyle w:val="Odkazjemn"/>
          <w:b w:val="0"/>
        </w:rPr>
        <w:t>The</w:t>
      </w:r>
      <w:proofErr w:type="spellEnd"/>
      <w:r w:rsidRPr="009047B5">
        <w:rPr>
          <w:rStyle w:val="Odkazjemn"/>
          <w:b w:val="0"/>
        </w:rPr>
        <w:t xml:space="preserve"> </w:t>
      </w:r>
      <w:proofErr w:type="spellStart"/>
      <w:r w:rsidRPr="009047B5">
        <w:rPr>
          <w:rStyle w:val="Odkazjemn"/>
          <w:b w:val="0"/>
        </w:rPr>
        <w:t>introduction</w:t>
      </w:r>
      <w:proofErr w:type="spellEnd"/>
      <w:r w:rsidRPr="009047B5">
        <w:rPr>
          <w:rStyle w:val="Odkazjemn"/>
          <w:b w:val="0"/>
        </w:rPr>
        <w:t xml:space="preserve"> </w:t>
      </w:r>
      <w:proofErr w:type="spellStart"/>
      <w:r w:rsidRPr="009047B5">
        <w:rPr>
          <w:rStyle w:val="Odkazjemn"/>
          <w:b w:val="0"/>
        </w:rPr>
        <w:t>of</w:t>
      </w:r>
      <w:proofErr w:type="spellEnd"/>
      <w:r w:rsidRPr="009047B5">
        <w:rPr>
          <w:rStyle w:val="Odkazjemn"/>
          <w:b w:val="0"/>
        </w:rPr>
        <w:t xml:space="preserve"> </w:t>
      </w:r>
      <w:proofErr w:type="spellStart"/>
      <w:r w:rsidRPr="009047B5">
        <w:rPr>
          <w:rStyle w:val="Odkazjemn"/>
          <w:b w:val="0"/>
        </w:rPr>
        <w:t>the</w:t>
      </w:r>
      <w:proofErr w:type="spellEnd"/>
      <w:r w:rsidRPr="009047B5">
        <w:rPr>
          <w:rStyle w:val="Odkazjemn"/>
          <w:b w:val="0"/>
        </w:rPr>
        <w:t xml:space="preserve"> euro in </w:t>
      </w:r>
      <w:proofErr w:type="spellStart"/>
      <w:r w:rsidRPr="009047B5">
        <w:rPr>
          <w:rStyle w:val="Odkazjemn"/>
          <w:b w:val="0"/>
        </w:rPr>
        <w:t>Slovenia</w:t>
      </w:r>
      <w:proofErr w:type="spellEnd"/>
      <w:r w:rsidRPr="009047B5">
        <w:rPr>
          <w:rStyle w:val="Odkazjemn"/>
          <w:b w:val="0"/>
        </w:rPr>
        <w:t xml:space="preserve">, 2009,  [cit.2009-11-30]. Dostupný z  </w:t>
      </w:r>
      <w:r>
        <w:rPr>
          <w:rStyle w:val="Odkazjemn"/>
          <w:b w:val="0"/>
        </w:rPr>
        <w:t>&lt;</w:t>
      </w:r>
      <w:r w:rsidRPr="009047B5">
        <w:rPr>
          <w:rStyle w:val="Odkazjemn"/>
          <w:b w:val="0"/>
        </w:rPr>
        <w:t>http://</w:t>
      </w:r>
      <w:proofErr w:type="gramStart"/>
      <w:r w:rsidRPr="009047B5">
        <w:rPr>
          <w:rStyle w:val="Odkazjemn"/>
          <w:b w:val="0"/>
        </w:rPr>
        <w:t xml:space="preserve">eur- </w:t>
      </w:r>
      <w:proofErr w:type="spellStart"/>
      <w:r w:rsidRPr="009047B5">
        <w:rPr>
          <w:rStyle w:val="Odkazjemn"/>
          <w:b w:val="0"/>
        </w:rPr>
        <w:t>x.europa</w:t>
      </w:r>
      <w:proofErr w:type="gramEnd"/>
      <w:r w:rsidRPr="009047B5">
        <w:rPr>
          <w:rStyle w:val="Odkazjemn"/>
          <w:b w:val="0"/>
        </w:rPr>
        <w:t>.eu</w:t>
      </w:r>
      <w:proofErr w:type="spellEnd"/>
      <w:r w:rsidRPr="009047B5">
        <w:rPr>
          <w:rStyle w:val="Odkazjemn"/>
          <w:b w:val="0"/>
        </w:rPr>
        <w:t>/</w:t>
      </w:r>
      <w:proofErr w:type="spellStart"/>
      <w:r w:rsidRPr="009047B5">
        <w:rPr>
          <w:rStyle w:val="Odkazjemn"/>
          <w:b w:val="0"/>
        </w:rPr>
        <w:t>LexUriServ</w:t>
      </w:r>
      <w:proofErr w:type="spellEnd"/>
      <w:r w:rsidRPr="009047B5">
        <w:rPr>
          <w:rStyle w:val="Odkazjemn"/>
          <w:b w:val="0"/>
        </w:rPr>
        <w:t xml:space="preserve">/ </w:t>
      </w:r>
      <w:proofErr w:type="spellStart"/>
      <w:r w:rsidRPr="009047B5">
        <w:rPr>
          <w:rStyle w:val="Odkazjemn"/>
          <w:b w:val="0"/>
        </w:rPr>
        <w:t>LexUriServ.do</w:t>
      </w:r>
      <w:proofErr w:type="spellEnd"/>
      <w:r w:rsidRPr="009047B5">
        <w:rPr>
          <w:rStyle w:val="Odkazjemn"/>
          <w:b w:val="0"/>
        </w:rPr>
        <w:t>?</w:t>
      </w:r>
      <w:proofErr w:type="spellStart"/>
      <w:r w:rsidRPr="009047B5">
        <w:rPr>
          <w:rStyle w:val="Odkazjemn"/>
          <w:b w:val="0"/>
        </w:rPr>
        <w:t>uri</w:t>
      </w:r>
      <w:proofErr w:type="spellEnd"/>
      <w:r w:rsidRPr="009047B5">
        <w:rPr>
          <w:rStyle w:val="Odkazjemn"/>
          <w:b w:val="0"/>
        </w:rPr>
        <w:t xml:space="preserve"> =</w:t>
      </w:r>
      <w:proofErr w:type="spellStart"/>
      <w:r w:rsidRPr="009047B5">
        <w:rPr>
          <w:rStyle w:val="Odkazjemn"/>
          <w:b w:val="0"/>
        </w:rPr>
        <w:t>COM</w:t>
      </w:r>
      <w:proofErr w:type="spellEnd"/>
      <w:r w:rsidRPr="009047B5">
        <w:rPr>
          <w:rStyle w:val="Odkazjemn"/>
          <w:b w:val="0"/>
        </w:rPr>
        <w:t>:2007:0233:FIN:</w:t>
      </w:r>
      <w:proofErr w:type="spellStart"/>
      <w:r w:rsidRPr="009047B5">
        <w:rPr>
          <w:rStyle w:val="Odkazjemn"/>
          <w:b w:val="0"/>
        </w:rPr>
        <w:t>EN</w:t>
      </w:r>
      <w:proofErr w:type="spellEnd"/>
      <w:r w:rsidRPr="009047B5">
        <w:rPr>
          <w:rStyle w:val="Odkazjemn"/>
          <w:b w:val="0"/>
        </w:rPr>
        <w:t>:</w:t>
      </w:r>
      <w:proofErr w:type="spellStart"/>
      <w:r w:rsidRPr="009047B5">
        <w:rPr>
          <w:rStyle w:val="Odkazjemn"/>
          <w:b w:val="0"/>
        </w:rPr>
        <w:t>PDF</w:t>
      </w:r>
      <w:proofErr w:type="spellEnd"/>
      <w:r>
        <w:rPr>
          <w:rStyle w:val="Odkazjemn"/>
          <w:b w:val="0"/>
        </w:rPr>
        <w:t>&gt;</w:t>
      </w:r>
    </w:p>
    <w:p w:rsidR="00FD7B45" w:rsidRPr="00D16883" w:rsidRDefault="00FD7B45" w:rsidP="00387396">
      <w:pPr>
        <w:pStyle w:val="Prliminairetype"/>
        <w:jc w:val="left"/>
        <w:rPr>
          <w:rStyle w:val="Odkazjemn"/>
          <w:b w:val="0"/>
        </w:rPr>
      </w:pPr>
    </w:p>
    <w:p w:rsidR="00FD7B45" w:rsidRPr="00D16883" w:rsidRDefault="00FD7B45" w:rsidP="00D16883">
      <w:pPr>
        <w:pStyle w:val="Prliminairetype"/>
        <w:jc w:val="both"/>
        <w:rPr>
          <w:rStyle w:val="Odkazjemn"/>
          <w:b w:val="0"/>
        </w:rPr>
      </w:pPr>
    </w:p>
    <w:p w:rsidR="00FD7B45" w:rsidRDefault="00FD7B45" w:rsidP="00D16883">
      <w:pPr>
        <w:pStyle w:val="Prliminairetype"/>
        <w:jc w:val="both"/>
      </w:pPr>
    </w:p>
  </w:footnote>
  <w:footnote w:id="42">
    <w:p w:rsidR="00FD7B45" w:rsidRDefault="00FD7B45" w:rsidP="009047B5">
      <w:pPr>
        <w:pStyle w:val="Prliminairetype"/>
        <w:spacing w:before="0"/>
        <w:jc w:val="both"/>
      </w:pPr>
      <w:r w:rsidRPr="00FF0309">
        <w:rPr>
          <w:rStyle w:val="Odkazjemn"/>
          <w:b w:val="0"/>
        </w:rPr>
        <w:footnoteRef/>
      </w:r>
      <w:r w:rsidRPr="00FF0309">
        <w:rPr>
          <w:rStyle w:val="Odkazjemn"/>
          <w:b w:val="0"/>
        </w:rPr>
        <w:t xml:space="preserve"> </w:t>
      </w:r>
      <w:proofErr w:type="spellStart"/>
      <w:r w:rsidRPr="00FF0309">
        <w:rPr>
          <w:rStyle w:val="Odkazjemn"/>
          <w:b w:val="0"/>
        </w:rPr>
        <w:t>The</w:t>
      </w:r>
      <w:proofErr w:type="spellEnd"/>
      <w:r w:rsidRPr="00FF0309">
        <w:rPr>
          <w:rStyle w:val="Odkazjemn"/>
          <w:b w:val="0"/>
        </w:rPr>
        <w:t xml:space="preserve"> </w:t>
      </w:r>
      <w:proofErr w:type="spellStart"/>
      <w:r w:rsidRPr="00FF0309">
        <w:rPr>
          <w:rStyle w:val="Odkazjemn"/>
          <w:b w:val="0"/>
        </w:rPr>
        <w:t>European</w:t>
      </w:r>
      <w:proofErr w:type="spellEnd"/>
      <w:r w:rsidRPr="00FF0309">
        <w:rPr>
          <w:rStyle w:val="Odkazjemn"/>
          <w:b w:val="0"/>
        </w:rPr>
        <w:t xml:space="preserve"> </w:t>
      </w:r>
      <w:proofErr w:type="spellStart"/>
      <w:r w:rsidRPr="00FF0309">
        <w:rPr>
          <w:rStyle w:val="Odkazjemn"/>
          <w:b w:val="0"/>
        </w:rPr>
        <w:t>Parliament</w:t>
      </w:r>
      <w:proofErr w:type="spellEnd"/>
      <w:r w:rsidRPr="00FF0309">
        <w:rPr>
          <w:rStyle w:val="Odkazjemn"/>
          <w:b w:val="0"/>
        </w:rPr>
        <w:t xml:space="preserve">, </w:t>
      </w:r>
      <w:proofErr w:type="spellStart"/>
      <w:r w:rsidRPr="00FF0309">
        <w:rPr>
          <w:rStyle w:val="Odkazjemn"/>
          <w:b w:val="0"/>
        </w:rPr>
        <w:t>the</w:t>
      </w:r>
      <w:proofErr w:type="spellEnd"/>
      <w:r w:rsidRPr="00FF0309">
        <w:rPr>
          <w:rStyle w:val="Odkazjemn"/>
          <w:b w:val="0"/>
        </w:rPr>
        <w:t xml:space="preserve"> </w:t>
      </w:r>
      <w:proofErr w:type="spellStart"/>
      <w:r w:rsidRPr="00FF0309">
        <w:rPr>
          <w:rStyle w:val="Odkazjemn"/>
          <w:b w:val="0"/>
        </w:rPr>
        <w:t>European</w:t>
      </w:r>
      <w:proofErr w:type="spellEnd"/>
      <w:r w:rsidRPr="00FF0309">
        <w:rPr>
          <w:rStyle w:val="Odkazjemn"/>
          <w:b w:val="0"/>
        </w:rPr>
        <w:t xml:space="preserve"> </w:t>
      </w:r>
      <w:proofErr w:type="spellStart"/>
      <w:r w:rsidRPr="00FF0309">
        <w:rPr>
          <w:rStyle w:val="Odkazjemn"/>
          <w:b w:val="0"/>
        </w:rPr>
        <w:t>Economic</w:t>
      </w:r>
      <w:proofErr w:type="spellEnd"/>
      <w:r w:rsidRPr="00FF0309">
        <w:rPr>
          <w:rStyle w:val="Odkazjemn"/>
          <w:b w:val="0"/>
        </w:rPr>
        <w:t xml:space="preserve"> </w:t>
      </w:r>
      <w:proofErr w:type="spellStart"/>
      <w:r w:rsidRPr="00FF0309">
        <w:rPr>
          <w:rStyle w:val="Odkazjemn"/>
          <w:b w:val="0"/>
        </w:rPr>
        <w:t>and</w:t>
      </w:r>
      <w:proofErr w:type="spellEnd"/>
      <w:r w:rsidRPr="00FF0309">
        <w:rPr>
          <w:rStyle w:val="Odkazjemn"/>
          <w:b w:val="0"/>
        </w:rPr>
        <w:t xml:space="preserve"> </w:t>
      </w:r>
      <w:proofErr w:type="spellStart"/>
      <w:r w:rsidRPr="00FF0309">
        <w:rPr>
          <w:rStyle w:val="Odkazjemn"/>
          <w:b w:val="0"/>
        </w:rPr>
        <w:t>Social</w:t>
      </w:r>
      <w:proofErr w:type="spellEnd"/>
      <w:r w:rsidRPr="00FF0309">
        <w:rPr>
          <w:rStyle w:val="Odkazjemn"/>
          <w:b w:val="0"/>
        </w:rPr>
        <w:t xml:space="preserve"> </w:t>
      </w:r>
      <w:proofErr w:type="spellStart"/>
      <w:r w:rsidRPr="00FF0309">
        <w:rPr>
          <w:rStyle w:val="Odkazjemn"/>
          <w:b w:val="0"/>
        </w:rPr>
        <w:t>Committee</w:t>
      </w:r>
      <w:proofErr w:type="spellEnd"/>
      <w:r w:rsidRPr="00FF0309">
        <w:rPr>
          <w:rStyle w:val="Odkazjemn"/>
          <w:b w:val="0"/>
        </w:rPr>
        <w:t xml:space="preserve">, </w:t>
      </w:r>
      <w:proofErr w:type="spellStart"/>
      <w:r w:rsidRPr="00FF0309">
        <w:rPr>
          <w:rStyle w:val="Odkazjemn"/>
          <w:b w:val="0"/>
        </w:rPr>
        <w:t>the</w:t>
      </w:r>
      <w:proofErr w:type="spellEnd"/>
      <w:r w:rsidRPr="00FF0309">
        <w:rPr>
          <w:rStyle w:val="Odkazjemn"/>
          <w:b w:val="0"/>
        </w:rPr>
        <w:t xml:space="preserve"> </w:t>
      </w:r>
      <w:proofErr w:type="spellStart"/>
      <w:r w:rsidRPr="00FF0309">
        <w:rPr>
          <w:rStyle w:val="Odkazjemn"/>
          <w:b w:val="0"/>
        </w:rPr>
        <w:t>Committee</w:t>
      </w:r>
      <w:proofErr w:type="spellEnd"/>
      <w:r w:rsidRPr="00FF0309">
        <w:rPr>
          <w:rStyle w:val="Odkazjemn"/>
          <w:b w:val="0"/>
        </w:rPr>
        <w:t xml:space="preserve"> </w:t>
      </w:r>
      <w:proofErr w:type="spellStart"/>
      <w:r w:rsidRPr="00FF0309">
        <w:rPr>
          <w:rStyle w:val="Odkazjemn"/>
          <w:b w:val="0"/>
        </w:rPr>
        <w:t>of</w:t>
      </w:r>
      <w:proofErr w:type="spellEnd"/>
      <w:r w:rsidRPr="00FF0309">
        <w:rPr>
          <w:rStyle w:val="Odkazjemn"/>
          <w:b w:val="0"/>
        </w:rPr>
        <w:t xml:space="preserve"> </w:t>
      </w:r>
      <w:proofErr w:type="spellStart"/>
      <w:r w:rsidRPr="00FF0309">
        <w:rPr>
          <w:rStyle w:val="Odkazjemn"/>
          <w:b w:val="0"/>
        </w:rPr>
        <w:t>the</w:t>
      </w:r>
      <w:proofErr w:type="spellEnd"/>
      <w:r w:rsidRPr="00FF0309">
        <w:rPr>
          <w:rStyle w:val="Odkazjemn"/>
          <w:b w:val="0"/>
        </w:rPr>
        <w:t xml:space="preserve"> </w:t>
      </w:r>
      <w:proofErr w:type="spellStart"/>
      <w:r w:rsidRPr="00FF0309">
        <w:rPr>
          <w:rStyle w:val="Odkazjemn"/>
          <w:b w:val="0"/>
        </w:rPr>
        <w:t>Regions</w:t>
      </w:r>
      <w:proofErr w:type="spellEnd"/>
      <w:r w:rsidRPr="00FF0309">
        <w:rPr>
          <w:rStyle w:val="Odkazjemn"/>
          <w:b w:val="0"/>
        </w:rPr>
        <w:t xml:space="preserve"> </w:t>
      </w:r>
      <w:proofErr w:type="spellStart"/>
      <w:r w:rsidRPr="00FF0309">
        <w:rPr>
          <w:rStyle w:val="Odkazjemn"/>
          <w:b w:val="0"/>
        </w:rPr>
        <w:t>and</w:t>
      </w:r>
      <w:proofErr w:type="spellEnd"/>
      <w:r w:rsidRPr="00FF0309">
        <w:rPr>
          <w:rStyle w:val="Odkazjemn"/>
          <w:b w:val="0"/>
        </w:rPr>
        <w:t xml:space="preserve"> </w:t>
      </w:r>
      <w:proofErr w:type="spellStart"/>
      <w:r w:rsidRPr="00FF0309">
        <w:rPr>
          <w:rStyle w:val="Odkazjemn"/>
          <w:b w:val="0"/>
        </w:rPr>
        <w:t>the</w:t>
      </w:r>
      <w:proofErr w:type="spellEnd"/>
      <w:r w:rsidRPr="00FF0309">
        <w:rPr>
          <w:rStyle w:val="Odkazjemn"/>
          <w:b w:val="0"/>
        </w:rPr>
        <w:t xml:space="preserve"> </w:t>
      </w:r>
      <w:proofErr w:type="spellStart"/>
      <w:r w:rsidRPr="00FF0309">
        <w:rPr>
          <w:rStyle w:val="Odkazjemn"/>
          <w:b w:val="0"/>
        </w:rPr>
        <w:t>European</w:t>
      </w:r>
      <w:proofErr w:type="spellEnd"/>
      <w:r w:rsidRPr="00FF0309">
        <w:rPr>
          <w:rStyle w:val="Odkazjemn"/>
          <w:b w:val="0"/>
        </w:rPr>
        <w:t xml:space="preserve"> </w:t>
      </w:r>
      <w:proofErr w:type="spellStart"/>
      <w:r w:rsidRPr="00FF0309">
        <w:rPr>
          <w:rStyle w:val="Odkazjemn"/>
          <w:b w:val="0"/>
        </w:rPr>
        <w:t>Central</w:t>
      </w:r>
      <w:proofErr w:type="spellEnd"/>
      <w:r w:rsidRPr="00FF0309">
        <w:rPr>
          <w:rStyle w:val="Odkazjemn"/>
          <w:b w:val="0"/>
        </w:rPr>
        <w:t xml:space="preserve"> </w:t>
      </w:r>
      <w:proofErr w:type="gramStart"/>
      <w:r w:rsidRPr="00FF0309">
        <w:rPr>
          <w:rStyle w:val="Odkazjemn"/>
          <w:b w:val="0"/>
        </w:rPr>
        <w:t>Bank - [online</w:t>
      </w:r>
      <w:proofErr w:type="gramEnd"/>
      <w:r w:rsidRPr="00FF0309">
        <w:rPr>
          <w:rStyle w:val="Odkazjemn"/>
          <w:b w:val="0"/>
        </w:rPr>
        <w:t xml:space="preserve">], </w:t>
      </w:r>
      <w:proofErr w:type="spellStart"/>
      <w:r w:rsidRPr="00FF0309">
        <w:rPr>
          <w:rStyle w:val="Odkazjemn"/>
          <w:b w:val="0"/>
        </w:rPr>
        <w:t>The</w:t>
      </w:r>
      <w:proofErr w:type="spellEnd"/>
      <w:r w:rsidRPr="00FF0309">
        <w:rPr>
          <w:rStyle w:val="Odkazjemn"/>
          <w:b w:val="0"/>
        </w:rPr>
        <w:t xml:space="preserve"> </w:t>
      </w:r>
      <w:proofErr w:type="spellStart"/>
      <w:r w:rsidRPr="00FF0309">
        <w:rPr>
          <w:rStyle w:val="Odkazjemn"/>
          <w:b w:val="0"/>
        </w:rPr>
        <w:t>introduction</w:t>
      </w:r>
      <w:proofErr w:type="spellEnd"/>
      <w:r w:rsidRPr="00FF0309">
        <w:rPr>
          <w:rStyle w:val="Odkazjemn"/>
          <w:b w:val="0"/>
        </w:rPr>
        <w:t xml:space="preserve"> </w:t>
      </w:r>
      <w:proofErr w:type="spellStart"/>
      <w:r w:rsidRPr="00FF0309">
        <w:rPr>
          <w:rStyle w:val="Odkazjemn"/>
          <w:b w:val="0"/>
        </w:rPr>
        <w:t>of</w:t>
      </w:r>
      <w:proofErr w:type="spellEnd"/>
      <w:r w:rsidRPr="00FF0309">
        <w:rPr>
          <w:rStyle w:val="Odkazjemn"/>
          <w:b w:val="0"/>
        </w:rPr>
        <w:t xml:space="preserve"> </w:t>
      </w:r>
      <w:proofErr w:type="spellStart"/>
      <w:r w:rsidRPr="00FF0309">
        <w:rPr>
          <w:rStyle w:val="Odkazjemn"/>
          <w:b w:val="0"/>
        </w:rPr>
        <w:t>the</w:t>
      </w:r>
      <w:proofErr w:type="spellEnd"/>
      <w:r w:rsidRPr="00FF0309">
        <w:rPr>
          <w:rStyle w:val="Odkazjemn"/>
          <w:b w:val="0"/>
        </w:rPr>
        <w:t xml:space="preserve"> euro in </w:t>
      </w:r>
      <w:proofErr w:type="spellStart"/>
      <w:r w:rsidRPr="00FF0309">
        <w:rPr>
          <w:rStyle w:val="Odkazjemn"/>
          <w:b w:val="0"/>
        </w:rPr>
        <w:t>Slovenia</w:t>
      </w:r>
      <w:proofErr w:type="spellEnd"/>
      <w:r w:rsidRPr="00FF0309">
        <w:rPr>
          <w:rStyle w:val="Odkazjemn"/>
          <w:b w:val="0"/>
        </w:rPr>
        <w:t xml:space="preserve">, 2009,  </w:t>
      </w:r>
      <w:r>
        <w:rPr>
          <w:rStyle w:val="Odkazjemn"/>
          <w:b w:val="0"/>
        </w:rPr>
        <w:t>[cit.2009-11-30]. Dostupný z  &lt;</w:t>
      </w:r>
      <w:r w:rsidRPr="00FF0309">
        <w:rPr>
          <w:rStyle w:val="Odkazjemn"/>
          <w:b w:val="0"/>
        </w:rPr>
        <w:t>http://</w:t>
      </w:r>
      <w:proofErr w:type="gramStart"/>
      <w:r w:rsidRPr="00FF0309">
        <w:rPr>
          <w:rStyle w:val="Odkazjemn"/>
          <w:b w:val="0"/>
        </w:rPr>
        <w:t xml:space="preserve">eur- </w:t>
      </w:r>
      <w:proofErr w:type="spellStart"/>
      <w:r w:rsidRPr="00FF0309">
        <w:rPr>
          <w:rStyle w:val="Odkazjemn"/>
          <w:b w:val="0"/>
        </w:rPr>
        <w:t>x.europa</w:t>
      </w:r>
      <w:proofErr w:type="gramEnd"/>
      <w:r w:rsidRPr="00FF0309">
        <w:rPr>
          <w:rStyle w:val="Odkazjemn"/>
          <w:b w:val="0"/>
        </w:rPr>
        <w:t>.eu</w:t>
      </w:r>
      <w:proofErr w:type="spellEnd"/>
      <w:r w:rsidRPr="00FF0309">
        <w:rPr>
          <w:rStyle w:val="Odkazjemn"/>
          <w:b w:val="0"/>
        </w:rPr>
        <w:t>/</w:t>
      </w:r>
      <w:proofErr w:type="spellStart"/>
      <w:r w:rsidRPr="00FF0309">
        <w:rPr>
          <w:rStyle w:val="Odkazjemn"/>
          <w:b w:val="0"/>
        </w:rPr>
        <w:t>LexUriServ</w:t>
      </w:r>
      <w:proofErr w:type="spellEnd"/>
      <w:r w:rsidRPr="00FF0309">
        <w:rPr>
          <w:rStyle w:val="Odkazjemn"/>
          <w:b w:val="0"/>
        </w:rPr>
        <w:t xml:space="preserve">/ </w:t>
      </w:r>
      <w:proofErr w:type="spellStart"/>
      <w:r w:rsidRPr="00FF0309">
        <w:rPr>
          <w:rStyle w:val="Odkazjemn"/>
          <w:b w:val="0"/>
        </w:rPr>
        <w:t>LexUriServ.do</w:t>
      </w:r>
      <w:proofErr w:type="spellEnd"/>
      <w:r w:rsidRPr="00FF0309">
        <w:rPr>
          <w:rStyle w:val="Odkazjemn"/>
          <w:b w:val="0"/>
        </w:rPr>
        <w:t>?</w:t>
      </w:r>
      <w:proofErr w:type="spellStart"/>
      <w:r w:rsidRPr="00FF0309">
        <w:rPr>
          <w:rStyle w:val="Odkazjemn"/>
          <w:b w:val="0"/>
        </w:rPr>
        <w:t>uri</w:t>
      </w:r>
      <w:proofErr w:type="spellEnd"/>
      <w:r w:rsidRPr="00FF0309">
        <w:rPr>
          <w:rStyle w:val="Odkazjemn"/>
          <w:b w:val="0"/>
        </w:rPr>
        <w:t xml:space="preserve"> =</w:t>
      </w:r>
      <w:proofErr w:type="spellStart"/>
      <w:r w:rsidRPr="00FF0309">
        <w:rPr>
          <w:rStyle w:val="Odkazjemn"/>
          <w:b w:val="0"/>
        </w:rPr>
        <w:t>COM</w:t>
      </w:r>
      <w:proofErr w:type="spellEnd"/>
      <w:r w:rsidRPr="00FF0309">
        <w:rPr>
          <w:rStyle w:val="Odkazjemn"/>
          <w:b w:val="0"/>
        </w:rPr>
        <w:t>:2007:0233:FIN:</w:t>
      </w:r>
      <w:proofErr w:type="spellStart"/>
      <w:r w:rsidRPr="00FF0309">
        <w:rPr>
          <w:rStyle w:val="Odkazjemn"/>
          <w:b w:val="0"/>
        </w:rPr>
        <w:t>EN</w:t>
      </w:r>
      <w:proofErr w:type="spellEnd"/>
      <w:r w:rsidRPr="00FF0309">
        <w:rPr>
          <w:rStyle w:val="Odkazjemn"/>
          <w:b w:val="0"/>
        </w:rPr>
        <w:t>:</w:t>
      </w:r>
      <w:proofErr w:type="spellStart"/>
      <w:r w:rsidRPr="00FF0309">
        <w:rPr>
          <w:rStyle w:val="Odkazjemn"/>
          <w:b w:val="0"/>
        </w:rPr>
        <w:t>PDF</w:t>
      </w:r>
      <w:proofErr w:type="spellEnd"/>
    </w:p>
  </w:footnote>
  <w:footnote w:id="43">
    <w:p w:rsidR="00FD7B45" w:rsidRDefault="00FD7B45" w:rsidP="00A80382">
      <w:pPr>
        <w:pStyle w:val="Textpoznpodarou"/>
      </w:pPr>
      <w:r w:rsidRPr="00FF0309">
        <w:rPr>
          <w:rStyle w:val="Odkazjemn"/>
        </w:rPr>
        <w:footnoteRef/>
      </w:r>
      <w:r w:rsidRPr="00FF0309">
        <w:rPr>
          <w:rStyle w:val="Odkazjemn"/>
        </w:rPr>
        <w:t xml:space="preserve"> Výše uvedeno</w:t>
      </w:r>
    </w:p>
  </w:footnote>
  <w:footnote w:id="44">
    <w:p w:rsidR="00FD7B45" w:rsidRDefault="00FD7B45" w:rsidP="00A80382">
      <w:pPr>
        <w:pStyle w:val="Prliminairetype"/>
        <w:spacing w:before="0"/>
        <w:jc w:val="both"/>
      </w:pPr>
      <w:r w:rsidRPr="00781761">
        <w:rPr>
          <w:rStyle w:val="Odkazjemn"/>
          <w:b w:val="0"/>
        </w:rPr>
        <w:footnoteRef/>
      </w:r>
      <w:r w:rsidRPr="00781761">
        <w:rPr>
          <w:rStyle w:val="Odkazjemn"/>
          <w:b w:val="0"/>
        </w:rPr>
        <w:t xml:space="preserve"> </w:t>
      </w:r>
      <w:proofErr w:type="spellStart"/>
      <w:r>
        <w:rPr>
          <w:rStyle w:val="Odkazjemn"/>
          <w:b w:val="0"/>
        </w:rPr>
        <w:t>T</w:t>
      </w:r>
      <w:r w:rsidRPr="00781761">
        <w:rPr>
          <w:rStyle w:val="Odkazjemn"/>
          <w:b w:val="0"/>
        </w:rPr>
        <w:t>he</w:t>
      </w:r>
      <w:proofErr w:type="spellEnd"/>
      <w:r w:rsidRPr="00781761">
        <w:rPr>
          <w:rStyle w:val="Odkazjemn"/>
          <w:b w:val="0"/>
        </w:rPr>
        <w:t xml:space="preserve"> </w:t>
      </w:r>
      <w:proofErr w:type="spellStart"/>
      <w:r w:rsidRPr="00781761">
        <w:rPr>
          <w:rStyle w:val="Odkazjemn"/>
          <w:b w:val="0"/>
        </w:rPr>
        <w:t>European</w:t>
      </w:r>
      <w:proofErr w:type="spellEnd"/>
      <w:r w:rsidRPr="00781761">
        <w:rPr>
          <w:rStyle w:val="Odkazjemn"/>
          <w:b w:val="0"/>
        </w:rPr>
        <w:t xml:space="preserve"> </w:t>
      </w:r>
      <w:proofErr w:type="spellStart"/>
      <w:r w:rsidRPr="00781761">
        <w:rPr>
          <w:rStyle w:val="Odkazjemn"/>
          <w:b w:val="0"/>
        </w:rPr>
        <w:t>Parliament</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European</w:t>
      </w:r>
      <w:proofErr w:type="spellEnd"/>
      <w:r w:rsidRPr="00781761">
        <w:rPr>
          <w:rStyle w:val="Odkazjemn"/>
          <w:b w:val="0"/>
        </w:rPr>
        <w:t xml:space="preserve"> </w:t>
      </w:r>
      <w:proofErr w:type="spellStart"/>
      <w:r w:rsidRPr="00781761">
        <w:rPr>
          <w:rStyle w:val="Odkazjemn"/>
          <w:b w:val="0"/>
        </w:rPr>
        <w:t>Economic</w:t>
      </w:r>
      <w:proofErr w:type="spellEnd"/>
      <w:r w:rsidRPr="00781761">
        <w:rPr>
          <w:rStyle w:val="Odkazjemn"/>
          <w:b w:val="0"/>
        </w:rPr>
        <w:t xml:space="preserve"> </w:t>
      </w:r>
      <w:proofErr w:type="spellStart"/>
      <w:r w:rsidRPr="00781761">
        <w:rPr>
          <w:rStyle w:val="Odkazjemn"/>
          <w:b w:val="0"/>
        </w:rPr>
        <w:t>and</w:t>
      </w:r>
      <w:proofErr w:type="spellEnd"/>
      <w:r w:rsidRPr="00781761">
        <w:rPr>
          <w:rStyle w:val="Odkazjemn"/>
          <w:b w:val="0"/>
        </w:rPr>
        <w:t xml:space="preserve"> </w:t>
      </w:r>
      <w:proofErr w:type="spellStart"/>
      <w:r w:rsidRPr="00781761">
        <w:rPr>
          <w:rStyle w:val="Odkazjemn"/>
          <w:b w:val="0"/>
        </w:rPr>
        <w:t>Social</w:t>
      </w:r>
      <w:proofErr w:type="spellEnd"/>
      <w:r w:rsidRPr="00781761">
        <w:rPr>
          <w:rStyle w:val="Odkazjemn"/>
          <w:b w:val="0"/>
        </w:rPr>
        <w:t xml:space="preserve"> </w:t>
      </w:r>
      <w:proofErr w:type="spellStart"/>
      <w:r w:rsidRPr="00781761">
        <w:rPr>
          <w:rStyle w:val="Odkazjemn"/>
          <w:b w:val="0"/>
        </w:rPr>
        <w:t>Committee</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Committee</w:t>
      </w:r>
      <w:proofErr w:type="spellEnd"/>
      <w:r w:rsidRPr="00781761">
        <w:rPr>
          <w:rStyle w:val="Odkazjemn"/>
          <w:b w:val="0"/>
        </w:rPr>
        <w:t xml:space="preserve"> </w:t>
      </w:r>
      <w:proofErr w:type="spellStart"/>
      <w:r w:rsidRPr="00781761">
        <w:rPr>
          <w:rStyle w:val="Odkazjemn"/>
          <w:b w:val="0"/>
        </w:rPr>
        <w:t>of</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Regions</w:t>
      </w:r>
      <w:proofErr w:type="spellEnd"/>
      <w:r w:rsidRPr="00781761">
        <w:rPr>
          <w:rStyle w:val="Odkazjemn"/>
          <w:b w:val="0"/>
        </w:rPr>
        <w:t xml:space="preserve"> </w:t>
      </w:r>
      <w:proofErr w:type="spellStart"/>
      <w:r w:rsidRPr="00781761">
        <w:rPr>
          <w:rStyle w:val="Odkazjemn"/>
          <w:b w:val="0"/>
        </w:rPr>
        <w:t>and</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European</w:t>
      </w:r>
      <w:proofErr w:type="spellEnd"/>
      <w:r w:rsidRPr="00781761">
        <w:rPr>
          <w:rStyle w:val="Odkazjemn"/>
          <w:b w:val="0"/>
        </w:rPr>
        <w:t xml:space="preserve"> </w:t>
      </w:r>
      <w:proofErr w:type="spellStart"/>
      <w:r w:rsidRPr="00781761">
        <w:rPr>
          <w:rStyle w:val="Odkazjemn"/>
          <w:b w:val="0"/>
        </w:rPr>
        <w:t>Central</w:t>
      </w:r>
      <w:proofErr w:type="spellEnd"/>
      <w:r w:rsidRPr="00781761">
        <w:rPr>
          <w:rStyle w:val="Odkazjemn"/>
          <w:b w:val="0"/>
        </w:rPr>
        <w:t xml:space="preserve"> </w:t>
      </w:r>
      <w:proofErr w:type="gramStart"/>
      <w:r w:rsidRPr="00781761">
        <w:rPr>
          <w:rStyle w:val="Odkazjemn"/>
          <w:b w:val="0"/>
        </w:rPr>
        <w:t>Bank - [online</w:t>
      </w:r>
      <w:proofErr w:type="gram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introduction</w:t>
      </w:r>
      <w:proofErr w:type="spellEnd"/>
      <w:r w:rsidRPr="00781761">
        <w:rPr>
          <w:rStyle w:val="Odkazjemn"/>
          <w:b w:val="0"/>
        </w:rPr>
        <w:t xml:space="preserve"> </w:t>
      </w:r>
      <w:proofErr w:type="spellStart"/>
      <w:r w:rsidRPr="00781761">
        <w:rPr>
          <w:rStyle w:val="Odkazjemn"/>
          <w:b w:val="0"/>
        </w:rPr>
        <w:t>of</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euro in </w:t>
      </w:r>
      <w:proofErr w:type="spellStart"/>
      <w:r w:rsidRPr="00781761">
        <w:rPr>
          <w:rStyle w:val="Odkazjemn"/>
          <w:b w:val="0"/>
        </w:rPr>
        <w:t>Slovenia</w:t>
      </w:r>
      <w:proofErr w:type="spellEnd"/>
      <w:r w:rsidRPr="00781761">
        <w:rPr>
          <w:rStyle w:val="Odkazjemn"/>
          <w:b w:val="0"/>
        </w:rPr>
        <w:t xml:space="preserve">, </w:t>
      </w:r>
      <w:r>
        <w:rPr>
          <w:rStyle w:val="Odkazjemn"/>
          <w:b w:val="0"/>
        </w:rPr>
        <w:t>2009, [cit.2009-11-30]. Dostupný z  &lt;</w:t>
      </w:r>
      <w:r w:rsidRPr="00781761">
        <w:rPr>
          <w:rStyle w:val="Odkazjemn"/>
          <w:b w:val="0"/>
        </w:rPr>
        <w:t>http://</w:t>
      </w:r>
      <w:proofErr w:type="gramStart"/>
      <w:r w:rsidRPr="00781761">
        <w:rPr>
          <w:rStyle w:val="Odkazjemn"/>
          <w:b w:val="0"/>
        </w:rPr>
        <w:t xml:space="preserve">eur- </w:t>
      </w:r>
      <w:proofErr w:type="spellStart"/>
      <w:r w:rsidRPr="00781761">
        <w:rPr>
          <w:rStyle w:val="Odkazjemn"/>
          <w:b w:val="0"/>
        </w:rPr>
        <w:t>x.europa</w:t>
      </w:r>
      <w:proofErr w:type="gramEnd"/>
      <w:r w:rsidRPr="00781761">
        <w:rPr>
          <w:rStyle w:val="Odkazjemn"/>
          <w:b w:val="0"/>
        </w:rPr>
        <w:t>.eu</w:t>
      </w:r>
      <w:proofErr w:type="spellEnd"/>
      <w:r w:rsidRPr="00781761">
        <w:rPr>
          <w:rStyle w:val="Odkazjemn"/>
          <w:b w:val="0"/>
        </w:rPr>
        <w:t>/</w:t>
      </w:r>
      <w:proofErr w:type="spellStart"/>
      <w:r w:rsidRPr="00781761">
        <w:rPr>
          <w:rStyle w:val="Odkazjemn"/>
          <w:b w:val="0"/>
        </w:rPr>
        <w:t>LexUriServ</w:t>
      </w:r>
      <w:proofErr w:type="spellEnd"/>
      <w:r w:rsidRPr="00781761">
        <w:rPr>
          <w:rStyle w:val="Odkazjemn"/>
          <w:b w:val="0"/>
        </w:rPr>
        <w:t xml:space="preserve">/ </w:t>
      </w:r>
      <w:proofErr w:type="spellStart"/>
      <w:r w:rsidRPr="00781761">
        <w:rPr>
          <w:rStyle w:val="Odkazjemn"/>
          <w:b w:val="0"/>
        </w:rPr>
        <w:t>LexUriServ.do</w:t>
      </w:r>
      <w:proofErr w:type="spellEnd"/>
      <w:r w:rsidRPr="00781761">
        <w:rPr>
          <w:rStyle w:val="Odkazjemn"/>
          <w:b w:val="0"/>
        </w:rPr>
        <w:t>?</w:t>
      </w:r>
      <w:proofErr w:type="spellStart"/>
      <w:r w:rsidRPr="00781761">
        <w:rPr>
          <w:rStyle w:val="Odkazjemn"/>
          <w:b w:val="0"/>
        </w:rPr>
        <w:t>uri</w:t>
      </w:r>
      <w:proofErr w:type="spellEnd"/>
      <w:r w:rsidRPr="00781761">
        <w:rPr>
          <w:rStyle w:val="Odkazjemn"/>
          <w:b w:val="0"/>
        </w:rPr>
        <w:t xml:space="preserve"> =</w:t>
      </w:r>
      <w:proofErr w:type="spellStart"/>
      <w:r w:rsidRPr="00781761">
        <w:rPr>
          <w:rStyle w:val="Odkazjemn"/>
          <w:b w:val="0"/>
        </w:rPr>
        <w:t>COM</w:t>
      </w:r>
      <w:proofErr w:type="spellEnd"/>
      <w:r w:rsidRPr="00781761">
        <w:rPr>
          <w:rStyle w:val="Odkazjemn"/>
          <w:b w:val="0"/>
        </w:rPr>
        <w:t>:2007:0233:FIN:</w:t>
      </w:r>
      <w:proofErr w:type="spellStart"/>
      <w:r w:rsidRPr="00781761">
        <w:rPr>
          <w:rStyle w:val="Odkazjemn"/>
          <w:b w:val="0"/>
        </w:rPr>
        <w:t>EN</w:t>
      </w:r>
      <w:proofErr w:type="spellEnd"/>
      <w:r w:rsidRPr="00781761">
        <w:rPr>
          <w:rStyle w:val="Odkazjemn"/>
          <w:b w:val="0"/>
        </w:rPr>
        <w:t>:</w:t>
      </w:r>
      <w:proofErr w:type="spellStart"/>
      <w:r w:rsidRPr="00781761">
        <w:rPr>
          <w:rStyle w:val="Odkazjemn"/>
          <w:b w:val="0"/>
        </w:rPr>
        <w:t>PDF</w:t>
      </w:r>
      <w:proofErr w:type="spellEnd"/>
      <w:r>
        <w:rPr>
          <w:rStyle w:val="Odkazjemn"/>
          <w:b w:val="0"/>
        </w:rPr>
        <w:t>&gt;</w:t>
      </w:r>
    </w:p>
  </w:footnote>
  <w:footnote w:id="45">
    <w:p w:rsidR="00FD7B45" w:rsidRPr="00043751" w:rsidRDefault="00FD7B45" w:rsidP="00A80382">
      <w:pPr>
        <w:pStyle w:val="externalclass9015b86d913f4aeeb124c00a12335c81"/>
        <w:numPr>
          <w:ilvl w:val="0"/>
          <w:numId w:val="0"/>
        </w:numPr>
        <w:spacing w:before="0" w:beforeAutospacing="0" w:after="0" w:afterAutospacing="0"/>
        <w:ind w:left="453" w:hanging="453"/>
        <w:rPr>
          <w:rStyle w:val="Odkazjemn"/>
        </w:rPr>
      </w:pPr>
      <w:r w:rsidRPr="00043751">
        <w:rPr>
          <w:rStyle w:val="Odkazjemn"/>
        </w:rPr>
        <w:footnoteRef/>
      </w:r>
      <w:r w:rsidRPr="00043751">
        <w:rPr>
          <w:rStyle w:val="Odkazjemn"/>
        </w:rPr>
        <w:t xml:space="preserve"> </w:t>
      </w:r>
      <w:proofErr w:type="spellStart"/>
      <w:r w:rsidRPr="00043751">
        <w:rPr>
          <w:rStyle w:val="Odkazjemn"/>
        </w:rPr>
        <w:t>TUČNÍK</w:t>
      </w:r>
      <w:proofErr w:type="spellEnd"/>
      <w:r w:rsidRPr="00043751">
        <w:rPr>
          <w:rStyle w:val="Odkazjemn"/>
        </w:rPr>
        <w:t xml:space="preserve">, M. </w:t>
      </w:r>
      <w:proofErr w:type="spellStart"/>
      <w:r w:rsidRPr="00043751">
        <w:rPr>
          <w:rStyle w:val="Odkazjemn"/>
        </w:rPr>
        <w:t>Implementácia</w:t>
      </w:r>
      <w:proofErr w:type="spellEnd"/>
      <w:r w:rsidRPr="00043751">
        <w:rPr>
          <w:rStyle w:val="Odkazjemn"/>
        </w:rPr>
        <w:t xml:space="preserve">  eura v nových členských krajinách EU.: </w:t>
      </w:r>
      <w:proofErr w:type="spellStart"/>
      <w:r w:rsidRPr="00043751">
        <w:rPr>
          <w:rStyle w:val="Odkazjemn"/>
        </w:rPr>
        <w:t>Vyd</w:t>
      </w:r>
      <w:proofErr w:type="spellEnd"/>
      <w:r w:rsidRPr="00043751">
        <w:rPr>
          <w:rStyle w:val="Odkazjemn"/>
        </w:rPr>
        <w:t xml:space="preserve">. 1. Bratislava: </w:t>
      </w:r>
      <w:proofErr w:type="spellStart"/>
      <w:r w:rsidRPr="00043751">
        <w:rPr>
          <w:rStyle w:val="Odkazjemn"/>
        </w:rPr>
        <w:t>Ekonóm</w:t>
      </w:r>
      <w:proofErr w:type="spellEnd"/>
      <w:r w:rsidRPr="00043751">
        <w:rPr>
          <w:rStyle w:val="Odkazjemn"/>
        </w:rPr>
        <w:t>, 2007. 158</w:t>
      </w:r>
      <w:r>
        <w:rPr>
          <w:rStyle w:val="Odkazjemn"/>
        </w:rPr>
        <w:t xml:space="preserve"> s. </w:t>
      </w:r>
      <w:proofErr w:type="spellStart"/>
      <w:r>
        <w:rPr>
          <w:rStyle w:val="Odkazjemn"/>
        </w:rPr>
        <w:t>ISBN</w:t>
      </w:r>
      <w:proofErr w:type="spellEnd"/>
      <w:r>
        <w:rPr>
          <w:rStyle w:val="Odkazjemn"/>
        </w:rPr>
        <w:t xml:space="preserve"> </w:t>
      </w:r>
      <w:proofErr w:type="gramStart"/>
      <w:r w:rsidRPr="00043751">
        <w:rPr>
          <w:rStyle w:val="Odkazjemn"/>
        </w:rPr>
        <w:t>978-80</w:t>
      </w:r>
      <w:proofErr w:type="gramEnd"/>
      <w:r w:rsidRPr="00043751">
        <w:rPr>
          <w:rStyle w:val="Odkazjemn"/>
        </w:rPr>
        <w:t>-225-2438-4.</w:t>
      </w:r>
    </w:p>
    <w:p w:rsidR="00FD7B45" w:rsidRDefault="00FD7B45" w:rsidP="00A80382">
      <w:pPr>
        <w:pStyle w:val="externalclass9015b86d913f4aeeb124c00a12335c81"/>
        <w:numPr>
          <w:ilvl w:val="0"/>
          <w:numId w:val="0"/>
        </w:numPr>
        <w:spacing w:before="0" w:beforeAutospacing="0" w:after="0" w:afterAutospacing="0"/>
        <w:ind w:left="453" w:hanging="453"/>
      </w:pPr>
    </w:p>
  </w:footnote>
  <w:footnote w:id="46">
    <w:p w:rsidR="00FD7B45" w:rsidRDefault="00FD7B45" w:rsidP="00A80382">
      <w:pPr>
        <w:pStyle w:val="Prliminairetype"/>
        <w:spacing w:before="0"/>
        <w:jc w:val="both"/>
      </w:pPr>
      <w:r w:rsidRPr="00E95497">
        <w:rPr>
          <w:rStyle w:val="Odkazjemn"/>
          <w:b w:val="0"/>
        </w:rPr>
        <w:footnoteRef/>
      </w:r>
      <w:r w:rsidRPr="00E95497">
        <w:rPr>
          <w:rStyle w:val="Odkazjemn"/>
          <w:b w:val="0"/>
        </w:rPr>
        <w:t xml:space="preserve"> </w:t>
      </w:r>
      <w:proofErr w:type="spellStart"/>
      <w:r w:rsidRPr="00E95497">
        <w:rPr>
          <w:rStyle w:val="Odkazjemn"/>
          <w:b w:val="0"/>
        </w:rPr>
        <w:t>The</w:t>
      </w:r>
      <w:proofErr w:type="spellEnd"/>
      <w:r w:rsidRPr="00E95497">
        <w:rPr>
          <w:rStyle w:val="Odkazjemn"/>
          <w:b w:val="0"/>
        </w:rPr>
        <w:t xml:space="preserve"> </w:t>
      </w:r>
      <w:proofErr w:type="spellStart"/>
      <w:r w:rsidRPr="00E95497">
        <w:rPr>
          <w:rStyle w:val="Odkazjemn"/>
          <w:b w:val="0"/>
        </w:rPr>
        <w:t>European</w:t>
      </w:r>
      <w:proofErr w:type="spellEnd"/>
      <w:r w:rsidRPr="00E95497">
        <w:rPr>
          <w:rStyle w:val="Odkazjemn"/>
          <w:b w:val="0"/>
        </w:rPr>
        <w:t xml:space="preserve"> </w:t>
      </w:r>
      <w:proofErr w:type="spellStart"/>
      <w:r w:rsidRPr="00E95497">
        <w:rPr>
          <w:rStyle w:val="Odkazjemn"/>
          <w:b w:val="0"/>
        </w:rPr>
        <w:t>Parliament</w:t>
      </w:r>
      <w:proofErr w:type="spellEnd"/>
      <w:r w:rsidRPr="00E95497">
        <w:rPr>
          <w:rStyle w:val="Odkazjemn"/>
          <w:b w:val="0"/>
        </w:rPr>
        <w:t xml:space="preserve">, </w:t>
      </w:r>
      <w:proofErr w:type="spellStart"/>
      <w:r w:rsidRPr="00E95497">
        <w:rPr>
          <w:rStyle w:val="Odkazjemn"/>
          <w:b w:val="0"/>
        </w:rPr>
        <w:t>the</w:t>
      </w:r>
      <w:proofErr w:type="spellEnd"/>
      <w:r w:rsidRPr="00E95497">
        <w:rPr>
          <w:rStyle w:val="Odkazjemn"/>
          <w:b w:val="0"/>
        </w:rPr>
        <w:t xml:space="preserve"> </w:t>
      </w:r>
      <w:proofErr w:type="spellStart"/>
      <w:r w:rsidRPr="00E95497">
        <w:rPr>
          <w:rStyle w:val="Odkazjemn"/>
          <w:b w:val="0"/>
        </w:rPr>
        <w:t>European</w:t>
      </w:r>
      <w:proofErr w:type="spellEnd"/>
      <w:r w:rsidRPr="00E95497">
        <w:rPr>
          <w:rStyle w:val="Odkazjemn"/>
          <w:b w:val="0"/>
        </w:rPr>
        <w:t xml:space="preserve"> </w:t>
      </w:r>
      <w:proofErr w:type="spellStart"/>
      <w:r w:rsidRPr="00E95497">
        <w:rPr>
          <w:rStyle w:val="Odkazjemn"/>
          <w:b w:val="0"/>
        </w:rPr>
        <w:t>Economic</w:t>
      </w:r>
      <w:proofErr w:type="spellEnd"/>
      <w:r w:rsidRPr="00E95497">
        <w:rPr>
          <w:rStyle w:val="Odkazjemn"/>
          <w:b w:val="0"/>
        </w:rPr>
        <w:t xml:space="preserve"> </w:t>
      </w:r>
      <w:proofErr w:type="spellStart"/>
      <w:r w:rsidRPr="00E95497">
        <w:rPr>
          <w:rStyle w:val="Odkazjemn"/>
          <w:b w:val="0"/>
        </w:rPr>
        <w:t>and</w:t>
      </w:r>
      <w:proofErr w:type="spellEnd"/>
      <w:r w:rsidRPr="00E95497">
        <w:rPr>
          <w:rStyle w:val="Odkazjemn"/>
          <w:b w:val="0"/>
        </w:rPr>
        <w:t xml:space="preserve"> </w:t>
      </w:r>
      <w:proofErr w:type="spellStart"/>
      <w:r w:rsidRPr="00E95497">
        <w:rPr>
          <w:rStyle w:val="Odkazjemn"/>
          <w:b w:val="0"/>
        </w:rPr>
        <w:t>Social</w:t>
      </w:r>
      <w:proofErr w:type="spellEnd"/>
      <w:r w:rsidRPr="00E95497">
        <w:rPr>
          <w:rStyle w:val="Odkazjemn"/>
          <w:b w:val="0"/>
        </w:rPr>
        <w:t xml:space="preserve"> </w:t>
      </w:r>
      <w:proofErr w:type="spellStart"/>
      <w:r w:rsidRPr="00E95497">
        <w:rPr>
          <w:rStyle w:val="Odkazjemn"/>
          <w:b w:val="0"/>
        </w:rPr>
        <w:t>Committee</w:t>
      </w:r>
      <w:proofErr w:type="spellEnd"/>
      <w:r w:rsidRPr="00E95497">
        <w:rPr>
          <w:rStyle w:val="Odkazjemn"/>
          <w:b w:val="0"/>
        </w:rPr>
        <w:t xml:space="preserve">, </w:t>
      </w:r>
      <w:proofErr w:type="spellStart"/>
      <w:r w:rsidRPr="00E95497">
        <w:rPr>
          <w:rStyle w:val="Odkazjemn"/>
          <w:b w:val="0"/>
        </w:rPr>
        <w:t>the</w:t>
      </w:r>
      <w:proofErr w:type="spellEnd"/>
      <w:r w:rsidRPr="00E95497">
        <w:rPr>
          <w:rStyle w:val="Odkazjemn"/>
          <w:b w:val="0"/>
        </w:rPr>
        <w:t xml:space="preserve"> </w:t>
      </w:r>
      <w:proofErr w:type="spellStart"/>
      <w:r w:rsidRPr="00E95497">
        <w:rPr>
          <w:rStyle w:val="Odkazjemn"/>
          <w:b w:val="0"/>
        </w:rPr>
        <w:t>Committee</w:t>
      </w:r>
      <w:proofErr w:type="spellEnd"/>
      <w:r w:rsidRPr="00E95497">
        <w:rPr>
          <w:rStyle w:val="Odkazjemn"/>
          <w:b w:val="0"/>
        </w:rPr>
        <w:t xml:space="preserve"> </w:t>
      </w:r>
      <w:proofErr w:type="spellStart"/>
      <w:r w:rsidRPr="00E95497">
        <w:rPr>
          <w:rStyle w:val="Odkazjemn"/>
          <w:b w:val="0"/>
        </w:rPr>
        <w:t>of</w:t>
      </w:r>
      <w:proofErr w:type="spellEnd"/>
      <w:r w:rsidRPr="00E95497">
        <w:rPr>
          <w:rStyle w:val="Odkazjemn"/>
          <w:b w:val="0"/>
        </w:rPr>
        <w:t xml:space="preserve"> </w:t>
      </w:r>
      <w:proofErr w:type="spellStart"/>
      <w:r w:rsidRPr="00E95497">
        <w:rPr>
          <w:rStyle w:val="Odkazjemn"/>
          <w:b w:val="0"/>
        </w:rPr>
        <w:t>the</w:t>
      </w:r>
      <w:proofErr w:type="spellEnd"/>
      <w:r w:rsidRPr="00E95497">
        <w:rPr>
          <w:rStyle w:val="Odkazjemn"/>
          <w:b w:val="0"/>
        </w:rPr>
        <w:t xml:space="preserve"> </w:t>
      </w:r>
      <w:proofErr w:type="spellStart"/>
      <w:r w:rsidRPr="00E95497">
        <w:rPr>
          <w:rStyle w:val="Odkazjemn"/>
          <w:b w:val="0"/>
        </w:rPr>
        <w:t>Regions</w:t>
      </w:r>
      <w:proofErr w:type="spellEnd"/>
      <w:r w:rsidRPr="00E95497">
        <w:rPr>
          <w:rStyle w:val="Odkazjemn"/>
          <w:b w:val="0"/>
        </w:rPr>
        <w:t xml:space="preserve"> </w:t>
      </w:r>
      <w:proofErr w:type="spellStart"/>
      <w:r w:rsidRPr="00E95497">
        <w:rPr>
          <w:rStyle w:val="Odkazjemn"/>
          <w:b w:val="0"/>
        </w:rPr>
        <w:t>and</w:t>
      </w:r>
      <w:proofErr w:type="spellEnd"/>
      <w:r w:rsidRPr="00E95497">
        <w:rPr>
          <w:rStyle w:val="Odkazjemn"/>
          <w:b w:val="0"/>
        </w:rPr>
        <w:t xml:space="preserve"> </w:t>
      </w:r>
      <w:proofErr w:type="spellStart"/>
      <w:r w:rsidRPr="00E95497">
        <w:rPr>
          <w:rStyle w:val="Odkazjemn"/>
          <w:b w:val="0"/>
        </w:rPr>
        <w:t>the</w:t>
      </w:r>
      <w:proofErr w:type="spellEnd"/>
      <w:r w:rsidRPr="00E95497">
        <w:rPr>
          <w:rStyle w:val="Odkazjemn"/>
          <w:b w:val="0"/>
        </w:rPr>
        <w:t xml:space="preserve"> </w:t>
      </w:r>
      <w:proofErr w:type="spellStart"/>
      <w:r w:rsidRPr="00E95497">
        <w:rPr>
          <w:rStyle w:val="Odkazjemn"/>
          <w:b w:val="0"/>
        </w:rPr>
        <w:t>European</w:t>
      </w:r>
      <w:proofErr w:type="spellEnd"/>
      <w:r w:rsidRPr="00E95497">
        <w:rPr>
          <w:rStyle w:val="Odkazjemn"/>
          <w:b w:val="0"/>
        </w:rPr>
        <w:t xml:space="preserve"> </w:t>
      </w:r>
      <w:proofErr w:type="spellStart"/>
      <w:r w:rsidRPr="00E95497">
        <w:rPr>
          <w:rStyle w:val="Odkazjemn"/>
          <w:b w:val="0"/>
        </w:rPr>
        <w:t>Central</w:t>
      </w:r>
      <w:proofErr w:type="spellEnd"/>
      <w:r w:rsidRPr="00E95497">
        <w:rPr>
          <w:rStyle w:val="Odkazjemn"/>
          <w:b w:val="0"/>
        </w:rPr>
        <w:t xml:space="preserve"> </w:t>
      </w:r>
      <w:proofErr w:type="gramStart"/>
      <w:r w:rsidRPr="00E95497">
        <w:rPr>
          <w:rStyle w:val="Odkazjemn"/>
          <w:b w:val="0"/>
        </w:rPr>
        <w:t>Bank - [online</w:t>
      </w:r>
      <w:proofErr w:type="gramEnd"/>
      <w:r w:rsidRPr="00E95497">
        <w:rPr>
          <w:rStyle w:val="Odkazjemn"/>
          <w:b w:val="0"/>
        </w:rPr>
        <w:t xml:space="preserve">], </w:t>
      </w:r>
      <w:proofErr w:type="spellStart"/>
      <w:r w:rsidRPr="00E95497">
        <w:rPr>
          <w:rStyle w:val="Odkazjemn"/>
          <w:b w:val="0"/>
        </w:rPr>
        <w:t>The</w:t>
      </w:r>
      <w:proofErr w:type="spellEnd"/>
      <w:r w:rsidRPr="00E95497">
        <w:rPr>
          <w:rStyle w:val="Odkazjemn"/>
          <w:b w:val="0"/>
        </w:rPr>
        <w:t xml:space="preserve"> </w:t>
      </w:r>
      <w:proofErr w:type="spellStart"/>
      <w:r w:rsidRPr="00E95497">
        <w:rPr>
          <w:rStyle w:val="Odkazjemn"/>
          <w:b w:val="0"/>
        </w:rPr>
        <w:t>introduction</w:t>
      </w:r>
      <w:proofErr w:type="spellEnd"/>
      <w:r w:rsidRPr="00E95497">
        <w:rPr>
          <w:rStyle w:val="Odkazjemn"/>
          <w:b w:val="0"/>
        </w:rPr>
        <w:t xml:space="preserve"> </w:t>
      </w:r>
      <w:proofErr w:type="spellStart"/>
      <w:r w:rsidRPr="00E95497">
        <w:rPr>
          <w:rStyle w:val="Odkazjemn"/>
          <w:b w:val="0"/>
        </w:rPr>
        <w:t>of</w:t>
      </w:r>
      <w:proofErr w:type="spellEnd"/>
      <w:r w:rsidRPr="00E95497">
        <w:rPr>
          <w:rStyle w:val="Odkazjemn"/>
          <w:b w:val="0"/>
        </w:rPr>
        <w:t xml:space="preserve"> </w:t>
      </w:r>
      <w:proofErr w:type="spellStart"/>
      <w:r w:rsidRPr="00E95497">
        <w:rPr>
          <w:rStyle w:val="Odkazjemn"/>
          <w:b w:val="0"/>
        </w:rPr>
        <w:t>the</w:t>
      </w:r>
      <w:proofErr w:type="spellEnd"/>
      <w:r w:rsidRPr="00E95497">
        <w:rPr>
          <w:rStyle w:val="Odkazjemn"/>
          <w:b w:val="0"/>
        </w:rPr>
        <w:t xml:space="preserve"> euro in </w:t>
      </w:r>
      <w:proofErr w:type="spellStart"/>
      <w:r w:rsidRPr="00E95497">
        <w:rPr>
          <w:rStyle w:val="Odkazjemn"/>
          <w:b w:val="0"/>
        </w:rPr>
        <w:t>Slovenia</w:t>
      </w:r>
      <w:proofErr w:type="spellEnd"/>
      <w:r w:rsidRPr="00E95497">
        <w:rPr>
          <w:rStyle w:val="Odkazjemn"/>
          <w:b w:val="0"/>
        </w:rPr>
        <w:t xml:space="preserve">, 2009, </w:t>
      </w:r>
      <w:r>
        <w:rPr>
          <w:rStyle w:val="Odkazjemn"/>
          <w:b w:val="0"/>
        </w:rPr>
        <w:t>[cit.2009-11-30]. Dostupný z  &lt;</w:t>
      </w:r>
      <w:r w:rsidRPr="00E95497">
        <w:rPr>
          <w:rStyle w:val="Odkazjemn"/>
          <w:b w:val="0"/>
        </w:rPr>
        <w:t>http://</w:t>
      </w:r>
      <w:proofErr w:type="gramStart"/>
      <w:r w:rsidRPr="00E95497">
        <w:rPr>
          <w:rStyle w:val="Odkazjemn"/>
          <w:b w:val="0"/>
        </w:rPr>
        <w:t xml:space="preserve">eur- </w:t>
      </w:r>
      <w:proofErr w:type="spellStart"/>
      <w:r w:rsidRPr="00E95497">
        <w:rPr>
          <w:rStyle w:val="Odkazjemn"/>
          <w:b w:val="0"/>
        </w:rPr>
        <w:t>x.europa</w:t>
      </w:r>
      <w:proofErr w:type="gramEnd"/>
      <w:r w:rsidRPr="00E95497">
        <w:rPr>
          <w:rStyle w:val="Odkazjemn"/>
          <w:b w:val="0"/>
        </w:rPr>
        <w:t>.eu</w:t>
      </w:r>
      <w:proofErr w:type="spellEnd"/>
      <w:r w:rsidRPr="00E95497">
        <w:rPr>
          <w:rStyle w:val="Odkazjemn"/>
          <w:b w:val="0"/>
        </w:rPr>
        <w:t>/</w:t>
      </w:r>
      <w:proofErr w:type="spellStart"/>
      <w:r w:rsidRPr="00E95497">
        <w:rPr>
          <w:rStyle w:val="Odkazjemn"/>
          <w:b w:val="0"/>
        </w:rPr>
        <w:t>LexUriServ</w:t>
      </w:r>
      <w:proofErr w:type="spellEnd"/>
      <w:r w:rsidRPr="00E95497">
        <w:rPr>
          <w:rStyle w:val="Odkazjemn"/>
          <w:b w:val="0"/>
        </w:rPr>
        <w:t xml:space="preserve">/ </w:t>
      </w:r>
      <w:proofErr w:type="spellStart"/>
      <w:r w:rsidRPr="00E95497">
        <w:rPr>
          <w:rStyle w:val="Odkazjemn"/>
          <w:b w:val="0"/>
        </w:rPr>
        <w:t>LexUriServ.d</w:t>
      </w:r>
      <w:r>
        <w:rPr>
          <w:rStyle w:val="Odkazjemn"/>
          <w:b w:val="0"/>
        </w:rPr>
        <w:t>o</w:t>
      </w:r>
      <w:proofErr w:type="spellEnd"/>
      <w:r>
        <w:rPr>
          <w:rStyle w:val="Odkazjemn"/>
          <w:b w:val="0"/>
        </w:rPr>
        <w:t>?</w:t>
      </w:r>
      <w:proofErr w:type="spellStart"/>
      <w:r>
        <w:rPr>
          <w:rStyle w:val="Odkazjemn"/>
          <w:b w:val="0"/>
        </w:rPr>
        <w:t>uri</w:t>
      </w:r>
      <w:proofErr w:type="spellEnd"/>
      <w:r>
        <w:rPr>
          <w:rStyle w:val="Odkazjemn"/>
          <w:b w:val="0"/>
        </w:rPr>
        <w:t xml:space="preserve"> =</w:t>
      </w:r>
      <w:proofErr w:type="spellStart"/>
      <w:r>
        <w:rPr>
          <w:rStyle w:val="Odkazjemn"/>
          <w:b w:val="0"/>
        </w:rPr>
        <w:t>COM</w:t>
      </w:r>
      <w:proofErr w:type="spellEnd"/>
      <w:r>
        <w:rPr>
          <w:rStyle w:val="Odkazjemn"/>
          <w:b w:val="0"/>
        </w:rPr>
        <w:t>:2007:0233:FIN:</w:t>
      </w:r>
      <w:proofErr w:type="spellStart"/>
      <w:r>
        <w:rPr>
          <w:rStyle w:val="Odkazjemn"/>
          <w:b w:val="0"/>
        </w:rPr>
        <w:t>EN</w:t>
      </w:r>
      <w:proofErr w:type="spellEnd"/>
      <w:r>
        <w:rPr>
          <w:rStyle w:val="Odkazjemn"/>
          <w:b w:val="0"/>
        </w:rPr>
        <w:t>:</w:t>
      </w:r>
      <w:proofErr w:type="spellStart"/>
      <w:r>
        <w:rPr>
          <w:rStyle w:val="Odkazjemn"/>
          <w:b w:val="0"/>
        </w:rPr>
        <w:t>PDF</w:t>
      </w:r>
      <w:proofErr w:type="spellEnd"/>
      <w:r>
        <w:rPr>
          <w:rStyle w:val="Odkazjemn"/>
          <w:b w:val="0"/>
        </w:rPr>
        <w:t>&gt;</w:t>
      </w:r>
    </w:p>
  </w:footnote>
  <w:footnote w:id="47">
    <w:p w:rsidR="00FD7B45" w:rsidRPr="00E95497" w:rsidRDefault="00FD7B45" w:rsidP="00A80382">
      <w:pPr>
        <w:pStyle w:val="externalclass9015b86d913f4aeeb124c00a12335c81"/>
        <w:numPr>
          <w:ilvl w:val="0"/>
          <w:numId w:val="0"/>
        </w:numPr>
        <w:spacing w:before="0" w:beforeAutospacing="0" w:after="0" w:afterAutospacing="0"/>
        <w:ind w:left="453" w:hanging="453"/>
        <w:rPr>
          <w:rStyle w:val="Odkazjemn"/>
        </w:rPr>
      </w:pPr>
      <w:r w:rsidRPr="00E95497">
        <w:rPr>
          <w:rStyle w:val="Odkazjemn"/>
        </w:rPr>
        <w:footnoteRef/>
      </w:r>
      <w:r w:rsidRPr="00E95497">
        <w:rPr>
          <w:rStyle w:val="Odkazjemn"/>
        </w:rPr>
        <w:t xml:space="preserve"> </w:t>
      </w:r>
      <w:proofErr w:type="spellStart"/>
      <w:r w:rsidRPr="00E95497">
        <w:rPr>
          <w:rStyle w:val="Odkazjemn"/>
        </w:rPr>
        <w:t>TUČNÍK</w:t>
      </w:r>
      <w:proofErr w:type="spellEnd"/>
      <w:r w:rsidRPr="00E95497">
        <w:rPr>
          <w:rStyle w:val="Odkazjemn"/>
        </w:rPr>
        <w:t xml:space="preserve">, M. </w:t>
      </w:r>
      <w:proofErr w:type="spellStart"/>
      <w:r w:rsidRPr="00E95497">
        <w:rPr>
          <w:rStyle w:val="Odkazjemn"/>
        </w:rPr>
        <w:t>Implementácia</w:t>
      </w:r>
      <w:proofErr w:type="spellEnd"/>
      <w:r w:rsidRPr="00E95497">
        <w:rPr>
          <w:rStyle w:val="Odkazjemn"/>
        </w:rPr>
        <w:t xml:space="preserve">  eura v nových členských krajinách EU.: </w:t>
      </w:r>
      <w:proofErr w:type="spellStart"/>
      <w:r w:rsidRPr="00E95497">
        <w:rPr>
          <w:rStyle w:val="Odkazjemn"/>
        </w:rPr>
        <w:t>Vyd</w:t>
      </w:r>
      <w:proofErr w:type="spellEnd"/>
      <w:r w:rsidRPr="00E95497">
        <w:rPr>
          <w:rStyle w:val="Odkazjemn"/>
        </w:rPr>
        <w:t xml:space="preserve">. 1. Bratislava: </w:t>
      </w:r>
      <w:proofErr w:type="spellStart"/>
      <w:r w:rsidRPr="00E95497">
        <w:rPr>
          <w:rStyle w:val="Odkazjemn"/>
        </w:rPr>
        <w:t>Ekonóm</w:t>
      </w:r>
      <w:proofErr w:type="spellEnd"/>
      <w:r w:rsidRPr="00E95497">
        <w:rPr>
          <w:rStyle w:val="Odkazjemn"/>
        </w:rPr>
        <w:t xml:space="preserve">, 2007. 158 s. </w:t>
      </w:r>
      <w:proofErr w:type="spellStart"/>
      <w:r w:rsidRPr="00E95497">
        <w:rPr>
          <w:rStyle w:val="Odkazjemn"/>
        </w:rPr>
        <w:t>ISBN</w:t>
      </w:r>
      <w:proofErr w:type="spellEnd"/>
      <w:r w:rsidRPr="00E95497">
        <w:rPr>
          <w:rStyle w:val="Odkazjemn"/>
        </w:rPr>
        <w:t xml:space="preserve"> </w:t>
      </w:r>
      <w:proofErr w:type="gramStart"/>
      <w:r w:rsidRPr="00E95497">
        <w:rPr>
          <w:rStyle w:val="Odkazjemn"/>
        </w:rPr>
        <w:t>978-80</w:t>
      </w:r>
      <w:proofErr w:type="gramEnd"/>
      <w:r w:rsidRPr="00E95497">
        <w:rPr>
          <w:rStyle w:val="Odkazjemn"/>
        </w:rPr>
        <w:t>-225-2438-4.</w:t>
      </w:r>
    </w:p>
    <w:p w:rsidR="00FD7B45" w:rsidRDefault="00FD7B45" w:rsidP="00A80382">
      <w:pPr>
        <w:pStyle w:val="externalclass9015b86d913f4aeeb124c00a12335c81"/>
        <w:numPr>
          <w:ilvl w:val="0"/>
          <w:numId w:val="0"/>
        </w:numPr>
        <w:spacing w:before="0" w:beforeAutospacing="0" w:after="0" w:afterAutospacing="0"/>
        <w:ind w:left="453" w:hanging="453"/>
      </w:pPr>
    </w:p>
  </w:footnote>
  <w:footnote w:id="48">
    <w:p w:rsidR="00FD7B45" w:rsidRDefault="00FD7B45" w:rsidP="00A80382">
      <w:pPr>
        <w:pStyle w:val="Textpoznpodarou"/>
      </w:pPr>
      <w:r w:rsidRPr="000740E7">
        <w:rPr>
          <w:rStyle w:val="Odkazjemn"/>
        </w:rPr>
        <w:footnoteRef/>
      </w:r>
      <w:r w:rsidRPr="000740E7">
        <w:rPr>
          <w:rStyle w:val="Odkazjemn"/>
        </w:rPr>
        <w:t xml:space="preserve"> </w:t>
      </w:r>
      <w:proofErr w:type="spellStart"/>
      <w:r w:rsidRPr="000740E7">
        <w:rPr>
          <w:rStyle w:val="Odkazjemn"/>
        </w:rPr>
        <w:t>The</w:t>
      </w:r>
      <w:proofErr w:type="spellEnd"/>
      <w:r w:rsidRPr="000740E7">
        <w:rPr>
          <w:rStyle w:val="Odkazjemn"/>
        </w:rPr>
        <w:t xml:space="preserve"> </w:t>
      </w:r>
      <w:proofErr w:type="spellStart"/>
      <w:r w:rsidRPr="000740E7">
        <w:rPr>
          <w:rStyle w:val="Odkazjemn"/>
        </w:rPr>
        <w:t>European</w:t>
      </w:r>
      <w:proofErr w:type="spellEnd"/>
      <w:r w:rsidRPr="000740E7">
        <w:rPr>
          <w:rStyle w:val="Odkazjemn"/>
        </w:rPr>
        <w:t xml:space="preserve"> </w:t>
      </w:r>
      <w:proofErr w:type="spellStart"/>
      <w:r w:rsidRPr="000740E7">
        <w:rPr>
          <w:rStyle w:val="Odkazjemn"/>
        </w:rPr>
        <w:t>Parliament</w:t>
      </w:r>
      <w:proofErr w:type="spellEnd"/>
      <w:r w:rsidRPr="000740E7">
        <w:rPr>
          <w:rStyle w:val="Odkazjemn"/>
        </w:rPr>
        <w:t xml:space="preserve">, </w:t>
      </w:r>
      <w:proofErr w:type="spellStart"/>
      <w:r w:rsidRPr="000740E7">
        <w:rPr>
          <w:rStyle w:val="Odkazjemn"/>
        </w:rPr>
        <w:t>the</w:t>
      </w:r>
      <w:proofErr w:type="spellEnd"/>
      <w:r w:rsidRPr="000740E7">
        <w:rPr>
          <w:rStyle w:val="Odkazjemn"/>
        </w:rPr>
        <w:t xml:space="preserve"> </w:t>
      </w:r>
      <w:proofErr w:type="spellStart"/>
      <w:r w:rsidRPr="000740E7">
        <w:rPr>
          <w:rStyle w:val="Odkazjemn"/>
        </w:rPr>
        <w:t>European</w:t>
      </w:r>
      <w:proofErr w:type="spellEnd"/>
      <w:r w:rsidRPr="000740E7">
        <w:rPr>
          <w:rStyle w:val="Odkazjemn"/>
        </w:rPr>
        <w:t xml:space="preserve"> </w:t>
      </w:r>
      <w:proofErr w:type="spellStart"/>
      <w:r w:rsidRPr="000740E7">
        <w:rPr>
          <w:rStyle w:val="Odkazjemn"/>
        </w:rPr>
        <w:t>Economic</w:t>
      </w:r>
      <w:proofErr w:type="spellEnd"/>
      <w:r w:rsidRPr="000740E7">
        <w:rPr>
          <w:rStyle w:val="Odkazjemn"/>
        </w:rPr>
        <w:t xml:space="preserve"> </w:t>
      </w:r>
      <w:proofErr w:type="spellStart"/>
      <w:r w:rsidRPr="000740E7">
        <w:rPr>
          <w:rStyle w:val="Odkazjemn"/>
        </w:rPr>
        <w:t>and</w:t>
      </w:r>
      <w:proofErr w:type="spellEnd"/>
      <w:r w:rsidRPr="000740E7">
        <w:rPr>
          <w:rStyle w:val="Odkazjemn"/>
        </w:rPr>
        <w:t xml:space="preserve"> </w:t>
      </w:r>
      <w:proofErr w:type="spellStart"/>
      <w:r w:rsidRPr="000740E7">
        <w:rPr>
          <w:rStyle w:val="Odkazjemn"/>
        </w:rPr>
        <w:t>Social</w:t>
      </w:r>
      <w:proofErr w:type="spellEnd"/>
      <w:r w:rsidRPr="000740E7">
        <w:rPr>
          <w:rStyle w:val="Odkazjemn"/>
        </w:rPr>
        <w:t xml:space="preserve"> </w:t>
      </w:r>
      <w:proofErr w:type="spellStart"/>
      <w:r w:rsidRPr="000740E7">
        <w:rPr>
          <w:rStyle w:val="Odkazjemn"/>
        </w:rPr>
        <w:t>Committee</w:t>
      </w:r>
      <w:proofErr w:type="spellEnd"/>
      <w:r w:rsidRPr="000740E7">
        <w:rPr>
          <w:rStyle w:val="Odkazjemn"/>
        </w:rPr>
        <w:t xml:space="preserve">, </w:t>
      </w:r>
      <w:proofErr w:type="spellStart"/>
      <w:r w:rsidRPr="000740E7">
        <w:rPr>
          <w:rStyle w:val="Odkazjemn"/>
        </w:rPr>
        <w:t>the</w:t>
      </w:r>
      <w:proofErr w:type="spellEnd"/>
      <w:r w:rsidRPr="000740E7">
        <w:rPr>
          <w:rStyle w:val="Odkazjemn"/>
        </w:rPr>
        <w:t xml:space="preserve"> </w:t>
      </w:r>
      <w:proofErr w:type="spellStart"/>
      <w:r w:rsidRPr="000740E7">
        <w:rPr>
          <w:rStyle w:val="Odkazjemn"/>
        </w:rPr>
        <w:t>Committee</w:t>
      </w:r>
      <w:proofErr w:type="spellEnd"/>
      <w:r w:rsidRPr="000740E7">
        <w:rPr>
          <w:rStyle w:val="Odkazjemn"/>
        </w:rPr>
        <w:t xml:space="preserve"> </w:t>
      </w:r>
      <w:proofErr w:type="spellStart"/>
      <w:r w:rsidRPr="000740E7">
        <w:rPr>
          <w:rStyle w:val="Odkazjemn"/>
        </w:rPr>
        <w:t>of</w:t>
      </w:r>
      <w:proofErr w:type="spellEnd"/>
      <w:r w:rsidRPr="000740E7">
        <w:rPr>
          <w:rStyle w:val="Odkazjemn"/>
        </w:rPr>
        <w:t xml:space="preserve"> </w:t>
      </w:r>
      <w:proofErr w:type="spellStart"/>
      <w:r w:rsidRPr="000740E7">
        <w:rPr>
          <w:rStyle w:val="Odkazjemn"/>
        </w:rPr>
        <w:t>the</w:t>
      </w:r>
      <w:proofErr w:type="spellEnd"/>
      <w:r w:rsidRPr="000740E7">
        <w:rPr>
          <w:rStyle w:val="Odkazjemn"/>
        </w:rPr>
        <w:t xml:space="preserve"> </w:t>
      </w:r>
      <w:proofErr w:type="spellStart"/>
      <w:r w:rsidRPr="000740E7">
        <w:rPr>
          <w:rStyle w:val="Odkazjemn"/>
        </w:rPr>
        <w:t>Regions</w:t>
      </w:r>
      <w:proofErr w:type="spellEnd"/>
      <w:r w:rsidRPr="000740E7">
        <w:rPr>
          <w:rStyle w:val="Odkazjemn"/>
        </w:rPr>
        <w:t xml:space="preserve"> </w:t>
      </w:r>
      <w:proofErr w:type="spellStart"/>
      <w:r w:rsidRPr="000740E7">
        <w:rPr>
          <w:rStyle w:val="Odkazjemn"/>
        </w:rPr>
        <w:t>and</w:t>
      </w:r>
      <w:proofErr w:type="spellEnd"/>
      <w:r w:rsidRPr="000740E7">
        <w:rPr>
          <w:rStyle w:val="Odkazjemn"/>
        </w:rPr>
        <w:t xml:space="preserve"> </w:t>
      </w:r>
      <w:proofErr w:type="spellStart"/>
      <w:r w:rsidRPr="000740E7">
        <w:rPr>
          <w:rStyle w:val="Odkazjemn"/>
        </w:rPr>
        <w:t>the</w:t>
      </w:r>
      <w:proofErr w:type="spellEnd"/>
      <w:r w:rsidRPr="000740E7">
        <w:rPr>
          <w:rStyle w:val="Odkazjemn"/>
        </w:rPr>
        <w:t xml:space="preserve"> </w:t>
      </w:r>
      <w:proofErr w:type="spellStart"/>
      <w:r w:rsidRPr="000740E7">
        <w:rPr>
          <w:rStyle w:val="Odkazjemn"/>
        </w:rPr>
        <w:t>European</w:t>
      </w:r>
      <w:proofErr w:type="spellEnd"/>
      <w:r w:rsidRPr="000740E7">
        <w:rPr>
          <w:rStyle w:val="Odkazjemn"/>
        </w:rPr>
        <w:t xml:space="preserve"> </w:t>
      </w:r>
      <w:proofErr w:type="spellStart"/>
      <w:r w:rsidRPr="000740E7">
        <w:rPr>
          <w:rStyle w:val="Odkazjemn"/>
        </w:rPr>
        <w:t>Central</w:t>
      </w:r>
      <w:proofErr w:type="spellEnd"/>
      <w:r w:rsidRPr="000740E7">
        <w:rPr>
          <w:rStyle w:val="Odkazjemn"/>
        </w:rPr>
        <w:t xml:space="preserve"> </w:t>
      </w:r>
      <w:proofErr w:type="gramStart"/>
      <w:r w:rsidRPr="000740E7">
        <w:rPr>
          <w:rStyle w:val="Odkazjemn"/>
        </w:rPr>
        <w:t>Bank - [online</w:t>
      </w:r>
      <w:proofErr w:type="gramEnd"/>
      <w:r w:rsidRPr="000740E7">
        <w:rPr>
          <w:rStyle w:val="Odkazjemn"/>
        </w:rPr>
        <w:t xml:space="preserve">], </w:t>
      </w:r>
      <w:proofErr w:type="spellStart"/>
      <w:r w:rsidRPr="000740E7">
        <w:rPr>
          <w:rStyle w:val="Odkazjemn"/>
        </w:rPr>
        <w:t>The</w:t>
      </w:r>
      <w:proofErr w:type="spellEnd"/>
      <w:r w:rsidRPr="000740E7">
        <w:rPr>
          <w:rStyle w:val="Odkazjemn"/>
        </w:rPr>
        <w:t xml:space="preserve"> </w:t>
      </w:r>
      <w:proofErr w:type="spellStart"/>
      <w:r w:rsidRPr="000740E7">
        <w:rPr>
          <w:rStyle w:val="Odkazjemn"/>
        </w:rPr>
        <w:t>introduction</w:t>
      </w:r>
      <w:proofErr w:type="spellEnd"/>
      <w:r w:rsidRPr="000740E7">
        <w:rPr>
          <w:rStyle w:val="Odkazjemn"/>
        </w:rPr>
        <w:t xml:space="preserve"> </w:t>
      </w:r>
      <w:proofErr w:type="spellStart"/>
      <w:r w:rsidRPr="000740E7">
        <w:rPr>
          <w:rStyle w:val="Odkazjemn"/>
        </w:rPr>
        <w:t>of</w:t>
      </w:r>
      <w:proofErr w:type="spellEnd"/>
      <w:r w:rsidRPr="000740E7">
        <w:rPr>
          <w:rStyle w:val="Odkazjemn"/>
        </w:rPr>
        <w:t xml:space="preserve"> </w:t>
      </w:r>
      <w:proofErr w:type="spellStart"/>
      <w:r w:rsidRPr="000740E7">
        <w:rPr>
          <w:rStyle w:val="Odkazjemn"/>
        </w:rPr>
        <w:t>the</w:t>
      </w:r>
      <w:proofErr w:type="spellEnd"/>
      <w:r w:rsidRPr="000740E7">
        <w:rPr>
          <w:rStyle w:val="Odkazjemn"/>
        </w:rPr>
        <w:t xml:space="preserve"> euro in </w:t>
      </w:r>
      <w:proofErr w:type="spellStart"/>
      <w:r w:rsidRPr="000740E7">
        <w:rPr>
          <w:rStyle w:val="Odkazjemn"/>
        </w:rPr>
        <w:t>Slovenia</w:t>
      </w:r>
      <w:proofErr w:type="spellEnd"/>
      <w:r w:rsidRPr="000740E7">
        <w:rPr>
          <w:rStyle w:val="Odkazjemn"/>
        </w:rPr>
        <w:t>,</w:t>
      </w:r>
      <w:r>
        <w:rPr>
          <w:rStyle w:val="Odkazjemn"/>
        </w:rPr>
        <w:t xml:space="preserve"> 2009,</w:t>
      </w:r>
      <w:r w:rsidRPr="000740E7">
        <w:rPr>
          <w:rStyle w:val="Odkazjemn"/>
        </w:rPr>
        <w:t xml:space="preserve"> </w:t>
      </w:r>
      <w:r>
        <w:rPr>
          <w:rStyle w:val="Odkazjemn"/>
        </w:rPr>
        <w:t>[cit.2009-11-30]. Dostupný z  &lt;</w:t>
      </w:r>
      <w:r w:rsidRPr="000740E7">
        <w:rPr>
          <w:rStyle w:val="Odkazjemn"/>
        </w:rPr>
        <w:t>http://</w:t>
      </w:r>
      <w:proofErr w:type="gramStart"/>
      <w:r w:rsidRPr="000740E7">
        <w:rPr>
          <w:rStyle w:val="Odkazjemn"/>
        </w:rPr>
        <w:t xml:space="preserve">eur- </w:t>
      </w:r>
      <w:proofErr w:type="spellStart"/>
      <w:r w:rsidRPr="000740E7">
        <w:rPr>
          <w:rStyle w:val="Odkazjemn"/>
        </w:rPr>
        <w:t>x.europa</w:t>
      </w:r>
      <w:proofErr w:type="gramEnd"/>
      <w:r w:rsidRPr="000740E7">
        <w:rPr>
          <w:rStyle w:val="Odkazjemn"/>
        </w:rPr>
        <w:t>.eu</w:t>
      </w:r>
      <w:proofErr w:type="spellEnd"/>
      <w:r w:rsidRPr="000740E7">
        <w:rPr>
          <w:rStyle w:val="Odkazjemn"/>
        </w:rPr>
        <w:t>/</w:t>
      </w:r>
      <w:proofErr w:type="spellStart"/>
      <w:r w:rsidRPr="000740E7">
        <w:rPr>
          <w:rStyle w:val="Odkazjemn"/>
        </w:rPr>
        <w:t>LexUriServ</w:t>
      </w:r>
      <w:proofErr w:type="spellEnd"/>
      <w:r w:rsidRPr="000740E7">
        <w:rPr>
          <w:rStyle w:val="Odkazjemn"/>
        </w:rPr>
        <w:t xml:space="preserve">/ </w:t>
      </w:r>
      <w:proofErr w:type="spellStart"/>
      <w:r w:rsidRPr="000740E7">
        <w:rPr>
          <w:rStyle w:val="Odkazjemn"/>
        </w:rPr>
        <w:t>LexUriServ.do</w:t>
      </w:r>
      <w:proofErr w:type="spellEnd"/>
      <w:r w:rsidRPr="000740E7">
        <w:rPr>
          <w:rStyle w:val="Odkazjemn"/>
        </w:rPr>
        <w:t>?</w:t>
      </w:r>
      <w:proofErr w:type="spellStart"/>
      <w:r w:rsidRPr="000740E7">
        <w:rPr>
          <w:rStyle w:val="Odkazjemn"/>
        </w:rPr>
        <w:t>uri</w:t>
      </w:r>
      <w:proofErr w:type="spellEnd"/>
      <w:r w:rsidRPr="000740E7">
        <w:rPr>
          <w:rStyle w:val="Odkazjemn"/>
        </w:rPr>
        <w:t xml:space="preserve"> =</w:t>
      </w:r>
      <w:proofErr w:type="spellStart"/>
      <w:r w:rsidRPr="000740E7">
        <w:rPr>
          <w:rStyle w:val="Odkazjemn"/>
        </w:rPr>
        <w:t>COM</w:t>
      </w:r>
      <w:proofErr w:type="spellEnd"/>
      <w:r w:rsidRPr="000740E7">
        <w:rPr>
          <w:rStyle w:val="Odkazjemn"/>
        </w:rPr>
        <w:t>:2007:0233:FIN:</w:t>
      </w:r>
      <w:proofErr w:type="spellStart"/>
      <w:r w:rsidRPr="000740E7">
        <w:rPr>
          <w:rStyle w:val="Odkazjemn"/>
        </w:rPr>
        <w:t>EN</w:t>
      </w:r>
      <w:proofErr w:type="spellEnd"/>
      <w:r w:rsidRPr="000740E7">
        <w:rPr>
          <w:rStyle w:val="Odkazjemn"/>
        </w:rPr>
        <w:t>:</w:t>
      </w:r>
      <w:proofErr w:type="spellStart"/>
      <w:r w:rsidRPr="000740E7">
        <w:rPr>
          <w:rStyle w:val="Odkazjemn"/>
        </w:rPr>
        <w:t>PDF</w:t>
      </w:r>
      <w:proofErr w:type="spellEnd"/>
      <w:r>
        <w:rPr>
          <w:rStyle w:val="Odkazjemn"/>
        </w:rPr>
        <w:t>&gt;</w:t>
      </w:r>
    </w:p>
  </w:footnote>
  <w:footnote w:id="49">
    <w:p w:rsidR="00FD7B45" w:rsidRDefault="00FD7B45" w:rsidP="00A80382">
      <w:pPr>
        <w:pStyle w:val="Prliminairetype"/>
        <w:spacing w:before="0"/>
        <w:jc w:val="both"/>
      </w:pPr>
      <w:r w:rsidRPr="000740E7">
        <w:rPr>
          <w:rStyle w:val="Odkazjemn"/>
          <w:b w:val="0"/>
        </w:rPr>
        <w:footnoteRef/>
      </w:r>
      <w:r w:rsidRPr="000740E7">
        <w:rPr>
          <w:rStyle w:val="Odkazjemn"/>
          <w:b w:val="0"/>
        </w:rPr>
        <w:t xml:space="preserve"> </w:t>
      </w:r>
      <w:r>
        <w:rPr>
          <w:rStyle w:val="Odkazjemn"/>
          <w:b w:val="0"/>
        </w:rPr>
        <w:t>Výše uvedeno</w:t>
      </w:r>
    </w:p>
  </w:footnote>
  <w:footnote w:id="50">
    <w:p w:rsidR="00FD7B45" w:rsidRDefault="00FD7B45" w:rsidP="00A80382">
      <w:pPr>
        <w:pStyle w:val="externalclass9015b86d913f4aeeb124c00a12335c81"/>
        <w:numPr>
          <w:ilvl w:val="0"/>
          <w:numId w:val="0"/>
        </w:numPr>
        <w:spacing w:before="0" w:beforeAutospacing="0" w:after="0" w:afterAutospacing="0"/>
        <w:ind w:left="453" w:hanging="453"/>
      </w:pPr>
      <w:r w:rsidRPr="00387396">
        <w:rPr>
          <w:rStyle w:val="Odkazjemn"/>
        </w:rPr>
        <w:footnoteRef/>
      </w:r>
      <w:r w:rsidRPr="00387396">
        <w:rPr>
          <w:rStyle w:val="Odkazjemn"/>
        </w:rPr>
        <w:t xml:space="preserve"> </w:t>
      </w:r>
      <w:proofErr w:type="spellStart"/>
      <w:r w:rsidRPr="00387396">
        <w:rPr>
          <w:rStyle w:val="Odkazjemn"/>
        </w:rPr>
        <w:t>TUČNÍK</w:t>
      </w:r>
      <w:proofErr w:type="spellEnd"/>
      <w:r w:rsidRPr="00387396">
        <w:rPr>
          <w:rStyle w:val="Odkazjemn"/>
        </w:rPr>
        <w:t xml:space="preserve">, M. </w:t>
      </w:r>
      <w:proofErr w:type="spellStart"/>
      <w:r w:rsidRPr="00387396">
        <w:rPr>
          <w:rStyle w:val="Odkazjemn"/>
        </w:rPr>
        <w:t>Implementácia</w:t>
      </w:r>
      <w:proofErr w:type="spellEnd"/>
      <w:r w:rsidRPr="00387396">
        <w:rPr>
          <w:rStyle w:val="Odkazjemn"/>
        </w:rPr>
        <w:t xml:space="preserve">  eura v nových členských krajinách EU.: </w:t>
      </w:r>
      <w:proofErr w:type="spellStart"/>
      <w:proofErr w:type="gramStart"/>
      <w:r w:rsidRPr="00387396">
        <w:rPr>
          <w:rStyle w:val="Odkazjemn"/>
        </w:rPr>
        <w:t>Vyd</w:t>
      </w:r>
      <w:proofErr w:type="spellEnd"/>
      <w:r w:rsidRPr="00387396">
        <w:rPr>
          <w:rStyle w:val="Odkazjemn"/>
        </w:rPr>
        <w:t xml:space="preserve">. </w:t>
      </w:r>
      <w:proofErr w:type="spellStart"/>
      <w:r w:rsidRPr="00387396">
        <w:rPr>
          <w:rStyle w:val="Odkazjemn"/>
        </w:rPr>
        <w:t>1.Bratislava</w:t>
      </w:r>
      <w:proofErr w:type="spellEnd"/>
      <w:proofErr w:type="gramEnd"/>
      <w:r w:rsidRPr="00387396">
        <w:rPr>
          <w:rStyle w:val="Odkazjemn"/>
        </w:rPr>
        <w:t xml:space="preserve">: </w:t>
      </w:r>
      <w:proofErr w:type="spellStart"/>
      <w:r w:rsidRPr="00387396">
        <w:rPr>
          <w:rStyle w:val="Odkazjemn"/>
        </w:rPr>
        <w:t>Ekonóm</w:t>
      </w:r>
      <w:proofErr w:type="spellEnd"/>
      <w:r w:rsidRPr="00387396">
        <w:rPr>
          <w:rStyle w:val="Odkazjemn"/>
        </w:rPr>
        <w:t xml:space="preserve">, 2007. 158 s. </w:t>
      </w:r>
      <w:proofErr w:type="spellStart"/>
      <w:r w:rsidRPr="00387396">
        <w:rPr>
          <w:rStyle w:val="Odkazjemn"/>
        </w:rPr>
        <w:t>ISBN</w:t>
      </w:r>
      <w:proofErr w:type="spellEnd"/>
      <w:r w:rsidRPr="00387396">
        <w:rPr>
          <w:rStyle w:val="Odkazjemn"/>
        </w:rPr>
        <w:t xml:space="preserve"> </w:t>
      </w:r>
      <w:proofErr w:type="gramStart"/>
      <w:r w:rsidRPr="00387396">
        <w:rPr>
          <w:rStyle w:val="Odkazjemn"/>
        </w:rPr>
        <w:t>978-80</w:t>
      </w:r>
      <w:proofErr w:type="gramEnd"/>
      <w:r w:rsidRPr="00387396">
        <w:rPr>
          <w:rStyle w:val="Odkazjemn"/>
        </w:rPr>
        <w:t>-225-2438-4.</w:t>
      </w:r>
    </w:p>
  </w:footnote>
  <w:footnote w:id="51">
    <w:p w:rsidR="00FD7B45" w:rsidRPr="00781761" w:rsidRDefault="00FD7B45" w:rsidP="00A80382">
      <w:pPr>
        <w:pStyle w:val="Prliminairetype"/>
        <w:spacing w:before="0"/>
        <w:jc w:val="both"/>
        <w:rPr>
          <w:rStyle w:val="Odkazjemn"/>
          <w:b w:val="0"/>
        </w:rPr>
      </w:pPr>
      <w:r w:rsidRPr="00781761">
        <w:rPr>
          <w:rStyle w:val="Odkazjemn"/>
          <w:b w:val="0"/>
        </w:rPr>
        <w:footnoteRef/>
      </w:r>
      <w:r>
        <w:rPr>
          <w:rStyle w:val="Odkazjemn"/>
          <w:b w:val="0"/>
        </w:rPr>
        <w:t xml:space="preserve"> </w:t>
      </w:r>
      <w:proofErr w:type="spellStart"/>
      <w:r>
        <w:rPr>
          <w:rStyle w:val="Odkazjemn"/>
          <w:b w:val="0"/>
        </w:rPr>
        <w:t>T</w:t>
      </w:r>
      <w:r w:rsidRPr="00781761">
        <w:rPr>
          <w:rStyle w:val="Odkazjemn"/>
          <w:b w:val="0"/>
        </w:rPr>
        <w:t>he</w:t>
      </w:r>
      <w:proofErr w:type="spellEnd"/>
      <w:r w:rsidRPr="00781761">
        <w:rPr>
          <w:rStyle w:val="Odkazjemn"/>
          <w:b w:val="0"/>
        </w:rPr>
        <w:t xml:space="preserve"> </w:t>
      </w:r>
      <w:proofErr w:type="spellStart"/>
      <w:r w:rsidRPr="00781761">
        <w:rPr>
          <w:rStyle w:val="Odkazjemn"/>
          <w:b w:val="0"/>
        </w:rPr>
        <w:t>European</w:t>
      </w:r>
      <w:proofErr w:type="spellEnd"/>
      <w:r w:rsidRPr="00781761">
        <w:rPr>
          <w:rStyle w:val="Odkazjemn"/>
          <w:b w:val="0"/>
        </w:rPr>
        <w:t xml:space="preserve"> </w:t>
      </w:r>
      <w:proofErr w:type="spellStart"/>
      <w:r w:rsidRPr="00781761">
        <w:rPr>
          <w:rStyle w:val="Odkazjemn"/>
          <w:b w:val="0"/>
        </w:rPr>
        <w:t>Parliament</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European</w:t>
      </w:r>
      <w:proofErr w:type="spellEnd"/>
      <w:r w:rsidRPr="00781761">
        <w:rPr>
          <w:rStyle w:val="Odkazjemn"/>
          <w:b w:val="0"/>
        </w:rPr>
        <w:t xml:space="preserve"> </w:t>
      </w:r>
      <w:proofErr w:type="spellStart"/>
      <w:r w:rsidRPr="00781761">
        <w:rPr>
          <w:rStyle w:val="Odkazjemn"/>
          <w:b w:val="0"/>
        </w:rPr>
        <w:t>Economic</w:t>
      </w:r>
      <w:proofErr w:type="spellEnd"/>
      <w:r w:rsidRPr="00781761">
        <w:rPr>
          <w:rStyle w:val="Odkazjemn"/>
          <w:b w:val="0"/>
        </w:rPr>
        <w:t xml:space="preserve"> </w:t>
      </w:r>
      <w:proofErr w:type="spellStart"/>
      <w:r w:rsidRPr="00781761">
        <w:rPr>
          <w:rStyle w:val="Odkazjemn"/>
          <w:b w:val="0"/>
        </w:rPr>
        <w:t>and</w:t>
      </w:r>
      <w:proofErr w:type="spellEnd"/>
      <w:r w:rsidRPr="00781761">
        <w:rPr>
          <w:rStyle w:val="Odkazjemn"/>
          <w:b w:val="0"/>
        </w:rPr>
        <w:t xml:space="preserve"> </w:t>
      </w:r>
      <w:proofErr w:type="spellStart"/>
      <w:r w:rsidRPr="00781761">
        <w:rPr>
          <w:rStyle w:val="Odkazjemn"/>
          <w:b w:val="0"/>
        </w:rPr>
        <w:t>Social</w:t>
      </w:r>
      <w:proofErr w:type="spellEnd"/>
      <w:r w:rsidRPr="00781761">
        <w:rPr>
          <w:rStyle w:val="Odkazjemn"/>
          <w:b w:val="0"/>
        </w:rPr>
        <w:t xml:space="preserve"> </w:t>
      </w:r>
      <w:proofErr w:type="spellStart"/>
      <w:r w:rsidRPr="00781761">
        <w:rPr>
          <w:rStyle w:val="Odkazjemn"/>
          <w:b w:val="0"/>
        </w:rPr>
        <w:t>Committee</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Committee</w:t>
      </w:r>
      <w:proofErr w:type="spellEnd"/>
      <w:r w:rsidRPr="00781761">
        <w:rPr>
          <w:rStyle w:val="Odkazjemn"/>
          <w:b w:val="0"/>
        </w:rPr>
        <w:t xml:space="preserve"> </w:t>
      </w:r>
      <w:proofErr w:type="spellStart"/>
      <w:r w:rsidRPr="00781761">
        <w:rPr>
          <w:rStyle w:val="Odkazjemn"/>
          <w:b w:val="0"/>
        </w:rPr>
        <w:t>of</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Regions</w:t>
      </w:r>
      <w:proofErr w:type="spellEnd"/>
      <w:r w:rsidRPr="00781761">
        <w:rPr>
          <w:rStyle w:val="Odkazjemn"/>
          <w:b w:val="0"/>
        </w:rPr>
        <w:t xml:space="preserve"> </w:t>
      </w:r>
      <w:proofErr w:type="spellStart"/>
      <w:r w:rsidRPr="00781761">
        <w:rPr>
          <w:rStyle w:val="Odkazjemn"/>
          <w:b w:val="0"/>
        </w:rPr>
        <w:t>and</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European</w:t>
      </w:r>
      <w:proofErr w:type="spellEnd"/>
      <w:r w:rsidRPr="00781761">
        <w:rPr>
          <w:rStyle w:val="Odkazjemn"/>
          <w:b w:val="0"/>
        </w:rPr>
        <w:t xml:space="preserve"> </w:t>
      </w:r>
      <w:proofErr w:type="spellStart"/>
      <w:r w:rsidRPr="00781761">
        <w:rPr>
          <w:rStyle w:val="Odkazjemn"/>
          <w:b w:val="0"/>
        </w:rPr>
        <w:t>Central</w:t>
      </w:r>
      <w:proofErr w:type="spellEnd"/>
      <w:r w:rsidRPr="00781761">
        <w:rPr>
          <w:rStyle w:val="Odkazjemn"/>
          <w:b w:val="0"/>
        </w:rPr>
        <w:t xml:space="preserve"> </w:t>
      </w:r>
      <w:proofErr w:type="gramStart"/>
      <w:r w:rsidRPr="00781761">
        <w:rPr>
          <w:rStyle w:val="Odkazjemn"/>
          <w:b w:val="0"/>
        </w:rPr>
        <w:t>Bank - [online</w:t>
      </w:r>
      <w:proofErr w:type="gram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w:t>
      </w:r>
      <w:proofErr w:type="spellStart"/>
      <w:r w:rsidRPr="00781761">
        <w:rPr>
          <w:rStyle w:val="Odkazjemn"/>
          <w:b w:val="0"/>
        </w:rPr>
        <w:t>introduction</w:t>
      </w:r>
      <w:proofErr w:type="spellEnd"/>
      <w:r w:rsidRPr="00781761">
        <w:rPr>
          <w:rStyle w:val="Odkazjemn"/>
          <w:b w:val="0"/>
        </w:rPr>
        <w:t xml:space="preserve"> </w:t>
      </w:r>
      <w:proofErr w:type="spellStart"/>
      <w:r w:rsidRPr="00781761">
        <w:rPr>
          <w:rStyle w:val="Odkazjemn"/>
          <w:b w:val="0"/>
        </w:rPr>
        <w:t>of</w:t>
      </w:r>
      <w:proofErr w:type="spellEnd"/>
      <w:r w:rsidRPr="00781761">
        <w:rPr>
          <w:rStyle w:val="Odkazjemn"/>
          <w:b w:val="0"/>
        </w:rPr>
        <w:t xml:space="preserve"> </w:t>
      </w:r>
      <w:proofErr w:type="spellStart"/>
      <w:r w:rsidRPr="00781761">
        <w:rPr>
          <w:rStyle w:val="Odkazjemn"/>
          <w:b w:val="0"/>
        </w:rPr>
        <w:t>the</w:t>
      </w:r>
      <w:proofErr w:type="spellEnd"/>
      <w:r w:rsidRPr="00781761">
        <w:rPr>
          <w:rStyle w:val="Odkazjemn"/>
          <w:b w:val="0"/>
        </w:rPr>
        <w:t xml:space="preserve"> euro in </w:t>
      </w:r>
      <w:proofErr w:type="spellStart"/>
      <w:r w:rsidRPr="00781761">
        <w:rPr>
          <w:rStyle w:val="Odkazjemn"/>
          <w:b w:val="0"/>
        </w:rPr>
        <w:t>Slovenia</w:t>
      </w:r>
      <w:proofErr w:type="spellEnd"/>
      <w:r w:rsidRPr="00781761">
        <w:rPr>
          <w:rStyle w:val="Odkazjemn"/>
          <w:b w:val="0"/>
        </w:rPr>
        <w:t xml:space="preserve">, </w:t>
      </w:r>
      <w:r>
        <w:rPr>
          <w:rStyle w:val="Odkazjemn"/>
          <w:b w:val="0"/>
        </w:rPr>
        <w:t>2009, [cit.2009-11-30]. Dostupný z  &lt;</w:t>
      </w:r>
      <w:r w:rsidRPr="00781761">
        <w:rPr>
          <w:rStyle w:val="Odkazjemn"/>
          <w:b w:val="0"/>
        </w:rPr>
        <w:t>http://</w:t>
      </w:r>
      <w:proofErr w:type="gramStart"/>
      <w:r w:rsidRPr="00781761">
        <w:rPr>
          <w:rStyle w:val="Odkazjemn"/>
          <w:b w:val="0"/>
        </w:rPr>
        <w:t xml:space="preserve">eur- </w:t>
      </w:r>
      <w:proofErr w:type="spellStart"/>
      <w:r w:rsidRPr="00781761">
        <w:rPr>
          <w:rStyle w:val="Odkazjemn"/>
          <w:b w:val="0"/>
        </w:rPr>
        <w:t>x.europa</w:t>
      </w:r>
      <w:proofErr w:type="gramEnd"/>
      <w:r w:rsidRPr="00781761">
        <w:rPr>
          <w:rStyle w:val="Odkazjemn"/>
          <w:b w:val="0"/>
        </w:rPr>
        <w:t>.eu</w:t>
      </w:r>
      <w:proofErr w:type="spellEnd"/>
      <w:r w:rsidRPr="00781761">
        <w:rPr>
          <w:rStyle w:val="Odkazjemn"/>
          <w:b w:val="0"/>
        </w:rPr>
        <w:t>/</w:t>
      </w:r>
      <w:proofErr w:type="spellStart"/>
      <w:r w:rsidRPr="00781761">
        <w:rPr>
          <w:rStyle w:val="Odkazjemn"/>
          <w:b w:val="0"/>
        </w:rPr>
        <w:t>LexUriServ</w:t>
      </w:r>
      <w:proofErr w:type="spellEnd"/>
      <w:r w:rsidRPr="00781761">
        <w:rPr>
          <w:rStyle w:val="Odkazjemn"/>
          <w:b w:val="0"/>
        </w:rPr>
        <w:t xml:space="preserve">/ </w:t>
      </w:r>
      <w:proofErr w:type="spellStart"/>
      <w:r w:rsidRPr="00781761">
        <w:rPr>
          <w:rStyle w:val="Odkazjemn"/>
          <w:b w:val="0"/>
        </w:rPr>
        <w:t>LexUriServ.do</w:t>
      </w:r>
      <w:proofErr w:type="spellEnd"/>
      <w:r w:rsidRPr="00781761">
        <w:rPr>
          <w:rStyle w:val="Odkazjemn"/>
          <w:b w:val="0"/>
        </w:rPr>
        <w:t>?</w:t>
      </w:r>
      <w:proofErr w:type="spellStart"/>
      <w:r w:rsidRPr="00781761">
        <w:rPr>
          <w:rStyle w:val="Odkazjemn"/>
          <w:b w:val="0"/>
        </w:rPr>
        <w:t>uri</w:t>
      </w:r>
      <w:proofErr w:type="spellEnd"/>
      <w:r w:rsidRPr="00781761">
        <w:rPr>
          <w:rStyle w:val="Odkazjemn"/>
          <w:b w:val="0"/>
        </w:rPr>
        <w:t xml:space="preserve"> =</w:t>
      </w:r>
      <w:proofErr w:type="spellStart"/>
      <w:r w:rsidRPr="00781761">
        <w:rPr>
          <w:rStyle w:val="Odkazjemn"/>
          <w:b w:val="0"/>
        </w:rPr>
        <w:t>COM</w:t>
      </w:r>
      <w:proofErr w:type="spellEnd"/>
      <w:r w:rsidRPr="00781761">
        <w:rPr>
          <w:rStyle w:val="Odkazjemn"/>
          <w:b w:val="0"/>
        </w:rPr>
        <w:t>:2007:0233:FIN:</w:t>
      </w:r>
      <w:proofErr w:type="spellStart"/>
      <w:r w:rsidRPr="00781761">
        <w:rPr>
          <w:rStyle w:val="Odkazjemn"/>
          <w:b w:val="0"/>
        </w:rPr>
        <w:t>EN</w:t>
      </w:r>
      <w:proofErr w:type="spellEnd"/>
      <w:r w:rsidRPr="00781761">
        <w:rPr>
          <w:rStyle w:val="Odkazjemn"/>
          <w:b w:val="0"/>
        </w:rPr>
        <w:t>:</w:t>
      </w:r>
      <w:proofErr w:type="spellStart"/>
      <w:r w:rsidRPr="00781761">
        <w:rPr>
          <w:rStyle w:val="Odkazjemn"/>
          <w:b w:val="0"/>
        </w:rPr>
        <w:t>PDF</w:t>
      </w:r>
      <w:proofErr w:type="spellEnd"/>
      <w:r>
        <w:rPr>
          <w:rStyle w:val="Odkazjemn"/>
          <w:b w:val="0"/>
        </w:rPr>
        <w:t>&gt;</w:t>
      </w:r>
    </w:p>
    <w:p w:rsidR="00FD7B45" w:rsidRDefault="00FD7B45" w:rsidP="00A80382">
      <w:pPr>
        <w:pStyle w:val="Prliminairetype"/>
        <w:spacing w:before="0"/>
        <w:jc w:val="both"/>
      </w:pPr>
    </w:p>
  </w:footnote>
  <w:footnote w:id="52">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Parliament</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Economic</w:t>
      </w:r>
      <w:proofErr w:type="spellEnd"/>
      <w:r w:rsidRPr="009047B5">
        <w:rPr>
          <w:rStyle w:val="Odkazjemn"/>
        </w:rPr>
        <w:t xml:space="preserve"> </w:t>
      </w:r>
      <w:proofErr w:type="spellStart"/>
      <w:r w:rsidRPr="009047B5">
        <w:rPr>
          <w:rStyle w:val="Odkazjemn"/>
        </w:rPr>
        <w:t>and</w:t>
      </w:r>
      <w:proofErr w:type="spellEnd"/>
      <w:r w:rsidRPr="009047B5">
        <w:rPr>
          <w:rStyle w:val="Odkazjemn"/>
        </w:rPr>
        <w:t xml:space="preserve"> </w:t>
      </w:r>
      <w:proofErr w:type="spellStart"/>
      <w:r w:rsidRPr="009047B5">
        <w:rPr>
          <w:rStyle w:val="Odkazjemn"/>
        </w:rPr>
        <w:t>Social</w:t>
      </w:r>
      <w:proofErr w:type="spellEnd"/>
      <w:r w:rsidRPr="009047B5">
        <w:rPr>
          <w:rStyle w:val="Odkazjemn"/>
        </w:rPr>
        <w:t xml:space="preserve"> </w:t>
      </w:r>
      <w:proofErr w:type="spellStart"/>
      <w:r w:rsidRPr="009047B5">
        <w:rPr>
          <w:rStyle w:val="Odkazjemn"/>
        </w:rPr>
        <w:t>Committee</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Committee</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Regions</w:t>
      </w:r>
      <w:proofErr w:type="spellEnd"/>
      <w:r w:rsidRPr="009047B5">
        <w:rPr>
          <w:rStyle w:val="Odkazjemn"/>
        </w:rPr>
        <w:t xml:space="preserve"> </w:t>
      </w:r>
      <w:proofErr w:type="spellStart"/>
      <w:r w:rsidRPr="009047B5">
        <w:rPr>
          <w:rStyle w:val="Odkazjemn"/>
        </w:rPr>
        <w:t>and</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Central</w:t>
      </w:r>
      <w:proofErr w:type="spellEnd"/>
      <w:r w:rsidRPr="009047B5">
        <w:rPr>
          <w:rStyle w:val="Odkazjemn"/>
        </w:rPr>
        <w:t xml:space="preserve"> </w:t>
      </w:r>
      <w:proofErr w:type="gramStart"/>
      <w:r w:rsidRPr="009047B5">
        <w:rPr>
          <w:rStyle w:val="Odkazjemn"/>
        </w:rPr>
        <w:t>Bank - [online</w:t>
      </w:r>
      <w:proofErr w:type="gram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w:t>
      </w:r>
      <w:r>
        <w:rPr>
          <w:rStyle w:val="Odkazjemn"/>
        </w:rPr>
        <w:t>[cit.2009-11-30]. Dostupný z  &lt;</w:t>
      </w:r>
      <w:r w:rsidRPr="009047B5">
        <w:rPr>
          <w:rStyle w:val="Odkazjemn"/>
        </w:rPr>
        <w:t>http://</w:t>
      </w:r>
      <w:proofErr w:type="gramStart"/>
      <w:r w:rsidRPr="009047B5">
        <w:rPr>
          <w:rStyle w:val="Odkazjemn"/>
        </w:rPr>
        <w:t xml:space="preserve">eur- </w:t>
      </w:r>
      <w:proofErr w:type="spellStart"/>
      <w:r w:rsidRPr="009047B5">
        <w:rPr>
          <w:rStyle w:val="Odkazjemn"/>
        </w:rPr>
        <w:t>x.europa</w:t>
      </w:r>
      <w:proofErr w:type="gramEnd"/>
      <w:r w:rsidRPr="009047B5">
        <w:rPr>
          <w:rStyle w:val="Odkazjemn"/>
        </w:rPr>
        <w:t>.eu</w:t>
      </w:r>
      <w:proofErr w:type="spellEnd"/>
      <w:r w:rsidRPr="009047B5">
        <w:rPr>
          <w:rStyle w:val="Odkazjemn"/>
        </w:rPr>
        <w:t>/</w:t>
      </w:r>
      <w:proofErr w:type="spellStart"/>
      <w:r w:rsidRPr="009047B5">
        <w:rPr>
          <w:rStyle w:val="Odkazjemn"/>
        </w:rPr>
        <w:t>LexUriServ</w:t>
      </w:r>
      <w:proofErr w:type="spellEnd"/>
      <w:r w:rsidRPr="009047B5">
        <w:rPr>
          <w:rStyle w:val="Odkazjemn"/>
        </w:rPr>
        <w:t xml:space="preserve">/ </w:t>
      </w:r>
      <w:proofErr w:type="spellStart"/>
      <w:r w:rsidRPr="009047B5">
        <w:rPr>
          <w:rStyle w:val="Odkazjemn"/>
        </w:rPr>
        <w:t>LexUriServ.do</w:t>
      </w:r>
      <w:proofErr w:type="spellEnd"/>
      <w:r w:rsidRPr="009047B5">
        <w:rPr>
          <w:rStyle w:val="Odkazjemn"/>
        </w:rPr>
        <w:t>?</w:t>
      </w:r>
      <w:proofErr w:type="spellStart"/>
      <w:r w:rsidRPr="009047B5">
        <w:rPr>
          <w:rStyle w:val="Odkazjemn"/>
        </w:rPr>
        <w:t>uri</w:t>
      </w:r>
      <w:proofErr w:type="spellEnd"/>
      <w:r w:rsidRPr="009047B5">
        <w:rPr>
          <w:rStyle w:val="Odkazjemn"/>
        </w:rPr>
        <w:t xml:space="preserve"> =</w:t>
      </w:r>
      <w:proofErr w:type="spellStart"/>
      <w:r w:rsidRPr="009047B5">
        <w:rPr>
          <w:rStyle w:val="Odkazjemn"/>
        </w:rPr>
        <w:t>COM</w:t>
      </w:r>
      <w:proofErr w:type="spellEnd"/>
      <w:r w:rsidRPr="009047B5">
        <w:rPr>
          <w:rStyle w:val="Odkazjemn"/>
        </w:rPr>
        <w:t>:2007:0233:FIN:</w:t>
      </w:r>
      <w:proofErr w:type="spellStart"/>
      <w:r w:rsidRPr="009047B5">
        <w:rPr>
          <w:rStyle w:val="Odkazjemn"/>
        </w:rPr>
        <w:t>EN</w:t>
      </w:r>
      <w:proofErr w:type="spellEnd"/>
      <w:r w:rsidRPr="009047B5">
        <w:rPr>
          <w:rStyle w:val="Odkazjemn"/>
        </w:rPr>
        <w:t>:</w:t>
      </w:r>
      <w:proofErr w:type="spellStart"/>
      <w:r w:rsidRPr="009047B5">
        <w:rPr>
          <w:rStyle w:val="Odkazjemn"/>
        </w:rPr>
        <w:t>PDF</w:t>
      </w:r>
      <w:proofErr w:type="spellEnd"/>
      <w:r>
        <w:rPr>
          <w:rStyle w:val="Odkazjemn"/>
        </w:rPr>
        <w:t>&gt;</w:t>
      </w:r>
    </w:p>
  </w:footnote>
  <w:footnote w:id="53">
    <w:p w:rsidR="00FD7B45" w:rsidRPr="009047B5" w:rsidRDefault="00FD7B45" w:rsidP="00A80382">
      <w:pPr>
        <w:pStyle w:val="Textpoznpodarou"/>
        <w:rPr>
          <w:rStyle w:val="Odkazjemn"/>
        </w:rPr>
      </w:pPr>
      <w:r w:rsidRPr="009047B5">
        <w:rPr>
          <w:rStyle w:val="Odkazjemn"/>
        </w:rPr>
        <w:footnoteRef/>
      </w:r>
      <w:r w:rsidRPr="009047B5">
        <w:rPr>
          <w:rStyle w:val="Odkazjemn"/>
        </w:rPr>
        <w:t xml:space="preserve">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Central</w:t>
      </w:r>
      <w:proofErr w:type="spellEnd"/>
      <w:r w:rsidRPr="009047B5">
        <w:rPr>
          <w:rStyle w:val="Odkazjemn"/>
        </w:rPr>
        <w:t xml:space="preserve"> Bank.: </w:t>
      </w:r>
      <w:proofErr w:type="spellStart"/>
      <w:r w:rsidRPr="009047B5">
        <w:rPr>
          <w:rStyle w:val="Odkazjemn"/>
        </w:rPr>
        <w:t>Flash</w:t>
      </w:r>
      <w:proofErr w:type="spellEnd"/>
      <w:r w:rsidRPr="009047B5">
        <w:rPr>
          <w:rStyle w:val="Odkazjemn"/>
        </w:rPr>
        <w:t xml:space="preserve"> Barometr 201. [on-line</w:t>
      </w:r>
      <w:r w:rsidRPr="009047B5">
        <w:rPr>
          <w:rStyle w:val="Odkazjemn"/>
          <w:szCs w:val="18"/>
        </w:rPr>
        <w:sym w:font="Symbol" w:char="F05D"/>
      </w:r>
      <w:r w:rsidRPr="009047B5">
        <w:rPr>
          <w:rStyle w:val="Odkazjemn"/>
        </w:rPr>
        <w:t xml:space="preserve">. [cit. </w:t>
      </w:r>
      <w:proofErr w:type="gramStart"/>
      <w:r w:rsidRPr="009047B5">
        <w:rPr>
          <w:rStyle w:val="Odkazjemn"/>
        </w:rPr>
        <w:t>2008-02</w:t>
      </w:r>
      <w:proofErr w:type="gramEnd"/>
      <w:r w:rsidRPr="009047B5">
        <w:rPr>
          <w:rStyle w:val="Odkazjemn"/>
        </w:rPr>
        <w:t xml:space="preserve">-08].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Central</w:t>
      </w:r>
      <w:proofErr w:type="spellEnd"/>
      <w:r w:rsidRPr="009047B5">
        <w:rPr>
          <w:rStyle w:val="Odkazjemn"/>
        </w:rPr>
        <w:t xml:space="preserve"> Bank.: </w:t>
      </w:r>
      <w:proofErr w:type="spellStart"/>
      <w:r w:rsidRPr="009047B5">
        <w:rPr>
          <w:rStyle w:val="Odkazjemn"/>
        </w:rPr>
        <w:t>The</w:t>
      </w:r>
      <w:proofErr w:type="spellEnd"/>
      <w:r w:rsidRPr="009047B5">
        <w:rPr>
          <w:rStyle w:val="Odkazjemn"/>
        </w:rPr>
        <w:t xml:space="preserve"> Euro </w:t>
      </w:r>
      <w:proofErr w:type="spellStart"/>
      <w:r w:rsidRPr="009047B5">
        <w:rPr>
          <w:rStyle w:val="Odkazjemn"/>
        </w:rPr>
        <w:t>at</w:t>
      </w:r>
      <w:proofErr w:type="spellEnd"/>
      <w:r w:rsidRPr="009047B5">
        <w:rPr>
          <w:rStyle w:val="Odkazjemn"/>
        </w:rPr>
        <w:t xml:space="preserve"> ten </w:t>
      </w:r>
      <w:proofErr w:type="spellStart"/>
      <w:r w:rsidRPr="009047B5">
        <w:rPr>
          <w:rStyle w:val="Odkazjemn"/>
        </w:rPr>
        <w:t>lesson</w:t>
      </w:r>
      <w:proofErr w:type="spellEnd"/>
      <w:r w:rsidRPr="009047B5">
        <w:rPr>
          <w:rStyle w:val="Odkazjemn"/>
        </w:rPr>
        <w:t xml:space="preserve"> </w:t>
      </w:r>
      <w:proofErr w:type="spellStart"/>
      <w:r w:rsidRPr="009047B5">
        <w:rPr>
          <w:rStyle w:val="Odkazjemn"/>
        </w:rPr>
        <w:t>and</w:t>
      </w:r>
      <w:proofErr w:type="spellEnd"/>
      <w:r w:rsidRPr="009047B5">
        <w:rPr>
          <w:rStyle w:val="Odkazjemn"/>
        </w:rPr>
        <w:t xml:space="preserve"> </w:t>
      </w:r>
      <w:proofErr w:type="spellStart"/>
      <w:r w:rsidRPr="009047B5">
        <w:rPr>
          <w:rStyle w:val="Odkazjemn"/>
        </w:rPr>
        <w:t>chalenges</w:t>
      </w:r>
      <w:proofErr w:type="spellEnd"/>
      <w:r w:rsidRPr="009047B5">
        <w:rPr>
          <w:rStyle w:val="Odkazjemn"/>
        </w:rPr>
        <w:t xml:space="preserve"> [on-line</w:t>
      </w:r>
      <w:r w:rsidRPr="009047B5">
        <w:rPr>
          <w:rStyle w:val="Odkazjemn"/>
          <w:szCs w:val="18"/>
        </w:rPr>
        <w:sym w:font="Symbol" w:char="F05D"/>
      </w:r>
      <w:r>
        <w:rPr>
          <w:rStyle w:val="Odkazjemn"/>
        </w:rPr>
        <w:t xml:space="preserve">. [cit. </w:t>
      </w:r>
      <w:proofErr w:type="gramStart"/>
      <w:r>
        <w:rPr>
          <w:rStyle w:val="Odkazjemn"/>
        </w:rPr>
        <w:t>2008-02</w:t>
      </w:r>
      <w:proofErr w:type="gramEnd"/>
      <w:r>
        <w:rPr>
          <w:rStyle w:val="Odkazjemn"/>
        </w:rPr>
        <w:t>-08]. Dostupné z WWW:&lt;</w:t>
      </w:r>
      <w:r w:rsidRPr="009047B5">
        <w:rPr>
          <w:rStyle w:val="Odkazjemn"/>
        </w:rPr>
        <w:t xml:space="preserve"> </w:t>
      </w:r>
      <w:hyperlink r:id="rId18" w:history="1">
        <w:r w:rsidRPr="009047B5">
          <w:rPr>
            <w:rStyle w:val="Odkazjemn"/>
          </w:rPr>
          <w:t>http://www.ecb.int/pub/pdf/other/euroattenen2009en.pdf</w:t>
        </w:r>
      </w:hyperlink>
      <w:r>
        <w:rPr>
          <w:rStyle w:val="Odkazjemn"/>
        </w:rPr>
        <w:t>&gt;</w:t>
      </w:r>
    </w:p>
    <w:p w:rsidR="00FD7B45" w:rsidRDefault="00FD7B45" w:rsidP="00A80382">
      <w:pPr>
        <w:pStyle w:val="Textpoznpodarou"/>
      </w:pPr>
    </w:p>
  </w:footnote>
  <w:footnote w:id="54">
    <w:p w:rsidR="00FD7B45" w:rsidRPr="009939BA" w:rsidRDefault="00FD7B45" w:rsidP="00A80382">
      <w:pPr>
        <w:pStyle w:val="Prliminairetype"/>
        <w:spacing w:before="0"/>
        <w:jc w:val="both"/>
        <w:rPr>
          <w:rStyle w:val="Odkazjemn"/>
          <w:b w:val="0"/>
        </w:rPr>
      </w:pPr>
      <w:r w:rsidRPr="009939BA">
        <w:rPr>
          <w:rStyle w:val="Odkazjemn"/>
          <w:b w:val="0"/>
        </w:rPr>
        <w:footnoteRef/>
      </w:r>
      <w:r w:rsidRPr="009939BA">
        <w:rPr>
          <w:rStyle w:val="Odkazjemn"/>
          <w:b w:val="0"/>
        </w:rPr>
        <w:t xml:space="preserve"> </w:t>
      </w:r>
      <w:proofErr w:type="spellStart"/>
      <w:r w:rsidRPr="009939BA">
        <w:rPr>
          <w:rStyle w:val="Odkazjemn"/>
          <w:b w:val="0"/>
        </w:rPr>
        <w:t>The</w:t>
      </w:r>
      <w:proofErr w:type="spellEnd"/>
      <w:r w:rsidRPr="009939BA">
        <w:rPr>
          <w:rStyle w:val="Odkazjemn"/>
          <w:b w:val="0"/>
        </w:rPr>
        <w:t xml:space="preserve"> </w:t>
      </w:r>
      <w:proofErr w:type="spellStart"/>
      <w:r w:rsidRPr="009939BA">
        <w:rPr>
          <w:rStyle w:val="Odkazjemn"/>
          <w:b w:val="0"/>
        </w:rPr>
        <w:t>European</w:t>
      </w:r>
      <w:proofErr w:type="spellEnd"/>
      <w:r w:rsidRPr="009939BA">
        <w:rPr>
          <w:rStyle w:val="Odkazjemn"/>
          <w:b w:val="0"/>
        </w:rPr>
        <w:t xml:space="preserve"> </w:t>
      </w:r>
      <w:proofErr w:type="spellStart"/>
      <w:r w:rsidRPr="009939BA">
        <w:rPr>
          <w:rStyle w:val="Odkazjemn"/>
          <w:b w:val="0"/>
        </w:rPr>
        <w:t>Parliament</w:t>
      </w:r>
      <w:proofErr w:type="spellEnd"/>
      <w:r w:rsidRPr="009939BA">
        <w:rPr>
          <w:rStyle w:val="Odkazjemn"/>
          <w:b w:val="0"/>
        </w:rPr>
        <w:t xml:space="preserve">, </w:t>
      </w:r>
      <w:proofErr w:type="spellStart"/>
      <w:r w:rsidRPr="009939BA">
        <w:rPr>
          <w:rStyle w:val="Odkazjemn"/>
          <w:b w:val="0"/>
        </w:rPr>
        <w:t>the</w:t>
      </w:r>
      <w:proofErr w:type="spellEnd"/>
      <w:r w:rsidRPr="009939BA">
        <w:rPr>
          <w:rStyle w:val="Odkazjemn"/>
          <w:b w:val="0"/>
        </w:rPr>
        <w:t xml:space="preserve"> </w:t>
      </w:r>
      <w:proofErr w:type="spellStart"/>
      <w:r w:rsidRPr="009939BA">
        <w:rPr>
          <w:rStyle w:val="Odkazjemn"/>
          <w:b w:val="0"/>
        </w:rPr>
        <w:t>European</w:t>
      </w:r>
      <w:proofErr w:type="spellEnd"/>
      <w:r w:rsidRPr="009939BA">
        <w:rPr>
          <w:rStyle w:val="Odkazjemn"/>
          <w:b w:val="0"/>
        </w:rPr>
        <w:t xml:space="preserve"> </w:t>
      </w:r>
      <w:proofErr w:type="spellStart"/>
      <w:r w:rsidRPr="009939BA">
        <w:rPr>
          <w:rStyle w:val="Odkazjemn"/>
          <w:b w:val="0"/>
        </w:rPr>
        <w:t>Economic</w:t>
      </w:r>
      <w:proofErr w:type="spellEnd"/>
      <w:r w:rsidRPr="009939BA">
        <w:rPr>
          <w:rStyle w:val="Odkazjemn"/>
          <w:b w:val="0"/>
        </w:rPr>
        <w:t xml:space="preserve"> </w:t>
      </w:r>
      <w:proofErr w:type="spellStart"/>
      <w:r w:rsidRPr="009939BA">
        <w:rPr>
          <w:rStyle w:val="Odkazjemn"/>
          <w:b w:val="0"/>
        </w:rPr>
        <w:t>and</w:t>
      </w:r>
      <w:proofErr w:type="spellEnd"/>
      <w:r w:rsidRPr="009939BA">
        <w:rPr>
          <w:rStyle w:val="Odkazjemn"/>
          <w:b w:val="0"/>
        </w:rPr>
        <w:t xml:space="preserve"> </w:t>
      </w:r>
      <w:proofErr w:type="spellStart"/>
      <w:r w:rsidRPr="009939BA">
        <w:rPr>
          <w:rStyle w:val="Odkazjemn"/>
          <w:b w:val="0"/>
        </w:rPr>
        <w:t>Social</w:t>
      </w:r>
      <w:proofErr w:type="spellEnd"/>
      <w:r w:rsidRPr="009939BA">
        <w:rPr>
          <w:rStyle w:val="Odkazjemn"/>
          <w:b w:val="0"/>
        </w:rPr>
        <w:t xml:space="preserve"> </w:t>
      </w:r>
      <w:proofErr w:type="spellStart"/>
      <w:r w:rsidRPr="009939BA">
        <w:rPr>
          <w:rStyle w:val="Odkazjemn"/>
          <w:b w:val="0"/>
        </w:rPr>
        <w:t>Committee</w:t>
      </w:r>
      <w:proofErr w:type="spellEnd"/>
      <w:r w:rsidRPr="009939BA">
        <w:rPr>
          <w:rStyle w:val="Odkazjemn"/>
          <w:b w:val="0"/>
        </w:rPr>
        <w:t xml:space="preserve">, </w:t>
      </w:r>
      <w:proofErr w:type="spellStart"/>
      <w:r w:rsidRPr="009939BA">
        <w:rPr>
          <w:rStyle w:val="Odkazjemn"/>
          <w:b w:val="0"/>
        </w:rPr>
        <w:t>the</w:t>
      </w:r>
      <w:proofErr w:type="spellEnd"/>
      <w:r w:rsidRPr="009939BA">
        <w:rPr>
          <w:rStyle w:val="Odkazjemn"/>
          <w:b w:val="0"/>
        </w:rPr>
        <w:t xml:space="preserve"> </w:t>
      </w:r>
      <w:proofErr w:type="spellStart"/>
      <w:r w:rsidRPr="009939BA">
        <w:rPr>
          <w:rStyle w:val="Odkazjemn"/>
          <w:b w:val="0"/>
        </w:rPr>
        <w:t>Committee</w:t>
      </w:r>
      <w:proofErr w:type="spellEnd"/>
      <w:r w:rsidRPr="009939BA">
        <w:rPr>
          <w:rStyle w:val="Odkazjemn"/>
          <w:b w:val="0"/>
        </w:rPr>
        <w:t xml:space="preserve"> </w:t>
      </w:r>
      <w:proofErr w:type="spellStart"/>
      <w:r w:rsidRPr="009939BA">
        <w:rPr>
          <w:rStyle w:val="Odkazjemn"/>
          <w:b w:val="0"/>
        </w:rPr>
        <w:t>of</w:t>
      </w:r>
      <w:proofErr w:type="spellEnd"/>
      <w:r w:rsidRPr="009939BA">
        <w:rPr>
          <w:rStyle w:val="Odkazjemn"/>
          <w:b w:val="0"/>
        </w:rPr>
        <w:t xml:space="preserve"> </w:t>
      </w:r>
      <w:proofErr w:type="spellStart"/>
      <w:r w:rsidRPr="009939BA">
        <w:rPr>
          <w:rStyle w:val="Odkazjemn"/>
          <w:b w:val="0"/>
        </w:rPr>
        <w:t>the</w:t>
      </w:r>
      <w:proofErr w:type="spellEnd"/>
      <w:r w:rsidRPr="009939BA">
        <w:rPr>
          <w:rStyle w:val="Odkazjemn"/>
          <w:b w:val="0"/>
        </w:rPr>
        <w:t xml:space="preserve"> </w:t>
      </w:r>
      <w:proofErr w:type="spellStart"/>
      <w:r w:rsidRPr="009939BA">
        <w:rPr>
          <w:rStyle w:val="Odkazjemn"/>
          <w:b w:val="0"/>
        </w:rPr>
        <w:t>Regions</w:t>
      </w:r>
      <w:proofErr w:type="spellEnd"/>
      <w:r w:rsidRPr="009939BA">
        <w:rPr>
          <w:rStyle w:val="Odkazjemn"/>
          <w:b w:val="0"/>
        </w:rPr>
        <w:t xml:space="preserve"> </w:t>
      </w:r>
      <w:proofErr w:type="spellStart"/>
      <w:r w:rsidRPr="009939BA">
        <w:rPr>
          <w:rStyle w:val="Odkazjemn"/>
          <w:b w:val="0"/>
        </w:rPr>
        <w:t>and</w:t>
      </w:r>
      <w:proofErr w:type="spellEnd"/>
      <w:r w:rsidRPr="009939BA">
        <w:rPr>
          <w:rStyle w:val="Odkazjemn"/>
          <w:b w:val="0"/>
        </w:rPr>
        <w:t xml:space="preserve"> </w:t>
      </w:r>
      <w:proofErr w:type="spellStart"/>
      <w:r w:rsidRPr="009939BA">
        <w:rPr>
          <w:rStyle w:val="Odkazjemn"/>
          <w:b w:val="0"/>
        </w:rPr>
        <w:t>the</w:t>
      </w:r>
      <w:proofErr w:type="spellEnd"/>
      <w:r w:rsidRPr="009939BA">
        <w:rPr>
          <w:rStyle w:val="Odkazjemn"/>
          <w:b w:val="0"/>
        </w:rPr>
        <w:t xml:space="preserve"> </w:t>
      </w:r>
      <w:proofErr w:type="spellStart"/>
      <w:r w:rsidRPr="009939BA">
        <w:rPr>
          <w:rStyle w:val="Odkazjemn"/>
          <w:b w:val="0"/>
        </w:rPr>
        <w:t>European</w:t>
      </w:r>
      <w:proofErr w:type="spellEnd"/>
      <w:r w:rsidRPr="009939BA">
        <w:rPr>
          <w:rStyle w:val="Odkazjemn"/>
          <w:b w:val="0"/>
        </w:rPr>
        <w:t xml:space="preserve"> </w:t>
      </w:r>
      <w:proofErr w:type="spellStart"/>
      <w:r w:rsidRPr="009939BA">
        <w:rPr>
          <w:rStyle w:val="Odkazjemn"/>
          <w:b w:val="0"/>
        </w:rPr>
        <w:t>Central</w:t>
      </w:r>
      <w:proofErr w:type="spellEnd"/>
      <w:r w:rsidRPr="009939BA">
        <w:rPr>
          <w:rStyle w:val="Odkazjemn"/>
          <w:b w:val="0"/>
        </w:rPr>
        <w:t xml:space="preserve"> </w:t>
      </w:r>
      <w:proofErr w:type="gramStart"/>
      <w:r w:rsidRPr="009939BA">
        <w:rPr>
          <w:rStyle w:val="Odkazjemn"/>
          <w:b w:val="0"/>
        </w:rPr>
        <w:t>Bank - [online</w:t>
      </w:r>
      <w:proofErr w:type="gramEnd"/>
      <w:r w:rsidRPr="009939BA">
        <w:rPr>
          <w:rStyle w:val="Odkazjemn"/>
          <w:b w:val="0"/>
        </w:rPr>
        <w:t xml:space="preserve">], </w:t>
      </w:r>
      <w:proofErr w:type="spellStart"/>
      <w:r w:rsidRPr="009939BA">
        <w:rPr>
          <w:rStyle w:val="Odkazjemn"/>
          <w:b w:val="0"/>
        </w:rPr>
        <w:t>The</w:t>
      </w:r>
      <w:proofErr w:type="spellEnd"/>
      <w:r w:rsidRPr="009939BA">
        <w:rPr>
          <w:rStyle w:val="Odkazjemn"/>
          <w:b w:val="0"/>
        </w:rPr>
        <w:t xml:space="preserve"> </w:t>
      </w:r>
      <w:proofErr w:type="spellStart"/>
      <w:r w:rsidRPr="009939BA">
        <w:rPr>
          <w:rStyle w:val="Odkazjemn"/>
          <w:b w:val="0"/>
        </w:rPr>
        <w:t>introduction</w:t>
      </w:r>
      <w:proofErr w:type="spellEnd"/>
      <w:r w:rsidRPr="009939BA">
        <w:rPr>
          <w:rStyle w:val="Odkazjemn"/>
          <w:b w:val="0"/>
        </w:rPr>
        <w:t xml:space="preserve"> </w:t>
      </w:r>
      <w:proofErr w:type="spellStart"/>
      <w:r w:rsidRPr="009939BA">
        <w:rPr>
          <w:rStyle w:val="Odkazjemn"/>
          <w:b w:val="0"/>
        </w:rPr>
        <w:t>of</w:t>
      </w:r>
      <w:proofErr w:type="spellEnd"/>
      <w:r w:rsidRPr="009939BA">
        <w:rPr>
          <w:rStyle w:val="Odkazjemn"/>
          <w:b w:val="0"/>
        </w:rPr>
        <w:t xml:space="preserve"> </w:t>
      </w:r>
      <w:proofErr w:type="spellStart"/>
      <w:r w:rsidRPr="009939BA">
        <w:rPr>
          <w:rStyle w:val="Odkazjemn"/>
          <w:b w:val="0"/>
        </w:rPr>
        <w:t>the</w:t>
      </w:r>
      <w:proofErr w:type="spellEnd"/>
      <w:r w:rsidRPr="009939BA">
        <w:rPr>
          <w:rStyle w:val="Odkazjemn"/>
          <w:b w:val="0"/>
        </w:rPr>
        <w:t xml:space="preserve"> euro in </w:t>
      </w:r>
      <w:proofErr w:type="spellStart"/>
      <w:r w:rsidRPr="009939BA">
        <w:rPr>
          <w:rStyle w:val="Odkazjemn"/>
          <w:b w:val="0"/>
        </w:rPr>
        <w:t>Slovenia</w:t>
      </w:r>
      <w:proofErr w:type="spellEnd"/>
      <w:r w:rsidRPr="009939BA">
        <w:rPr>
          <w:rStyle w:val="Odkazjemn"/>
          <w:b w:val="0"/>
        </w:rPr>
        <w:t xml:space="preserve">, </w:t>
      </w:r>
      <w:r>
        <w:rPr>
          <w:rStyle w:val="Odkazjemn"/>
          <w:b w:val="0"/>
        </w:rPr>
        <w:t>2009, [cit.2009-11-30]. Dostupný z  &lt;</w:t>
      </w:r>
      <w:r w:rsidRPr="009939BA">
        <w:rPr>
          <w:rStyle w:val="Odkazjemn"/>
          <w:b w:val="0"/>
        </w:rPr>
        <w:t>http://</w:t>
      </w:r>
      <w:proofErr w:type="gramStart"/>
      <w:r w:rsidRPr="009939BA">
        <w:rPr>
          <w:rStyle w:val="Odkazjemn"/>
          <w:b w:val="0"/>
        </w:rPr>
        <w:t xml:space="preserve">eur- </w:t>
      </w:r>
      <w:proofErr w:type="spellStart"/>
      <w:r w:rsidRPr="009939BA">
        <w:rPr>
          <w:rStyle w:val="Odkazjemn"/>
          <w:b w:val="0"/>
        </w:rPr>
        <w:t>x.europa</w:t>
      </w:r>
      <w:proofErr w:type="gramEnd"/>
      <w:r w:rsidRPr="009939BA">
        <w:rPr>
          <w:rStyle w:val="Odkazjemn"/>
          <w:b w:val="0"/>
        </w:rPr>
        <w:t>.eu</w:t>
      </w:r>
      <w:proofErr w:type="spellEnd"/>
      <w:r w:rsidRPr="009939BA">
        <w:rPr>
          <w:rStyle w:val="Odkazjemn"/>
          <w:b w:val="0"/>
        </w:rPr>
        <w:t>/</w:t>
      </w:r>
      <w:proofErr w:type="spellStart"/>
      <w:r w:rsidRPr="009939BA">
        <w:rPr>
          <w:rStyle w:val="Odkazjemn"/>
          <w:b w:val="0"/>
        </w:rPr>
        <w:t>LexUriServ</w:t>
      </w:r>
      <w:proofErr w:type="spellEnd"/>
      <w:r w:rsidRPr="009939BA">
        <w:rPr>
          <w:rStyle w:val="Odkazjemn"/>
          <w:b w:val="0"/>
        </w:rPr>
        <w:t xml:space="preserve">/ </w:t>
      </w:r>
      <w:proofErr w:type="spellStart"/>
      <w:r w:rsidRPr="009939BA">
        <w:rPr>
          <w:rStyle w:val="Odkazjemn"/>
          <w:b w:val="0"/>
        </w:rPr>
        <w:t>LexUriServ.do</w:t>
      </w:r>
      <w:proofErr w:type="spellEnd"/>
      <w:r w:rsidRPr="009939BA">
        <w:rPr>
          <w:rStyle w:val="Odkazjemn"/>
          <w:b w:val="0"/>
        </w:rPr>
        <w:t>?</w:t>
      </w:r>
      <w:proofErr w:type="spellStart"/>
      <w:r w:rsidRPr="009939BA">
        <w:rPr>
          <w:rStyle w:val="Odkazjemn"/>
          <w:b w:val="0"/>
        </w:rPr>
        <w:t>uri</w:t>
      </w:r>
      <w:proofErr w:type="spellEnd"/>
      <w:r w:rsidRPr="009939BA">
        <w:rPr>
          <w:rStyle w:val="Odkazjemn"/>
          <w:b w:val="0"/>
        </w:rPr>
        <w:t xml:space="preserve"> =</w:t>
      </w:r>
      <w:proofErr w:type="spellStart"/>
      <w:r w:rsidRPr="009939BA">
        <w:rPr>
          <w:rStyle w:val="Odkazjemn"/>
          <w:b w:val="0"/>
        </w:rPr>
        <w:t>COM</w:t>
      </w:r>
      <w:proofErr w:type="spellEnd"/>
      <w:r w:rsidRPr="009939BA">
        <w:rPr>
          <w:rStyle w:val="Odkazjemn"/>
          <w:b w:val="0"/>
        </w:rPr>
        <w:t>:2007:0233:FIN:</w:t>
      </w:r>
      <w:proofErr w:type="spellStart"/>
      <w:r w:rsidRPr="009939BA">
        <w:rPr>
          <w:rStyle w:val="Odkazjemn"/>
          <w:b w:val="0"/>
        </w:rPr>
        <w:t>EN</w:t>
      </w:r>
      <w:proofErr w:type="spellEnd"/>
      <w:r w:rsidRPr="009939BA">
        <w:rPr>
          <w:rStyle w:val="Odkazjemn"/>
          <w:b w:val="0"/>
        </w:rPr>
        <w:t>:</w:t>
      </w:r>
      <w:proofErr w:type="spellStart"/>
      <w:r w:rsidRPr="009939BA">
        <w:rPr>
          <w:rStyle w:val="Odkazjemn"/>
          <w:b w:val="0"/>
        </w:rPr>
        <w:t>PDF</w:t>
      </w:r>
      <w:proofErr w:type="spellEnd"/>
      <w:r>
        <w:rPr>
          <w:rStyle w:val="Odkazjemn"/>
          <w:b w:val="0"/>
        </w:rPr>
        <w:t>&gt;</w:t>
      </w:r>
    </w:p>
    <w:p w:rsidR="00FD7B45" w:rsidRDefault="00FD7B45" w:rsidP="00A80382">
      <w:pPr>
        <w:pStyle w:val="Prliminairetype"/>
        <w:spacing w:before="0"/>
        <w:jc w:val="both"/>
      </w:pPr>
    </w:p>
  </w:footnote>
  <w:footnote w:id="55">
    <w:p w:rsidR="00FD7B45" w:rsidRDefault="00FD7B45" w:rsidP="00A80382">
      <w:pPr>
        <w:pStyle w:val="Bezmezer"/>
      </w:pPr>
      <w:r w:rsidRPr="00575E1F">
        <w:rPr>
          <w:rStyle w:val="Odkazjemn"/>
          <w:i w:val="0"/>
        </w:rPr>
        <w:footnoteRef/>
      </w:r>
      <w:r w:rsidRPr="00575E1F">
        <w:rPr>
          <w:rStyle w:val="Odkazjemn"/>
          <w:i w:val="0"/>
        </w:rPr>
        <w:t xml:space="preserve"> </w:t>
      </w:r>
      <w:r>
        <w:rPr>
          <w:rStyle w:val="Odkazjemn"/>
          <w:i w:val="0"/>
        </w:rPr>
        <w:t xml:space="preserve">Statistický Národní úřad </w:t>
      </w:r>
      <w:r>
        <w:rPr>
          <w:rStyle w:val="Odkazjemn"/>
          <w:i w:val="0"/>
          <w:lang w:val="en-US"/>
        </w:rPr>
        <w:t xml:space="preserve">[online], </w:t>
      </w:r>
      <w:proofErr w:type="spellStart"/>
      <w:r>
        <w:rPr>
          <w:rStyle w:val="Odkazjemn"/>
          <w:i w:val="0"/>
          <w:lang w:val="en-US"/>
        </w:rPr>
        <w:t>Národní</w:t>
      </w:r>
      <w:proofErr w:type="spellEnd"/>
      <w:r>
        <w:rPr>
          <w:rStyle w:val="Odkazjemn"/>
          <w:i w:val="0"/>
          <w:lang w:val="en-US"/>
        </w:rPr>
        <w:t xml:space="preserve"> </w:t>
      </w:r>
      <w:proofErr w:type="spellStart"/>
      <w:r>
        <w:rPr>
          <w:rStyle w:val="Odkazjemn"/>
          <w:i w:val="0"/>
          <w:lang w:val="en-US"/>
        </w:rPr>
        <w:t>účty</w:t>
      </w:r>
      <w:proofErr w:type="spellEnd"/>
      <w:r>
        <w:rPr>
          <w:rStyle w:val="Odkazjemn"/>
          <w:i w:val="0"/>
          <w:lang w:val="en-US"/>
        </w:rPr>
        <w:t xml:space="preserve">, 2010, [cit. </w:t>
      </w:r>
      <w:proofErr w:type="gramStart"/>
      <w:r>
        <w:rPr>
          <w:rStyle w:val="Odkazjemn"/>
          <w:i w:val="0"/>
          <w:lang w:val="en-US"/>
        </w:rPr>
        <w:t>2010-10</w:t>
      </w:r>
      <w:proofErr w:type="gramEnd"/>
      <w:r>
        <w:rPr>
          <w:rStyle w:val="Odkazjemn"/>
          <w:i w:val="0"/>
          <w:lang w:val="en-US"/>
        </w:rPr>
        <w:t xml:space="preserve">-30]. </w:t>
      </w:r>
      <w:proofErr w:type="spellStart"/>
      <w:r w:rsidRPr="00F7722C">
        <w:rPr>
          <w:rStyle w:val="Odkazjemn"/>
          <w:i w:val="0"/>
          <w:lang w:val="de-DE"/>
        </w:rPr>
        <w:t>Dostupn</w:t>
      </w:r>
      <w:proofErr w:type="spellEnd"/>
      <w:r>
        <w:rPr>
          <w:rStyle w:val="Odkazjemn"/>
          <w:i w:val="0"/>
        </w:rPr>
        <w:t>ý z &lt;http</w:t>
      </w:r>
      <w:r w:rsidRPr="00F7722C">
        <w:rPr>
          <w:rStyle w:val="Odkazjemn"/>
          <w:i w:val="0"/>
          <w:lang w:val="de-DE"/>
        </w:rPr>
        <w:t>//www.stat.si-pxeb-Database-Ekonomsko-Ekonomsko.asp&gt;</w:t>
      </w:r>
    </w:p>
  </w:footnote>
  <w:footnote w:id="56">
    <w:p w:rsidR="00FD7B45" w:rsidRDefault="00FD7B45" w:rsidP="00A80382">
      <w:pPr>
        <w:pStyle w:val="Bezmezer"/>
      </w:pPr>
      <w:r w:rsidRPr="00575E1F">
        <w:rPr>
          <w:rStyle w:val="Odkazjemn"/>
          <w:i w:val="0"/>
        </w:rPr>
        <w:footnoteRef/>
      </w:r>
      <w:r w:rsidRPr="00575E1F">
        <w:rPr>
          <w:rStyle w:val="Odkazjemn"/>
          <w:i w:val="0"/>
        </w:rPr>
        <w:t xml:space="preserve">   Tisková zpráva </w:t>
      </w:r>
      <w:proofErr w:type="spellStart"/>
      <w:r w:rsidRPr="00575E1F">
        <w:rPr>
          <w:rStyle w:val="Odkazjemn"/>
          <w:i w:val="0"/>
        </w:rPr>
        <w:t>Eurostatu</w:t>
      </w:r>
      <w:proofErr w:type="spellEnd"/>
      <w:r w:rsidRPr="00575E1F">
        <w:rPr>
          <w:rStyle w:val="Odkazjemn"/>
          <w:i w:val="0"/>
        </w:rPr>
        <w:t xml:space="preserve"> č. 69/2003 z 18. června 2003 –[</w:t>
      </w:r>
      <w:proofErr w:type="spellStart"/>
      <w:r w:rsidR="00A02874">
        <w:fldChar w:fldCharType="begin"/>
      </w:r>
      <w:r w:rsidR="00A02874">
        <w:instrText>HYPERLINK "http://epp.eurostat.ec.europa.eu/pls/portal/docs/PAGE/PGP_PRD_CAT_PREREL/PGE_CAT_PREREL_YEAR_2003/PGE_CAT_PREREL_YEAR_2003_MONTH_06/2-18062003-EN-AP.PDF"</w:instrText>
      </w:r>
      <w:r w:rsidR="00A02874">
        <w:fldChar w:fldCharType="separate"/>
      </w:r>
      <w:r w:rsidRPr="00575E1F">
        <w:rPr>
          <w:rStyle w:val="Odkazjemn"/>
          <w:i w:val="0"/>
        </w:rPr>
        <w:t>News</w:t>
      </w:r>
      <w:proofErr w:type="spellEnd"/>
      <w:r w:rsidRPr="00575E1F">
        <w:rPr>
          <w:rStyle w:val="Odkazjemn"/>
          <w:i w:val="0"/>
        </w:rPr>
        <w:t xml:space="preserve"> </w:t>
      </w:r>
      <w:proofErr w:type="spellStart"/>
      <w:r w:rsidRPr="00575E1F">
        <w:rPr>
          <w:rStyle w:val="Odkazjemn"/>
          <w:i w:val="0"/>
        </w:rPr>
        <w:t>Release</w:t>
      </w:r>
      <w:proofErr w:type="spellEnd"/>
      <w:r w:rsidRPr="00575E1F">
        <w:rPr>
          <w:rStyle w:val="Odkazjemn"/>
          <w:i w:val="0"/>
        </w:rPr>
        <w:t xml:space="preserve"> 69/2003 </w:t>
      </w:r>
      <w:proofErr w:type="spellStart"/>
      <w:r w:rsidRPr="00575E1F">
        <w:rPr>
          <w:rStyle w:val="Odkazjemn"/>
          <w:i w:val="0"/>
        </w:rPr>
        <w:t>of</w:t>
      </w:r>
      <w:proofErr w:type="spellEnd"/>
      <w:r w:rsidRPr="00575E1F">
        <w:rPr>
          <w:rStyle w:val="Odkazjemn"/>
          <w:i w:val="0"/>
        </w:rPr>
        <w:t xml:space="preserve"> 18/06/2003</w:t>
      </w:r>
      <w:r w:rsidR="00A02874">
        <w:fldChar w:fldCharType="end"/>
      </w:r>
      <w:r w:rsidRPr="00575E1F">
        <w:rPr>
          <w:rStyle w:val="Odkazjemn"/>
          <w:i w:val="0"/>
        </w:rPr>
        <w:t>].</w:t>
      </w:r>
    </w:p>
  </w:footnote>
  <w:footnote w:id="57">
    <w:p w:rsidR="00FD7B45" w:rsidRPr="00575E1F" w:rsidRDefault="00FD7B45" w:rsidP="00A80382">
      <w:pPr>
        <w:pStyle w:val="Bezmezer"/>
        <w:rPr>
          <w:rStyle w:val="Odkazjemn"/>
          <w:i w:val="0"/>
        </w:rPr>
      </w:pPr>
      <w:r w:rsidRPr="00575E1F">
        <w:rPr>
          <w:rStyle w:val="Odkazjemn"/>
          <w:i w:val="0"/>
        </w:rPr>
        <w:footnoteRef/>
      </w:r>
      <w:r w:rsidRPr="00575E1F">
        <w:rPr>
          <w:rStyle w:val="Odkazjemn"/>
          <w:i w:val="0"/>
        </w:rPr>
        <w:t xml:space="preserve"> </w:t>
      </w:r>
      <w:r>
        <w:rPr>
          <w:rStyle w:val="Odkazjemn"/>
          <w:i w:val="0"/>
        </w:rPr>
        <w:t xml:space="preserve">Statistický Národní úřad </w:t>
      </w:r>
      <w:r>
        <w:rPr>
          <w:rStyle w:val="Odkazjemn"/>
          <w:i w:val="0"/>
          <w:lang w:val="en-US"/>
        </w:rPr>
        <w:t xml:space="preserve">[online], </w:t>
      </w:r>
      <w:proofErr w:type="spellStart"/>
      <w:r>
        <w:rPr>
          <w:rStyle w:val="Odkazjemn"/>
          <w:i w:val="0"/>
          <w:lang w:val="en-US"/>
        </w:rPr>
        <w:t>Národní</w:t>
      </w:r>
      <w:proofErr w:type="spellEnd"/>
      <w:r>
        <w:rPr>
          <w:rStyle w:val="Odkazjemn"/>
          <w:i w:val="0"/>
          <w:lang w:val="en-US"/>
        </w:rPr>
        <w:t xml:space="preserve"> </w:t>
      </w:r>
      <w:proofErr w:type="spellStart"/>
      <w:r>
        <w:rPr>
          <w:rStyle w:val="Odkazjemn"/>
          <w:i w:val="0"/>
          <w:lang w:val="en-US"/>
        </w:rPr>
        <w:t>účty</w:t>
      </w:r>
      <w:proofErr w:type="spellEnd"/>
      <w:r>
        <w:rPr>
          <w:rStyle w:val="Odkazjemn"/>
          <w:i w:val="0"/>
          <w:lang w:val="en-US"/>
        </w:rPr>
        <w:t xml:space="preserve">, 2010, [cit. </w:t>
      </w:r>
      <w:proofErr w:type="gramStart"/>
      <w:r>
        <w:rPr>
          <w:rStyle w:val="Odkazjemn"/>
          <w:i w:val="0"/>
          <w:lang w:val="en-US"/>
        </w:rPr>
        <w:t>2010-10</w:t>
      </w:r>
      <w:proofErr w:type="gramEnd"/>
      <w:r>
        <w:rPr>
          <w:rStyle w:val="Odkazjemn"/>
          <w:i w:val="0"/>
          <w:lang w:val="en-US"/>
        </w:rPr>
        <w:t xml:space="preserve">-30]. </w:t>
      </w:r>
      <w:proofErr w:type="spellStart"/>
      <w:r w:rsidRPr="00F7722C">
        <w:rPr>
          <w:rStyle w:val="Odkazjemn"/>
          <w:i w:val="0"/>
          <w:lang w:val="de-DE"/>
        </w:rPr>
        <w:t>Dostupn</w:t>
      </w:r>
      <w:proofErr w:type="spellEnd"/>
      <w:r>
        <w:rPr>
          <w:rStyle w:val="Odkazjemn"/>
          <w:i w:val="0"/>
        </w:rPr>
        <w:t>ý z&lt;http</w:t>
      </w:r>
      <w:r w:rsidRPr="00F7722C">
        <w:rPr>
          <w:rStyle w:val="Odkazjemn"/>
          <w:i w:val="0"/>
          <w:lang w:val="de-DE"/>
        </w:rPr>
        <w:t>//www.stat.si-pxeb-Database-Ekonomsko-Ekoomsko.asp&gt;</w:t>
      </w:r>
    </w:p>
    <w:p w:rsidR="00FD7B45" w:rsidRDefault="00FD7B45" w:rsidP="00A80382">
      <w:pPr>
        <w:pStyle w:val="Bezmezer"/>
      </w:pPr>
    </w:p>
  </w:footnote>
  <w:footnote w:id="58">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Central</w:t>
      </w:r>
      <w:proofErr w:type="spellEnd"/>
      <w:r w:rsidRPr="009047B5">
        <w:rPr>
          <w:rStyle w:val="Odkazjemn"/>
        </w:rPr>
        <w:t xml:space="preserve"> Bank.: </w:t>
      </w:r>
      <w:proofErr w:type="spellStart"/>
      <w:r w:rsidRPr="009047B5">
        <w:rPr>
          <w:rStyle w:val="Odkazjemn"/>
        </w:rPr>
        <w:t>Flash</w:t>
      </w:r>
      <w:proofErr w:type="spellEnd"/>
      <w:r w:rsidRPr="009047B5">
        <w:rPr>
          <w:rStyle w:val="Odkazjemn"/>
        </w:rPr>
        <w:t xml:space="preserve"> Barometr 201. [on-line</w:t>
      </w:r>
      <w:r w:rsidRPr="009047B5">
        <w:rPr>
          <w:rStyle w:val="Odkazjemn"/>
          <w:szCs w:val="18"/>
        </w:rPr>
        <w:sym w:font="Symbol" w:char="F05D"/>
      </w:r>
      <w:r w:rsidRPr="009047B5">
        <w:rPr>
          <w:rStyle w:val="Odkazjemn"/>
        </w:rPr>
        <w:t xml:space="preserve">, 2010, [cit. </w:t>
      </w:r>
      <w:proofErr w:type="gramStart"/>
      <w:r w:rsidRPr="009047B5">
        <w:rPr>
          <w:rStyle w:val="Odkazjemn"/>
        </w:rPr>
        <w:t>2010-02</w:t>
      </w:r>
      <w:proofErr w:type="gramEnd"/>
      <w:r w:rsidRPr="009047B5">
        <w:rPr>
          <w:rStyle w:val="Odkazjemn"/>
        </w:rPr>
        <w:t xml:space="preserve">-08].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Central</w:t>
      </w:r>
      <w:proofErr w:type="spellEnd"/>
      <w:r w:rsidRPr="009047B5">
        <w:rPr>
          <w:rStyle w:val="Odkazjemn"/>
        </w:rPr>
        <w:t xml:space="preserve"> Bank.: </w:t>
      </w:r>
      <w:proofErr w:type="spellStart"/>
      <w:r w:rsidRPr="009047B5">
        <w:rPr>
          <w:rStyle w:val="Odkazjemn"/>
        </w:rPr>
        <w:t>The</w:t>
      </w:r>
      <w:proofErr w:type="spellEnd"/>
      <w:r w:rsidRPr="009047B5">
        <w:rPr>
          <w:rStyle w:val="Odkazjemn"/>
        </w:rPr>
        <w:t xml:space="preserve"> Euro </w:t>
      </w:r>
      <w:proofErr w:type="spellStart"/>
      <w:r w:rsidRPr="009047B5">
        <w:rPr>
          <w:rStyle w:val="Odkazjemn"/>
        </w:rPr>
        <w:t>at</w:t>
      </w:r>
      <w:proofErr w:type="spellEnd"/>
      <w:r w:rsidRPr="009047B5">
        <w:rPr>
          <w:rStyle w:val="Odkazjemn"/>
        </w:rPr>
        <w:t xml:space="preserve"> ten </w:t>
      </w:r>
      <w:proofErr w:type="spellStart"/>
      <w:r w:rsidRPr="009047B5">
        <w:rPr>
          <w:rStyle w:val="Odkazjemn"/>
        </w:rPr>
        <w:t>lesson</w:t>
      </w:r>
      <w:proofErr w:type="spellEnd"/>
      <w:r w:rsidRPr="009047B5">
        <w:rPr>
          <w:rStyle w:val="Odkazjemn"/>
        </w:rPr>
        <w:t xml:space="preserve"> </w:t>
      </w:r>
      <w:proofErr w:type="spellStart"/>
      <w:r w:rsidRPr="009047B5">
        <w:rPr>
          <w:rStyle w:val="Odkazjemn"/>
        </w:rPr>
        <w:t>and</w:t>
      </w:r>
      <w:proofErr w:type="spellEnd"/>
      <w:r w:rsidRPr="009047B5">
        <w:rPr>
          <w:rStyle w:val="Odkazjemn"/>
        </w:rPr>
        <w:t xml:space="preserve"> </w:t>
      </w:r>
      <w:proofErr w:type="spellStart"/>
      <w:r w:rsidRPr="009047B5">
        <w:rPr>
          <w:rStyle w:val="Odkazjemn"/>
        </w:rPr>
        <w:t>chalenges</w:t>
      </w:r>
      <w:proofErr w:type="spellEnd"/>
      <w:r w:rsidRPr="009047B5">
        <w:rPr>
          <w:rStyle w:val="Odkazjemn"/>
        </w:rPr>
        <w:t xml:space="preserve"> [on-line</w:t>
      </w:r>
      <w:r w:rsidRPr="009047B5">
        <w:rPr>
          <w:rStyle w:val="Odkazjemn"/>
          <w:szCs w:val="18"/>
        </w:rPr>
        <w:sym w:font="Symbol" w:char="F05D"/>
      </w:r>
      <w:r w:rsidRPr="009047B5">
        <w:rPr>
          <w:rStyle w:val="Odkazjemn"/>
        </w:rPr>
        <w:t xml:space="preserve">, 2010, [cit. </w:t>
      </w:r>
      <w:proofErr w:type="gramStart"/>
      <w:r w:rsidRPr="009047B5">
        <w:rPr>
          <w:rStyle w:val="Odkazjemn"/>
        </w:rPr>
        <w:t>2010-02</w:t>
      </w:r>
      <w:proofErr w:type="gramEnd"/>
      <w:r w:rsidRPr="009047B5">
        <w:rPr>
          <w:rStyle w:val="Odkazjemn"/>
        </w:rPr>
        <w:t xml:space="preserve">-08]. Dostupné z: </w:t>
      </w:r>
      <w:r>
        <w:rPr>
          <w:rStyle w:val="Odkazjemn"/>
        </w:rPr>
        <w:t>&lt;</w:t>
      </w:r>
      <w:hyperlink r:id="rId19" w:history="1">
        <w:r w:rsidRPr="009047B5">
          <w:rPr>
            <w:rStyle w:val="Odkazjemn"/>
          </w:rPr>
          <w:t>http://www.ecb.int/pub/pdf/other/euroattenen2009en.pdf</w:t>
        </w:r>
      </w:hyperlink>
      <w:r>
        <w:rPr>
          <w:rStyle w:val="Odkazjemn"/>
        </w:rPr>
        <w:t>&gt;</w:t>
      </w:r>
    </w:p>
  </w:footnote>
  <w:footnote w:id="59">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Convergence</w:t>
      </w:r>
      <w:proofErr w:type="spellEnd"/>
      <w:r w:rsidRPr="009047B5">
        <w:rPr>
          <w:rStyle w:val="Odkazjemn"/>
        </w:rPr>
        <w:t xml:space="preserve"> Report, </w:t>
      </w:r>
      <w:proofErr w:type="spellStart"/>
      <w:r w:rsidRPr="009047B5">
        <w:rPr>
          <w:rStyle w:val="Odkazjemn"/>
        </w:rPr>
        <w:t>Convergence</w:t>
      </w:r>
      <w:proofErr w:type="spellEnd"/>
      <w:r w:rsidRPr="009047B5">
        <w:rPr>
          <w:rStyle w:val="Odkazjemn"/>
        </w:rPr>
        <w:t xml:space="preserve"> Report 2004 [online],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2010, [cit. </w:t>
      </w:r>
      <w:proofErr w:type="gramStart"/>
      <w:r w:rsidRPr="009047B5">
        <w:rPr>
          <w:rStyle w:val="Odkazjemn"/>
        </w:rPr>
        <w:t>1.1.2010</w:t>
      </w:r>
      <w:proofErr w:type="gramEnd"/>
      <w:r w:rsidRPr="009047B5">
        <w:rPr>
          <w:rStyle w:val="Odkazjemn"/>
        </w:rPr>
        <w:t xml:space="preserve">]. Dostupný z </w:t>
      </w:r>
      <w:hyperlink r:id="rId20" w:history="1"/>
      <w:r w:rsidRPr="009047B5">
        <w:rPr>
          <w:rStyle w:val="Odkazjemn"/>
        </w:rPr>
        <w:t xml:space="preserve"> www &lt;</w:t>
      </w:r>
      <w:hyperlink r:id="rId21" w:history="1">
        <w:r w:rsidRPr="009047B5">
          <w:rPr>
            <w:rStyle w:val="Odkazjemn"/>
          </w:rPr>
          <w:t>http://www.ecb.europa.eu/pub/pdf/conrep/cr2004en.pdf</w:t>
        </w:r>
      </w:hyperlink>
      <w:r w:rsidRPr="009047B5">
        <w:rPr>
          <w:rStyle w:val="Odkazjemn"/>
        </w:rPr>
        <w:t>&gt;</w:t>
      </w:r>
    </w:p>
  </w:footnote>
  <w:footnote w:id="60">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Convergence</w:t>
      </w:r>
      <w:proofErr w:type="spellEnd"/>
      <w:r w:rsidRPr="009047B5">
        <w:rPr>
          <w:rStyle w:val="Odkazjemn"/>
        </w:rPr>
        <w:t xml:space="preserve"> Report, </w:t>
      </w:r>
      <w:proofErr w:type="spellStart"/>
      <w:r w:rsidRPr="009047B5">
        <w:rPr>
          <w:rStyle w:val="Odkazjemn"/>
        </w:rPr>
        <w:t>Convergence</w:t>
      </w:r>
      <w:proofErr w:type="spellEnd"/>
      <w:r w:rsidRPr="009047B5">
        <w:rPr>
          <w:rStyle w:val="Odkazjemn"/>
        </w:rPr>
        <w:t xml:space="preserve"> Report 2004 [online],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2010, [cit. </w:t>
      </w:r>
      <w:proofErr w:type="gramStart"/>
      <w:r w:rsidRPr="009047B5">
        <w:rPr>
          <w:rStyle w:val="Odkazjemn"/>
        </w:rPr>
        <w:t>1.1.2010</w:t>
      </w:r>
      <w:proofErr w:type="gramEnd"/>
      <w:r w:rsidRPr="009047B5">
        <w:rPr>
          <w:rStyle w:val="Odkazjemn"/>
        </w:rPr>
        <w:t xml:space="preserve">]. Dostupný z </w:t>
      </w:r>
      <w:hyperlink r:id="rId22" w:history="1"/>
      <w:r w:rsidRPr="009047B5">
        <w:rPr>
          <w:rStyle w:val="Odkazjemn"/>
        </w:rPr>
        <w:t xml:space="preserve"> www &lt;</w:t>
      </w:r>
      <w:hyperlink r:id="rId23" w:history="1">
        <w:r w:rsidRPr="009047B5">
          <w:rPr>
            <w:rStyle w:val="Odkazjemn"/>
          </w:rPr>
          <w:t>http://www.ecb.europa.eu/pub/pdf/conrep/cr2004en.pdf</w:t>
        </w:r>
      </w:hyperlink>
    </w:p>
  </w:footnote>
  <w:footnote w:id="61">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Convergence</w:t>
      </w:r>
      <w:proofErr w:type="spellEnd"/>
      <w:r w:rsidRPr="009047B5">
        <w:rPr>
          <w:rStyle w:val="Odkazjemn"/>
        </w:rPr>
        <w:t xml:space="preserve"> Report, </w:t>
      </w:r>
      <w:proofErr w:type="spellStart"/>
      <w:r w:rsidRPr="009047B5">
        <w:rPr>
          <w:rStyle w:val="Odkazjemn"/>
        </w:rPr>
        <w:t>Convergence</w:t>
      </w:r>
      <w:proofErr w:type="spellEnd"/>
      <w:r w:rsidRPr="009047B5">
        <w:rPr>
          <w:rStyle w:val="Odkazjemn"/>
        </w:rPr>
        <w:t xml:space="preserve"> Report 2004 [online],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2010, [cit. </w:t>
      </w:r>
      <w:proofErr w:type="gramStart"/>
      <w:r w:rsidRPr="009047B5">
        <w:rPr>
          <w:rStyle w:val="Odkazjemn"/>
        </w:rPr>
        <w:t>1.1.2010</w:t>
      </w:r>
      <w:proofErr w:type="gramEnd"/>
      <w:r w:rsidRPr="009047B5">
        <w:rPr>
          <w:rStyle w:val="Odkazjemn"/>
        </w:rPr>
        <w:t xml:space="preserve">]. Dostupný z </w:t>
      </w:r>
      <w:hyperlink r:id="rId24" w:history="1"/>
      <w:r w:rsidRPr="009047B5">
        <w:rPr>
          <w:rStyle w:val="Odkazjemn"/>
        </w:rPr>
        <w:t xml:space="preserve"> www &lt;</w:t>
      </w:r>
      <w:hyperlink r:id="rId25" w:history="1">
        <w:r w:rsidRPr="009047B5">
          <w:rPr>
            <w:rStyle w:val="Odkazjemn"/>
          </w:rPr>
          <w:t>http://www.ecb.europa.eu/pub/pdf/conrep/cr2004en.pdf</w:t>
        </w:r>
      </w:hyperlink>
      <w:r w:rsidRPr="009047B5">
        <w:rPr>
          <w:rStyle w:val="Odkazjemn"/>
        </w:rPr>
        <w:t>&gt;</w:t>
      </w:r>
    </w:p>
  </w:footnote>
  <w:footnote w:id="62">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Convergence</w:t>
      </w:r>
      <w:proofErr w:type="spellEnd"/>
      <w:r w:rsidRPr="009047B5">
        <w:rPr>
          <w:rStyle w:val="Odkazjemn"/>
        </w:rPr>
        <w:t xml:space="preserve"> Report, </w:t>
      </w:r>
      <w:proofErr w:type="spellStart"/>
      <w:r w:rsidRPr="009047B5">
        <w:rPr>
          <w:rStyle w:val="Odkazjemn"/>
        </w:rPr>
        <w:t>Convergence</w:t>
      </w:r>
      <w:proofErr w:type="spellEnd"/>
      <w:r w:rsidRPr="009047B5">
        <w:rPr>
          <w:rStyle w:val="Odkazjemn"/>
        </w:rPr>
        <w:t xml:space="preserve"> Report 2006 [online],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2010, [cit. </w:t>
      </w:r>
      <w:proofErr w:type="gramStart"/>
      <w:r w:rsidRPr="009047B5">
        <w:rPr>
          <w:rStyle w:val="Odkazjemn"/>
        </w:rPr>
        <w:t>1.1.2010</w:t>
      </w:r>
      <w:proofErr w:type="gramEnd"/>
      <w:r w:rsidRPr="009047B5">
        <w:rPr>
          <w:rStyle w:val="Odkazjemn"/>
        </w:rPr>
        <w:t xml:space="preserve">]. Dostupný z </w:t>
      </w:r>
      <w:hyperlink r:id="rId26" w:history="1"/>
      <w:r w:rsidRPr="009047B5">
        <w:rPr>
          <w:rStyle w:val="Odkazjemn"/>
        </w:rPr>
        <w:t xml:space="preserve"> www &lt;</w:t>
      </w:r>
      <w:hyperlink r:id="rId27" w:history="1">
        <w:r w:rsidRPr="009047B5">
          <w:rPr>
            <w:rStyle w:val="Odkazjemn"/>
          </w:rPr>
          <w:t>http://www.ecb.europa.eu/pub/pdf/conrep/cr2006en.pdf</w:t>
        </w:r>
      </w:hyperlink>
      <w:r w:rsidRPr="009047B5">
        <w:rPr>
          <w:rStyle w:val="Odkazjemn"/>
        </w:rPr>
        <w:t>&gt;</w:t>
      </w:r>
    </w:p>
  </w:footnote>
  <w:footnote w:id="63">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Convergence</w:t>
      </w:r>
      <w:proofErr w:type="spellEnd"/>
      <w:r w:rsidRPr="009047B5">
        <w:rPr>
          <w:rStyle w:val="Odkazjemn"/>
        </w:rPr>
        <w:t xml:space="preserve"> Report, </w:t>
      </w:r>
      <w:proofErr w:type="spellStart"/>
      <w:r w:rsidRPr="009047B5">
        <w:rPr>
          <w:rStyle w:val="Odkazjemn"/>
        </w:rPr>
        <w:t>Convergence</w:t>
      </w:r>
      <w:proofErr w:type="spellEnd"/>
      <w:r w:rsidRPr="009047B5">
        <w:rPr>
          <w:rStyle w:val="Odkazjemn"/>
        </w:rPr>
        <w:t xml:space="preserve"> Report 2004 [online],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2010, [cit. </w:t>
      </w:r>
      <w:proofErr w:type="gramStart"/>
      <w:r w:rsidRPr="009047B5">
        <w:rPr>
          <w:rStyle w:val="Odkazjemn"/>
        </w:rPr>
        <w:t>1.1.2010</w:t>
      </w:r>
      <w:proofErr w:type="gramEnd"/>
      <w:r w:rsidRPr="009047B5">
        <w:rPr>
          <w:rStyle w:val="Odkazjemn"/>
        </w:rPr>
        <w:t xml:space="preserve">]. Dostupný z </w:t>
      </w:r>
      <w:hyperlink r:id="rId28" w:history="1"/>
      <w:r w:rsidRPr="009047B5">
        <w:rPr>
          <w:rStyle w:val="Odkazjemn"/>
        </w:rPr>
        <w:t xml:space="preserve"> www &lt;</w:t>
      </w:r>
      <w:hyperlink r:id="rId29" w:history="1">
        <w:r w:rsidRPr="009047B5">
          <w:rPr>
            <w:rStyle w:val="Odkazjemn"/>
          </w:rPr>
          <w:t>http://www.ecb.europa.eu/pub/pdf/conrep/cr2004en.pdf</w:t>
        </w:r>
      </w:hyperlink>
      <w:r w:rsidRPr="009047B5">
        <w:rPr>
          <w:rStyle w:val="Odkazjemn"/>
        </w:rPr>
        <w:t>&gt;</w:t>
      </w:r>
    </w:p>
  </w:footnote>
  <w:footnote w:id="64">
    <w:p w:rsidR="00FD7B45" w:rsidRDefault="00FD7B45" w:rsidP="00A80382">
      <w:pPr>
        <w:pStyle w:val="Textpoznpodarou"/>
      </w:pPr>
      <w:r w:rsidRPr="009047B5">
        <w:rPr>
          <w:rStyle w:val="Odkazjemn"/>
        </w:rPr>
        <w:footnoteRef/>
      </w:r>
      <w:r w:rsidRPr="009047B5">
        <w:rPr>
          <w:rStyle w:val="Odkazjemn"/>
        </w:rPr>
        <w:t xml:space="preserve"> </w:t>
      </w:r>
      <w:hyperlink r:id="rId30" w:tgtFrame="_blank" w:tooltip="Statistični urad Republike Slovenije" w:history="1">
        <w:r w:rsidRPr="009047B5">
          <w:rPr>
            <w:rStyle w:val="Odkazjemn"/>
          </w:rPr>
          <w:t>Statistični urad Republike Slovenije</w:t>
        </w:r>
      </w:hyperlink>
      <w:r w:rsidRPr="009047B5">
        <w:rPr>
          <w:rStyle w:val="Odkazjemn"/>
        </w:rPr>
        <w:t xml:space="preserve">, </w:t>
      </w:r>
      <w:proofErr w:type="spellStart"/>
      <w:r w:rsidRPr="009047B5">
        <w:rPr>
          <w:rStyle w:val="Odkazjemn"/>
        </w:rPr>
        <w:t>Nattional</w:t>
      </w:r>
      <w:proofErr w:type="spellEnd"/>
      <w:r w:rsidRPr="009047B5">
        <w:rPr>
          <w:rStyle w:val="Odkazjemn"/>
        </w:rPr>
        <w:t xml:space="preserve"> </w:t>
      </w:r>
      <w:proofErr w:type="spellStart"/>
      <w:r w:rsidRPr="009047B5">
        <w:rPr>
          <w:rStyle w:val="Odkazjemn"/>
        </w:rPr>
        <w:t>accounts</w:t>
      </w:r>
      <w:proofErr w:type="spellEnd"/>
      <w:r w:rsidRPr="009047B5">
        <w:rPr>
          <w:rStyle w:val="Odkazjemn"/>
        </w:rPr>
        <w:t xml:space="preserve"> [online] Reporting </w:t>
      </w:r>
      <w:proofErr w:type="spellStart"/>
      <w:r w:rsidRPr="009047B5">
        <w:rPr>
          <w:rStyle w:val="Odkazjemn"/>
        </w:rPr>
        <w:t>of</w:t>
      </w:r>
      <w:proofErr w:type="spellEnd"/>
      <w:r w:rsidRPr="009047B5">
        <w:rPr>
          <w:rStyle w:val="Odkazjemn"/>
        </w:rPr>
        <w:t xml:space="preserve"> </w:t>
      </w:r>
      <w:proofErr w:type="spellStart"/>
      <w:r w:rsidRPr="009047B5">
        <w:rPr>
          <w:rStyle w:val="Odkazjemn"/>
        </w:rPr>
        <w:t>Government</w:t>
      </w:r>
      <w:proofErr w:type="spellEnd"/>
      <w:r w:rsidRPr="009047B5">
        <w:rPr>
          <w:rStyle w:val="Odkazjemn"/>
        </w:rPr>
        <w:t xml:space="preserve"> deficit </w:t>
      </w:r>
      <w:proofErr w:type="spellStart"/>
      <w:r w:rsidRPr="009047B5">
        <w:rPr>
          <w:rStyle w:val="Odkazjemn"/>
        </w:rPr>
        <w:t>and</w:t>
      </w:r>
      <w:proofErr w:type="spellEnd"/>
      <w:r w:rsidRPr="009047B5">
        <w:rPr>
          <w:rStyle w:val="Odkazjemn"/>
        </w:rPr>
        <w:t xml:space="preserve"> </w:t>
      </w:r>
      <w:proofErr w:type="spellStart"/>
      <w:r w:rsidRPr="009047B5">
        <w:rPr>
          <w:rStyle w:val="Odkazjemn"/>
        </w:rPr>
        <w:t>debt</w:t>
      </w:r>
      <w:proofErr w:type="spellEnd"/>
      <w:r w:rsidRPr="009047B5">
        <w:rPr>
          <w:rStyle w:val="Odkazjemn"/>
        </w:rPr>
        <w:t xml:space="preserve"> </w:t>
      </w:r>
      <w:proofErr w:type="spellStart"/>
      <w:r w:rsidRPr="009047B5">
        <w:rPr>
          <w:rStyle w:val="Odkazjemn"/>
        </w:rPr>
        <w:t>levels</w:t>
      </w:r>
      <w:proofErr w:type="spellEnd"/>
      <w:r w:rsidRPr="009047B5">
        <w:rPr>
          <w:rStyle w:val="Odkazjemn"/>
        </w:rPr>
        <w:t xml:space="preserve">, </w:t>
      </w:r>
      <w:proofErr w:type="gramStart"/>
      <w:r w:rsidRPr="009047B5">
        <w:rPr>
          <w:rStyle w:val="Odkazjemn"/>
        </w:rPr>
        <w:t>2001-2005</w:t>
      </w:r>
      <w:proofErr w:type="gramEnd"/>
      <w:r w:rsidRPr="009047B5">
        <w:rPr>
          <w:rStyle w:val="Odkazjemn"/>
        </w:rPr>
        <w:t xml:space="preserve"> [cit. </w:t>
      </w:r>
      <w:proofErr w:type="gramStart"/>
      <w:r w:rsidRPr="009047B5">
        <w:rPr>
          <w:rStyle w:val="Odkazjemn"/>
        </w:rPr>
        <w:t>1.8.2010</w:t>
      </w:r>
      <w:proofErr w:type="gramEnd"/>
      <w:r w:rsidRPr="009047B5">
        <w:rPr>
          <w:rStyle w:val="Odkazjemn"/>
        </w:rPr>
        <w:t>] dostupný z www&lt;</w:t>
      </w:r>
      <w:hyperlink r:id="rId31" w:history="1">
        <w:r w:rsidRPr="009047B5">
          <w:rPr>
            <w:rStyle w:val="Odkazjemn"/>
          </w:rPr>
          <w:t>http://www.</w:t>
        </w:r>
        <w:proofErr w:type="spellStart"/>
        <w:r w:rsidRPr="009047B5">
          <w:rPr>
            <w:rStyle w:val="Odkazjemn"/>
          </w:rPr>
          <w:t>stat.si</w:t>
        </w:r>
        <w:proofErr w:type="spellEnd"/>
        <w:r w:rsidRPr="009047B5">
          <w:rPr>
            <w:rStyle w:val="Odkazjemn"/>
          </w:rPr>
          <w:t>/</w:t>
        </w:r>
        <w:proofErr w:type="spellStart"/>
        <w:r w:rsidRPr="009047B5">
          <w:rPr>
            <w:rStyle w:val="Odkazjemn"/>
          </w:rPr>
          <w:t>eng</w:t>
        </w:r>
        <w:proofErr w:type="spellEnd"/>
        <w:r w:rsidRPr="009047B5">
          <w:rPr>
            <w:rStyle w:val="Odkazjemn"/>
          </w:rPr>
          <w:t>/novice_</w:t>
        </w:r>
        <w:proofErr w:type="spellStart"/>
        <w:r w:rsidRPr="009047B5">
          <w:rPr>
            <w:rStyle w:val="Odkazjemn"/>
          </w:rPr>
          <w:t>poglej.asp</w:t>
        </w:r>
        <w:proofErr w:type="spellEnd"/>
        <w:r w:rsidRPr="009047B5">
          <w:rPr>
            <w:rStyle w:val="Odkazjemn"/>
          </w:rPr>
          <w:t>?ID=469</w:t>
        </w:r>
      </w:hyperlink>
      <w:r w:rsidRPr="009047B5">
        <w:rPr>
          <w:rStyle w:val="Odkazjemn"/>
        </w:rPr>
        <w:t>&gt;</w:t>
      </w:r>
    </w:p>
  </w:footnote>
  <w:footnote w:id="65">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Convergence</w:t>
      </w:r>
      <w:proofErr w:type="spellEnd"/>
      <w:r w:rsidRPr="009047B5">
        <w:rPr>
          <w:rStyle w:val="Odkazjemn"/>
        </w:rPr>
        <w:t xml:space="preserve"> Report, </w:t>
      </w:r>
      <w:proofErr w:type="spellStart"/>
      <w:r w:rsidRPr="009047B5">
        <w:rPr>
          <w:rStyle w:val="Odkazjemn"/>
        </w:rPr>
        <w:t>Convergence</w:t>
      </w:r>
      <w:proofErr w:type="spellEnd"/>
      <w:r w:rsidRPr="009047B5">
        <w:rPr>
          <w:rStyle w:val="Odkazjemn"/>
        </w:rPr>
        <w:t xml:space="preserve"> Report 2004 [online],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2010, [cit. </w:t>
      </w:r>
      <w:proofErr w:type="gramStart"/>
      <w:r w:rsidRPr="009047B5">
        <w:rPr>
          <w:rStyle w:val="Odkazjemn"/>
        </w:rPr>
        <w:t>1.1.2010</w:t>
      </w:r>
      <w:proofErr w:type="gramEnd"/>
      <w:r w:rsidRPr="009047B5">
        <w:rPr>
          <w:rStyle w:val="Odkazjemn"/>
        </w:rPr>
        <w:t xml:space="preserve">]. Dostupný z </w:t>
      </w:r>
      <w:hyperlink r:id="rId32" w:history="1"/>
      <w:r w:rsidRPr="009047B5">
        <w:rPr>
          <w:rStyle w:val="Odkazjemn"/>
        </w:rPr>
        <w:t xml:space="preserve"> www &lt;</w:t>
      </w:r>
      <w:hyperlink r:id="rId33" w:history="1">
        <w:r w:rsidRPr="009047B5">
          <w:rPr>
            <w:rStyle w:val="Odkazjemn"/>
          </w:rPr>
          <w:t>http://www.ecb.europa.eu/pub/pdf/conrep/cr2004en.pdf</w:t>
        </w:r>
      </w:hyperlink>
      <w:r w:rsidRPr="009047B5">
        <w:rPr>
          <w:rStyle w:val="Odkazjemn"/>
        </w:rPr>
        <w:t>&gt;</w:t>
      </w:r>
    </w:p>
  </w:footnote>
  <w:footnote w:id="66">
    <w:p w:rsidR="00FD7B45" w:rsidRPr="009047B5" w:rsidRDefault="00FD7B45" w:rsidP="00A80382">
      <w:pPr>
        <w:pStyle w:val="Textpoznpodarou"/>
        <w:rPr>
          <w:rStyle w:val="Odkazjemn"/>
        </w:rPr>
      </w:pPr>
      <w:r w:rsidRPr="009047B5">
        <w:rPr>
          <w:rStyle w:val="Odkazjemn"/>
        </w:rPr>
        <w:footnoteRef/>
      </w:r>
      <w:r w:rsidRPr="009047B5">
        <w:rPr>
          <w:rStyle w:val="Odkazjemn"/>
        </w:rPr>
        <w:t xml:space="preserve"> </w:t>
      </w:r>
      <w:proofErr w:type="spellStart"/>
      <w:r w:rsidRPr="009047B5">
        <w:rPr>
          <w:rStyle w:val="Odkazjemn"/>
        </w:rPr>
        <w:t>Convergence</w:t>
      </w:r>
      <w:proofErr w:type="spellEnd"/>
      <w:r w:rsidRPr="009047B5">
        <w:rPr>
          <w:rStyle w:val="Odkazjemn"/>
        </w:rPr>
        <w:t xml:space="preserve"> Report, </w:t>
      </w:r>
      <w:proofErr w:type="spellStart"/>
      <w:r w:rsidRPr="009047B5">
        <w:rPr>
          <w:rStyle w:val="Odkazjemn"/>
        </w:rPr>
        <w:t>Convergence</w:t>
      </w:r>
      <w:proofErr w:type="spellEnd"/>
      <w:r w:rsidRPr="009047B5">
        <w:rPr>
          <w:rStyle w:val="Odkazjemn"/>
        </w:rPr>
        <w:t xml:space="preserve"> Report 2006 [online],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2010, [cit. </w:t>
      </w:r>
      <w:proofErr w:type="gramStart"/>
      <w:r w:rsidRPr="009047B5">
        <w:rPr>
          <w:rStyle w:val="Odkazjemn"/>
        </w:rPr>
        <w:t>1.1.2010</w:t>
      </w:r>
      <w:proofErr w:type="gramEnd"/>
      <w:r w:rsidRPr="009047B5">
        <w:rPr>
          <w:rStyle w:val="Odkazjemn"/>
        </w:rPr>
        <w:t xml:space="preserve">]. Dostupný z </w:t>
      </w:r>
      <w:hyperlink r:id="rId34" w:history="1"/>
      <w:r w:rsidRPr="009047B5">
        <w:rPr>
          <w:rStyle w:val="Odkazjemn"/>
        </w:rPr>
        <w:t xml:space="preserve"> www &lt;</w:t>
      </w:r>
      <w:hyperlink r:id="rId35" w:history="1">
        <w:r w:rsidRPr="009047B5">
          <w:rPr>
            <w:rStyle w:val="Odkazjemn"/>
          </w:rPr>
          <w:t>http://www.ecb.europa.eu/pub/pdf/conrep/cr2006en.pdf</w:t>
        </w:r>
      </w:hyperlink>
      <w:r w:rsidRPr="009047B5">
        <w:rPr>
          <w:rStyle w:val="Odkazjemn"/>
        </w:rPr>
        <w:t>&gt;</w:t>
      </w:r>
    </w:p>
    <w:p w:rsidR="00FD7B45" w:rsidRDefault="00FD7B45" w:rsidP="00A80382">
      <w:pPr>
        <w:pStyle w:val="Textpoznpodarou"/>
      </w:pPr>
    </w:p>
  </w:footnote>
  <w:footnote w:id="67">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Parliament</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Economic</w:t>
      </w:r>
      <w:proofErr w:type="spellEnd"/>
      <w:r w:rsidRPr="009047B5">
        <w:rPr>
          <w:rStyle w:val="Odkazjemn"/>
        </w:rPr>
        <w:t xml:space="preserve"> </w:t>
      </w:r>
      <w:proofErr w:type="spellStart"/>
      <w:r w:rsidRPr="009047B5">
        <w:rPr>
          <w:rStyle w:val="Odkazjemn"/>
        </w:rPr>
        <w:t>and</w:t>
      </w:r>
      <w:proofErr w:type="spellEnd"/>
      <w:r w:rsidRPr="009047B5">
        <w:rPr>
          <w:rStyle w:val="Odkazjemn"/>
        </w:rPr>
        <w:t xml:space="preserve"> </w:t>
      </w:r>
      <w:proofErr w:type="spellStart"/>
      <w:r w:rsidRPr="009047B5">
        <w:rPr>
          <w:rStyle w:val="Odkazjemn"/>
        </w:rPr>
        <w:t>Social</w:t>
      </w:r>
      <w:proofErr w:type="spellEnd"/>
      <w:r w:rsidRPr="009047B5">
        <w:rPr>
          <w:rStyle w:val="Odkazjemn"/>
        </w:rPr>
        <w:t xml:space="preserve"> </w:t>
      </w:r>
      <w:proofErr w:type="spellStart"/>
      <w:r w:rsidRPr="009047B5">
        <w:rPr>
          <w:rStyle w:val="Odkazjemn"/>
        </w:rPr>
        <w:t>Committee</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Committee</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Regions</w:t>
      </w:r>
      <w:proofErr w:type="spellEnd"/>
      <w:r w:rsidRPr="009047B5">
        <w:rPr>
          <w:rStyle w:val="Odkazjemn"/>
        </w:rPr>
        <w:t xml:space="preserve"> </w:t>
      </w:r>
      <w:proofErr w:type="spellStart"/>
      <w:r w:rsidRPr="009047B5">
        <w:rPr>
          <w:rStyle w:val="Odkazjemn"/>
        </w:rPr>
        <w:t>and</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European</w:t>
      </w:r>
      <w:proofErr w:type="spellEnd"/>
      <w:r w:rsidRPr="009047B5">
        <w:rPr>
          <w:rStyle w:val="Odkazjemn"/>
        </w:rPr>
        <w:t xml:space="preserve"> </w:t>
      </w:r>
      <w:proofErr w:type="spellStart"/>
      <w:r w:rsidRPr="009047B5">
        <w:rPr>
          <w:rStyle w:val="Odkazjemn"/>
        </w:rPr>
        <w:t>Central</w:t>
      </w:r>
      <w:proofErr w:type="spellEnd"/>
      <w:r w:rsidRPr="009047B5">
        <w:rPr>
          <w:rStyle w:val="Odkazjemn"/>
        </w:rPr>
        <w:t xml:space="preserve"> </w:t>
      </w:r>
      <w:proofErr w:type="gramStart"/>
      <w:r w:rsidRPr="009047B5">
        <w:rPr>
          <w:rStyle w:val="Odkazjemn"/>
        </w:rPr>
        <w:t>Bank - [online</w:t>
      </w:r>
      <w:proofErr w:type="gramEnd"/>
      <w:r w:rsidRPr="009047B5">
        <w:rPr>
          <w:rStyle w:val="Odkazjemn"/>
        </w:rPr>
        <w:t xml:space="preserv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2010, </w:t>
      </w:r>
      <w:r>
        <w:rPr>
          <w:rStyle w:val="Odkazjemn"/>
        </w:rPr>
        <w:t>[cit.2009-11-30]. Dostupný z  &lt;</w:t>
      </w:r>
      <w:r w:rsidRPr="009047B5">
        <w:rPr>
          <w:rStyle w:val="Odkazjemn"/>
        </w:rPr>
        <w:t>http://</w:t>
      </w:r>
      <w:proofErr w:type="gramStart"/>
      <w:r w:rsidRPr="009047B5">
        <w:rPr>
          <w:rStyle w:val="Odkazjemn"/>
        </w:rPr>
        <w:t xml:space="preserve">eur- </w:t>
      </w:r>
      <w:proofErr w:type="spellStart"/>
      <w:r w:rsidRPr="009047B5">
        <w:rPr>
          <w:rStyle w:val="Odkazjemn"/>
        </w:rPr>
        <w:t>x.europa</w:t>
      </w:r>
      <w:proofErr w:type="gramEnd"/>
      <w:r w:rsidRPr="009047B5">
        <w:rPr>
          <w:rStyle w:val="Odkazjemn"/>
        </w:rPr>
        <w:t>.eu</w:t>
      </w:r>
      <w:proofErr w:type="spellEnd"/>
      <w:r w:rsidRPr="009047B5">
        <w:rPr>
          <w:rStyle w:val="Odkazjemn"/>
        </w:rPr>
        <w:t>/</w:t>
      </w:r>
      <w:proofErr w:type="spellStart"/>
      <w:r w:rsidRPr="009047B5">
        <w:rPr>
          <w:rStyle w:val="Odkazjemn"/>
        </w:rPr>
        <w:t>LexUriServ</w:t>
      </w:r>
      <w:proofErr w:type="spellEnd"/>
      <w:r w:rsidRPr="009047B5">
        <w:rPr>
          <w:rStyle w:val="Odkazjemn"/>
        </w:rPr>
        <w:t xml:space="preserve">/ </w:t>
      </w:r>
      <w:proofErr w:type="spellStart"/>
      <w:r w:rsidRPr="009047B5">
        <w:rPr>
          <w:rStyle w:val="Odkazjemn"/>
        </w:rPr>
        <w:t>LexUriServ.do</w:t>
      </w:r>
      <w:proofErr w:type="spellEnd"/>
      <w:r w:rsidRPr="009047B5">
        <w:rPr>
          <w:rStyle w:val="Odkazjemn"/>
        </w:rPr>
        <w:t>?</w:t>
      </w:r>
      <w:proofErr w:type="spellStart"/>
      <w:r w:rsidRPr="009047B5">
        <w:rPr>
          <w:rStyle w:val="Odkazjemn"/>
        </w:rPr>
        <w:t>uri</w:t>
      </w:r>
      <w:proofErr w:type="spellEnd"/>
      <w:r w:rsidRPr="009047B5">
        <w:rPr>
          <w:rStyle w:val="Odkazjemn"/>
        </w:rPr>
        <w:t xml:space="preserve"> =</w:t>
      </w:r>
      <w:proofErr w:type="spellStart"/>
      <w:r w:rsidRPr="009047B5">
        <w:rPr>
          <w:rStyle w:val="Odkazjemn"/>
        </w:rPr>
        <w:t>COM</w:t>
      </w:r>
      <w:proofErr w:type="spellEnd"/>
      <w:r w:rsidRPr="009047B5">
        <w:rPr>
          <w:rStyle w:val="Odkazjemn"/>
        </w:rPr>
        <w:t>:2007:0233:FIN:</w:t>
      </w:r>
      <w:proofErr w:type="spellStart"/>
      <w:r w:rsidRPr="009047B5">
        <w:rPr>
          <w:rStyle w:val="Odkazjemn"/>
        </w:rPr>
        <w:t>EN</w:t>
      </w:r>
      <w:proofErr w:type="spellEnd"/>
      <w:r w:rsidRPr="009047B5">
        <w:rPr>
          <w:rStyle w:val="Odkazjemn"/>
        </w:rPr>
        <w:t>:</w:t>
      </w:r>
      <w:proofErr w:type="spellStart"/>
      <w:r w:rsidRPr="009047B5">
        <w:rPr>
          <w:rStyle w:val="Odkazjemn"/>
        </w:rPr>
        <w:t>PDF</w:t>
      </w:r>
      <w:proofErr w:type="spellEnd"/>
      <w:r>
        <w:rPr>
          <w:rStyle w:val="Odkazjemn"/>
        </w:rPr>
        <w:t>&gt;</w:t>
      </w:r>
    </w:p>
  </w:footnote>
  <w:footnote w:id="68">
    <w:p w:rsidR="00FD7B45" w:rsidRDefault="00FD7B45" w:rsidP="00A80382">
      <w:pPr>
        <w:pStyle w:val="Textpoznpodarou"/>
      </w:pPr>
      <w:r w:rsidRPr="009047B5">
        <w:rPr>
          <w:rStyle w:val="Odkazjemn"/>
        </w:rPr>
        <w:footnoteRef/>
      </w:r>
      <w:r w:rsidRPr="009047B5">
        <w:rPr>
          <w:rStyle w:val="Odkazjemn"/>
        </w:rPr>
        <w:t xml:space="preserve"> </w:t>
      </w:r>
      <w:proofErr w:type="spellStart"/>
      <w:r w:rsidRPr="009047B5">
        <w:rPr>
          <w:rStyle w:val="Odkazjemn"/>
        </w:rPr>
        <w:t>Convergence</w:t>
      </w:r>
      <w:proofErr w:type="spellEnd"/>
      <w:r w:rsidRPr="009047B5">
        <w:rPr>
          <w:rStyle w:val="Odkazjemn"/>
        </w:rPr>
        <w:t xml:space="preserve"> Report, </w:t>
      </w:r>
      <w:proofErr w:type="spellStart"/>
      <w:r w:rsidRPr="009047B5">
        <w:rPr>
          <w:rStyle w:val="Odkazjemn"/>
        </w:rPr>
        <w:t>Convergence</w:t>
      </w:r>
      <w:proofErr w:type="spellEnd"/>
      <w:r w:rsidRPr="009047B5">
        <w:rPr>
          <w:rStyle w:val="Odkazjemn"/>
        </w:rPr>
        <w:t xml:space="preserve"> Report 2004 [online],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2010,[cit. </w:t>
      </w:r>
      <w:proofErr w:type="gramStart"/>
      <w:r w:rsidRPr="009047B5">
        <w:rPr>
          <w:rStyle w:val="Odkazjemn"/>
        </w:rPr>
        <w:t>1.1.2010</w:t>
      </w:r>
      <w:proofErr w:type="gramEnd"/>
      <w:r w:rsidRPr="009047B5">
        <w:rPr>
          <w:rStyle w:val="Odkazjemn"/>
        </w:rPr>
        <w:t xml:space="preserve">]. Dostupný z </w:t>
      </w:r>
      <w:hyperlink r:id="rId36" w:history="1"/>
      <w:r w:rsidRPr="009047B5">
        <w:rPr>
          <w:rStyle w:val="Odkazjemn"/>
        </w:rPr>
        <w:t xml:space="preserve"> www &lt;</w:t>
      </w:r>
      <w:hyperlink r:id="rId37" w:history="1">
        <w:r w:rsidRPr="009047B5">
          <w:rPr>
            <w:rStyle w:val="Odkazjemn"/>
          </w:rPr>
          <w:t>http://www.ecb.europa.eu/pub/pdf/conrep/cr2004en.pdf</w:t>
        </w:r>
      </w:hyperlink>
      <w:r w:rsidRPr="009047B5">
        <w:rPr>
          <w:rStyle w:val="Odkazjemn"/>
        </w:rPr>
        <w:t>&gt;</w:t>
      </w:r>
    </w:p>
  </w:footnote>
  <w:footnote w:id="69">
    <w:p w:rsidR="00FD7B45" w:rsidRPr="009047B5" w:rsidRDefault="00FD7B45" w:rsidP="00A80382">
      <w:pPr>
        <w:pStyle w:val="Textpoznpodarou"/>
        <w:rPr>
          <w:rStyle w:val="Odkazjemn"/>
        </w:rPr>
      </w:pPr>
      <w:r w:rsidRPr="009047B5">
        <w:rPr>
          <w:rStyle w:val="Odkazjemn"/>
        </w:rPr>
        <w:footnoteRef/>
      </w:r>
      <w:r w:rsidRPr="009047B5">
        <w:rPr>
          <w:rStyle w:val="Odkazjemn"/>
        </w:rPr>
        <w:t xml:space="preserve"> </w:t>
      </w:r>
      <w:proofErr w:type="spellStart"/>
      <w:r w:rsidRPr="009047B5">
        <w:rPr>
          <w:rStyle w:val="Odkazjemn"/>
        </w:rPr>
        <w:t>Convergence</w:t>
      </w:r>
      <w:proofErr w:type="spellEnd"/>
      <w:r w:rsidRPr="009047B5">
        <w:rPr>
          <w:rStyle w:val="Odkazjemn"/>
        </w:rPr>
        <w:t xml:space="preserve"> Report, </w:t>
      </w:r>
      <w:proofErr w:type="spellStart"/>
      <w:r w:rsidRPr="009047B5">
        <w:rPr>
          <w:rStyle w:val="Odkazjemn"/>
        </w:rPr>
        <w:t>Convergence</w:t>
      </w:r>
      <w:proofErr w:type="spellEnd"/>
      <w:r w:rsidRPr="009047B5">
        <w:rPr>
          <w:rStyle w:val="Odkazjemn"/>
        </w:rPr>
        <w:t xml:space="preserve"> Report 2006 [online], </w:t>
      </w:r>
      <w:proofErr w:type="spellStart"/>
      <w:r w:rsidRPr="009047B5">
        <w:rPr>
          <w:rStyle w:val="Odkazjemn"/>
        </w:rPr>
        <w:t>The</w:t>
      </w:r>
      <w:proofErr w:type="spellEnd"/>
      <w:r w:rsidRPr="009047B5">
        <w:rPr>
          <w:rStyle w:val="Odkazjemn"/>
        </w:rPr>
        <w:t xml:space="preserve"> </w:t>
      </w:r>
      <w:proofErr w:type="spellStart"/>
      <w:r w:rsidRPr="009047B5">
        <w:rPr>
          <w:rStyle w:val="Odkazjemn"/>
        </w:rPr>
        <w:t>introduction</w:t>
      </w:r>
      <w:proofErr w:type="spellEnd"/>
      <w:r w:rsidRPr="009047B5">
        <w:rPr>
          <w:rStyle w:val="Odkazjemn"/>
        </w:rPr>
        <w:t xml:space="preserve"> </w:t>
      </w:r>
      <w:proofErr w:type="spellStart"/>
      <w:r w:rsidRPr="009047B5">
        <w:rPr>
          <w:rStyle w:val="Odkazjemn"/>
        </w:rPr>
        <w:t>of</w:t>
      </w:r>
      <w:proofErr w:type="spellEnd"/>
      <w:r w:rsidRPr="009047B5">
        <w:rPr>
          <w:rStyle w:val="Odkazjemn"/>
        </w:rPr>
        <w:t xml:space="preserve"> </w:t>
      </w:r>
      <w:proofErr w:type="spellStart"/>
      <w:r w:rsidRPr="009047B5">
        <w:rPr>
          <w:rStyle w:val="Odkazjemn"/>
        </w:rPr>
        <w:t>the</w:t>
      </w:r>
      <w:proofErr w:type="spellEnd"/>
      <w:r w:rsidRPr="009047B5">
        <w:rPr>
          <w:rStyle w:val="Odkazjemn"/>
        </w:rPr>
        <w:t xml:space="preserve"> euro in </w:t>
      </w:r>
      <w:proofErr w:type="spellStart"/>
      <w:r w:rsidRPr="009047B5">
        <w:rPr>
          <w:rStyle w:val="Odkazjemn"/>
        </w:rPr>
        <w:t>Slovenia</w:t>
      </w:r>
      <w:proofErr w:type="spellEnd"/>
      <w:r w:rsidRPr="009047B5">
        <w:rPr>
          <w:rStyle w:val="Odkazjemn"/>
        </w:rPr>
        <w:t xml:space="preserve">, </w:t>
      </w:r>
      <w:proofErr w:type="gramStart"/>
      <w:r w:rsidRPr="009047B5">
        <w:rPr>
          <w:rStyle w:val="Odkazjemn"/>
        </w:rPr>
        <w:t>2010 ,[cit</w:t>
      </w:r>
      <w:proofErr w:type="gramEnd"/>
      <w:r w:rsidRPr="009047B5">
        <w:rPr>
          <w:rStyle w:val="Odkazjemn"/>
        </w:rPr>
        <w:t xml:space="preserve">. </w:t>
      </w:r>
      <w:proofErr w:type="gramStart"/>
      <w:r w:rsidRPr="009047B5">
        <w:rPr>
          <w:rStyle w:val="Odkazjemn"/>
        </w:rPr>
        <w:t>1.1.2010</w:t>
      </w:r>
      <w:proofErr w:type="gramEnd"/>
      <w:r w:rsidRPr="009047B5">
        <w:rPr>
          <w:rStyle w:val="Odkazjemn"/>
        </w:rPr>
        <w:t xml:space="preserve">]. Dostupný z </w:t>
      </w:r>
      <w:hyperlink r:id="rId38" w:history="1"/>
      <w:r w:rsidRPr="009047B5">
        <w:rPr>
          <w:rStyle w:val="Odkazjemn"/>
        </w:rPr>
        <w:t xml:space="preserve"> www &lt;</w:t>
      </w:r>
      <w:hyperlink r:id="rId39" w:history="1">
        <w:r w:rsidRPr="009047B5">
          <w:rPr>
            <w:rStyle w:val="Odkazjemn"/>
          </w:rPr>
          <w:t>http://www.ecb.europa.eu/pub/pdf/conrep/cr2006en.pdf</w:t>
        </w:r>
      </w:hyperlink>
      <w:r w:rsidRPr="009047B5">
        <w:rPr>
          <w:rStyle w:val="Odkazjemn"/>
        </w:rPr>
        <w:t>&gt;</w:t>
      </w:r>
    </w:p>
    <w:p w:rsidR="00FD7B45" w:rsidRDefault="00FD7B45" w:rsidP="00A80382">
      <w:pPr>
        <w:pStyle w:val="Textpoznpodarou"/>
      </w:pPr>
    </w:p>
  </w:footnote>
  <w:footnote w:id="70">
    <w:p w:rsidR="00FD7B45" w:rsidRDefault="00FD7B45" w:rsidP="00BF1E38">
      <w:pPr>
        <w:pStyle w:val="Textpoznpodarou"/>
      </w:pPr>
      <w:r w:rsidRPr="00E57F0C">
        <w:rPr>
          <w:rStyle w:val="Odkazjemn"/>
        </w:rPr>
        <w:footnoteRef/>
      </w:r>
      <w:r w:rsidRPr="00E57F0C">
        <w:rPr>
          <w:rStyle w:val="Odkazjemn"/>
        </w:rPr>
        <w:t xml:space="preserve"> MACH, M.., Makroekonomie II., Slaný, </w:t>
      </w:r>
      <w:proofErr w:type="spellStart"/>
      <w:r w:rsidRPr="00E57F0C">
        <w:rPr>
          <w:rStyle w:val="Odkazjemn"/>
        </w:rPr>
        <w:t>Melandrium</w:t>
      </w:r>
      <w:proofErr w:type="spellEnd"/>
      <w:r w:rsidRPr="00E57F0C">
        <w:rPr>
          <w:rStyle w:val="Odkazjemn"/>
        </w:rPr>
        <w:t xml:space="preserve">, 3. </w:t>
      </w:r>
      <w:proofErr w:type="spellStart"/>
      <w:r w:rsidRPr="00E57F0C">
        <w:rPr>
          <w:rStyle w:val="Odkazjemn"/>
        </w:rPr>
        <w:t>Vyd</w:t>
      </w:r>
      <w:proofErr w:type="spellEnd"/>
      <w:r w:rsidRPr="00E57F0C">
        <w:rPr>
          <w:rStyle w:val="Odkazjemn"/>
        </w:rPr>
        <w:t xml:space="preserve">. 2001, 367 s, </w:t>
      </w:r>
      <w:proofErr w:type="spellStart"/>
      <w:r w:rsidRPr="00E57F0C">
        <w:rPr>
          <w:rStyle w:val="Odkazjemn"/>
        </w:rPr>
        <w:t>ISBN</w:t>
      </w:r>
      <w:proofErr w:type="spellEnd"/>
      <w:r w:rsidRPr="00E57F0C">
        <w:rPr>
          <w:rStyle w:val="Odkazjemn"/>
        </w:rPr>
        <w:t xml:space="preserve"> </w:t>
      </w:r>
      <w:proofErr w:type="gramStart"/>
      <w:r w:rsidRPr="00E57F0C">
        <w:rPr>
          <w:rStyle w:val="Odkazjemn"/>
        </w:rPr>
        <w:t>80-86175</w:t>
      </w:r>
      <w:proofErr w:type="gramEnd"/>
      <w:r w:rsidRPr="00E57F0C">
        <w:rPr>
          <w:rStyle w:val="Odkazjemn"/>
        </w:rPr>
        <w:t>-18-9</w:t>
      </w:r>
    </w:p>
  </w:footnote>
  <w:footnote w:id="71">
    <w:p w:rsidR="00FD7B45" w:rsidRPr="00E57F0C" w:rsidRDefault="00FD7B45" w:rsidP="00BF1E38">
      <w:pPr>
        <w:pStyle w:val="Bezmezer"/>
        <w:spacing w:line="240" w:lineRule="auto"/>
        <w:rPr>
          <w:rStyle w:val="Odkazjemn"/>
          <w:i w:val="0"/>
        </w:rPr>
      </w:pPr>
      <w:r w:rsidRPr="00E57F0C">
        <w:rPr>
          <w:rStyle w:val="Odkazjemn"/>
          <w:i w:val="0"/>
        </w:rPr>
        <w:footnoteRef/>
      </w:r>
      <w:r w:rsidRPr="00E57F0C">
        <w:rPr>
          <w:rStyle w:val="Odkazjemn"/>
          <w:i w:val="0"/>
        </w:rPr>
        <w:t xml:space="preserve"> Statistický Národní úřad [online], Národní účty, 2010, [cit. </w:t>
      </w:r>
      <w:proofErr w:type="gramStart"/>
      <w:r w:rsidRPr="00E57F0C">
        <w:rPr>
          <w:rStyle w:val="Odkazjemn"/>
          <w:i w:val="0"/>
        </w:rPr>
        <w:t>2010-10</w:t>
      </w:r>
      <w:proofErr w:type="gramEnd"/>
      <w:r w:rsidRPr="00E57F0C">
        <w:rPr>
          <w:rStyle w:val="Odkazjemn"/>
          <w:i w:val="0"/>
        </w:rPr>
        <w:t>-30]. Dostupný z &lt;http</w:t>
      </w:r>
      <w:r>
        <w:rPr>
          <w:rStyle w:val="Odkazjemn"/>
          <w:i w:val="0"/>
        </w:rPr>
        <w:t>//www.</w:t>
      </w:r>
      <w:proofErr w:type="spellStart"/>
      <w:r>
        <w:rPr>
          <w:rStyle w:val="Odkazjemn"/>
          <w:i w:val="0"/>
        </w:rPr>
        <w:t>stat.si</w:t>
      </w:r>
      <w:proofErr w:type="spellEnd"/>
      <w:r>
        <w:rPr>
          <w:rStyle w:val="Odkazjemn"/>
          <w:i w:val="0"/>
        </w:rPr>
        <w:t>-</w:t>
      </w:r>
      <w:proofErr w:type="spellStart"/>
      <w:r>
        <w:rPr>
          <w:rStyle w:val="Odkazjemn"/>
          <w:i w:val="0"/>
        </w:rPr>
        <w:t>pxeb</w:t>
      </w:r>
      <w:proofErr w:type="spellEnd"/>
      <w:r>
        <w:rPr>
          <w:rStyle w:val="Odkazjemn"/>
          <w:i w:val="0"/>
        </w:rPr>
        <w:t xml:space="preserve"> </w:t>
      </w:r>
      <w:proofErr w:type="spellStart"/>
      <w:r w:rsidRPr="00E57F0C">
        <w:rPr>
          <w:rStyle w:val="Odkazjemn"/>
          <w:i w:val="0"/>
        </w:rPr>
        <w:t>Database</w:t>
      </w:r>
      <w:proofErr w:type="spellEnd"/>
      <w:r w:rsidRPr="00E57F0C">
        <w:rPr>
          <w:rStyle w:val="Odkazjemn"/>
          <w:i w:val="0"/>
        </w:rPr>
        <w:t>-</w:t>
      </w:r>
      <w:proofErr w:type="spellStart"/>
      <w:r w:rsidRPr="00E57F0C">
        <w:rPr>
          <w:rStyle w:val="Odkazjemn"/>
          <w:i w:val="0"/>
        </w:rPr>
        <w:t>Ekonomsko</w:t>
      </w:r>
      <w:proofErr w:type="spellEnd"/>
      <w:r w:rsidRPr="00E57F0C">
        <w:rPr>
          <w:rStyle w:val="Odkazjemn"/>
          <w:i w:val="0"/>
        </w:rPr>
        <w:t>-</w:t>
      </w:r>
      <w:proofErr w:type="spellStart"/>
      <w:r w:rsidRPr="00E57F0C">
        <w:rPr>
          <w:rStyle w:val="Odkazjemn"/>
          <w:i w:val="0"/>
        </w:rPr>
        <w:t>Ekonomsko.asp</w:t>
      </w:r>
      <w:proofErr w:type="spellEnd"/>
      <w:r w:rsidRPr="00E57F0C">
        <w:rPr>
          <w:rStyle w:val="Odkazjemn"/>
          <w:i w:val="0"/>
        </w:rPr>
        <w:t>&gt;</w:t>
      </w:r>
    </w:p>
    <w:p w:rsidR="00FD7B45" w:rsidRDefault="00FD7B45" w:rsidP="00BF1E38">
      <w:pPr>
        <w:pStyle w:val="Bezmezer"/>
        <w:spacing w:line="240" w:lineRule="auto"/>
      </w:pPr>
    </w:p>
  </w:footnote>
  <w:footnote w:id="72">
    <w:p w:rsidR="00FD7B45" w:rsidRPr="00964FA0" w:rsidRDefault="00FD7B45" w:rsidP="00BF1E38">
      <w:pPr>
        <w:spacing w:line="240" w:lineRule="auto"/>
        <w:rPr>
          <w:rStyle w:val="Odkazjemn"/>
        </w:rPr>
      </w:pPr>
      <w:r w:rsidRPr="00964FA0">
        <w:rPr>
          <w:rStyle w:val="Odkazjemn"/>
        </w:rPr>
        <w:footnoteRef/>
      </w:r>
      <w:r w:rsidRPr="00964FA0">
        <w:rPr>
          <w:rStyle w:val="Odkazjemn"/>
        </w:rPr>
        <w:t xml:space="preserve"> Statistický Národní úřad [online], Národní účty, 2010, [cit. </w:t>
      </w:r>
      <w:proofErr w:type="gramStart"/>
      <w:r w:rsidRPr="00964FA0">
        <w:rPr>
          <w:rStyle w:val="Odkazjemn"/>
        </w:rPr>
        <w:t>2010-10</w:t>
      </w:r>
      <w:proofErr w:type="gramEnd"/>
      <w:r w:rsidRPr="00964FA0">
        <w:rPr>
          <w:rStyle w:val="Odkazjemn"/>
        </w:rPr>
        <w:t>-30]. Dostupný z &lt;http//www.</w:t>
      </w:r>
      <w:proofErr w:type="spellStart"/>
      <w:r w:rsidRPr="00964FA0">
        <w:rPr>
          <w:rStyle w:val="Odkazjemn"/>
        </w:rPr>
        <w:t>stat.si</w:t>
      </w:r>
      <w:proofErr w:type="spellEnd"/>
      <w:r w:rsidRPr="00964FA0">
        <w:rPr>
          <w:rStyle w:val="Odkazjemn"/>
        </w:rPr>
        <w:t>-</w:t>
      </w:r>
      <w:proofErr w:type="spellStart"/>
      <w:r w:rsidRPr="00964FA0">
        <w:rPr>
          <w:rStyle w:val="Odkazjemn"/>
        </w:rPr>
        <w:t>pxeb</w:t>
      </w:r>
      <w:proofErr w:type="spellEnd"/>
      <w:r w:rsidRPr="00964FA0">
        <w:rPr>
          <w:rStyle w:val="Odkazjemn"/>
        </w:rPr>
        <w:t xml:space="preserve"> </w:t>
      </w:r>
      <w:proofErr w:type="spellStart"/>
      <w:r w:rsidRPr="00964FA0">
        <w:rPr>
          <w:rStyle w:val="Odkazjemn"/>
        </w:rPr>
        <w:t>Database</w:t>
      </w:r>
      <w:proofErr w:type="spellEnd"/>
      <w:r w:rsidRPr="00964FA0">
        <w:rPr>
          <w:rStyle w:val="Odkazjemn"/>
        </w:rPr>
        <w:t>-</w:t>
      </w:r>
      <w:proofErr w:type="spellStart"/>
      <w:r w:rsidRPr="00964FA0">
        <w:rPr>
          <w:rStyle w:val="Odkazjemn"/>
        </w:rPr>
        <w:t>Ekonomsko</w:t>
      </w:r>
      <w:proofErr w:type="spellEnd"/>
      <w:r w:rsidRPr="00964FA0">
        <w:rPr>
          <w:rStyle w:val="Odkazjemn"/>
        </w:rPr>
        <w:t>-</w:t>
      </w:r>
      <w:proofErr w:type="spellStart"/>
      <w:r w:rsidRPr="00964FA0">
        <w:rPr>
          <w:rStyle w:val="Odkazjemn"/>
        </w:rPr>
        <w:t>Ekonomsko.asp</w:t>
      </w:r>
      <w:proofErr w:type="spellEnd"/>
      <w:r w:rsidRPr="00964FA0">
        <w:rPr>
          <w:rStyle w:val="Odkazjemn"/>
        </w:rPr>
        <w:t>&gt;</w:t>
      </w:r>
    </w:p>
    <w:p w:rsidR="00FD7B45" w:rsidRDefault="00FD7B45" w:rsidP="00BF1E38">
      <w:pPr>
        <w:spacing w:line="240" w:lineRule="auto"/>
      </w:pPr>
    </w:p>
  </w:footnote>
  <w:footnote w:id="73">
    <w:p w:rsidR="00FD7B45" w:rsidRDefault="00FD7B45" w:rsidP="00BF1E38">
      <w:pPr>
        <w:pStyle w:val="Textpoznpodarou"/>
      </w:pPr>
      <w:r w:rsidRPr="00964FA0">
        <w:rPr>
          <w:rStyle w:val="Odkazjemn"/>
        </w:rPr>
        <w:footnoteRef/>
      </w:r>
      <w:r w:rsidRPr="00964FA0">
        <w:rPr>
          <w:rStyle w:val="Odkazjemn"/>
        </w:rPr>
        <w:t xml:space="preserve"> Statistický Národní úřad [online], Národní účty, 2010, [cit. </w:t>
      </w:r>
      <w:proofErr w:type="gramStart"/>
      <w:r w:rsidRPr="00964FA0">
        <w:rPr>
          <w:rStyle w:val="Odkazjemn"/>
        </w:rPr>
        <w:t>2010-10</w:t>
      </w:r>
      <w:proofErr w:type="gramEnd"/>
      <w:r w:rsidRPr="00964FA0">
        <w:rPr>
          <w:rStyle w:val="Odkazjemn"/>
        </w:rPr>
        <w:t>-30]. Dostupný z &lt;http//www.</w:t>
      </w:r>
      <w:proofErr w:type="spellStart"/>
      <w:r w:rsidRPr="00964FA0">
        <w:rPr>
          <w:rStyle w:val="Odkazjemn"/>
        </w:rPr>
        <w:t>stat.si</w:t>
      </w:r>
      <w:proofErr w:type="spellEnd"/>
      <w:r w:rsidRPr="00964FA0">
        <w:rPr>
          <w:rStyle w:val="Odkazjemn"/>
        </w:rPr>
        <w:t>-</w:t>
      </w:r>
      <w:proofErr w:type="spellStart"/>
      <w:r w:rsidRPr="00964FA0">
        <w:rPr>
          <w:rStyle w:val="Odkazjemn"/>
        </w:rPr>
        <w:t>pxeb</w:t>
      </w:r>
      <w:proofErr w:type="spellEnd"/>
      <w:r w:rsidRPr="00964FA0">
        <w:rPr>
          <w:rStyle w:val="Odkazjemn"/>
        </w:rPr>
        <w:t xml:space="preserve"> </w:t>
      </w:r>
      <w:proofErr w:type="spellStart"/>
      <w:r w:rsidRPr="00964FA0">
        <w:rPr>
          <w:rStyle w:val="Odkazjemn"/>
        </w:rPr>
        <w:t>Database</w:t>
      </w:r>
      <w:proofErr w:type="spellEnd"/>
      <w:r w:rsidRPr="00964FA0">
        <w:rPr>
          <w:rStyle w:val="Odkazjemn"/>
        </w:rPr>
        <w:t>-</w:t>
      </w:r>
      <w:proofErr w:type="spellStart"/>
      <w:r w:rsidRPr="00964FA0">
        <w:rPr>
          <w:rStyle w:val="Odkazjemn"/>
        </w:rPr>
        <w:t>Ekonomsko</w:t>
      </w:r>
      <w:proofErr w:type="spellEnd"/>
      <w:r w:rsidRPr="00964FA0">
        <w:rPr>
          <w:rStyle w:val="Odkazjemn"/>
        </w:rPr>
        <w:t>-</w:t>
      </w:r>
      <w:proofErr w:type="spellStart"/>
      <w:r w:rsidRPr="00964FA0">
        <w:rPr>
          <w:rStyle w:val="Odkazjemn"/>
        </w:rPr>
        <w:t>Ekonomsko.asp</w:t>
      </w:r>
      <w:proofErr w:type="spellEnd"/>
      <w:r w:rsidRPr="00964FA0">
        <w:rPr>
          <w:rStyle w:val="Odkazjemn"/>
        </w:rPr>
        <w:t>&gt;</w:t>
      </w:r>
    </w:p>
  </w:footnote>
  <w:footnote w:id="74">
    <w:p w:rsidR="00FD7B45" w:rsidRDefault="00FD7B45" w:rsidP="00BF1E38">
      <w:pPr>
        <w:pStyle w:val="Textpoznpodarou"/>
      </w:pPr>
      <w:r w:rsidRPr="00974B18">
        <w:rPr>
          <w:rStyle w:val="Odkazjemn"/>
        </w:rPr>
        <w:footnoteRef/>
      </w:r>
      <w:r w:rsidRPr="00974B18">
        <w:rPr>
          <w:rStyle w:val="Odkazjemn"/>
        </w:rPr>
        <w:t xml:space="preserve"> Uvedeno výše</w:t>
      </w:r>
    </w:p>
  </w:footnote>
  <w:footnote w:id="75">
    <w:p w:rsidR="00FD7B45" w:rsidRDefault="00FD7B45" w:rsidP="00BF1E38">
      <w:pPr>
        <w:pStyle w:val="Textpoznpodarou"/>
      </w:pPr>
      <w:r w:rsidRPr="00DC18A0">
        <w:rPr>
          <w:rStyle w:val="Odkazjemn"/>
        </w:rPr>
        <w:footnoteRef/>
      </w:r>
      <w:r w:rsidRPr="00DC18A0">
        <w:rPr>
          <w:rStyle w:val="Odkazjemn"/>
        </w:rPr>
        <w:t xml:space="preserve"> Statistický Národní úřad [online], Národní účty, 2010, [cit. </w:t>
      </w:r>
      <w:proofErr w:type="gramStart"/>
      <w:r w:rsidRPr="00DC18A0">
        <w:rPr>
          <w:rStyle w:val="Odkazjemn"/>
        </w:rPr>
        <w:t>2010-10</w:t>
      </w:r>
      <w:proofErr w:type="gramEnd"/>
      <w:r w:rsidRPr="00DC18A0">
        <w:rPr>
          <w:rStyle w:val="Odkazjemn"/>
        </w:rPr>
        <w:t>-30]. Dostupný z &lt;http//www.</w:t>
      </w:r>
      <w:proofErr w:type="spellStart"/>
      <w:r w:rsidRPr="00DC18A0">
        <w:rPr>
          <w:rStyle w:val="Odkazjemn"/>
        </w:rPr>
        <w:t>stat.si</w:t>
      </w:r>
      <w:proofErr w:type="spellEnd"/>
      <w:r w:rsidRPr="00DC18A0">
        <w:rPr>
          <w:rStyle w:val="Odkazjemn"/>
        </w:rPr>
        <w:t>-</w:t>
      </w:r>
      <w:proofErr w:type="spellStart"/>
      <w:r w:rsidRPr="00DC18A0">
        <w:rPr>
          <w:rStyle w:val="Odkazjemn"/>
        </w:rPr>
        <w:t>pxeb</w:t>
      </w:r>
      <w:proofErr w:type="spellEnd"/>
      <w:r w:rsidRPr="00DC18A0">
        <w:rPr>
          <w:rStyle w:val="Odkazjemn"/>
        </w:rPr>
        <w:t xml:space="preserve"> </w:t>
      </w:r>
      <w:proofErr w:type="spellStart"/>
      <w:r w:rsidRPr="00DC18A0">
        <w:rPr>
          <w:rStyle w:val="Odkazjemn"/>
        </w:rPr>
        <w:t>Database</w:t>
      </w:r>
      <w:proofErr w:type="spellEnd"/>
      <w:r w:rsidRPr="00DC18A0">
        <w:rPr>
          <w:rStyle w:val="Odkazjemn"/>
        </w:rPr>
        <w:t>-</w:t>
      </w:r>
      <w:proofErr w:type="spellStart"/>
      <w:r w:rsidRPr="00DC18A0">
        <w:rPr>
          <w:rStyle w:val="Odkazjemn"/>
        </w:rPr>
        <w:t>Ekonomsko</w:t>
      </w:r>
      <w:proofErr w:type="spellEnd"/>
      <w:r w:rsidRPr="00DC18A0">
        <w:rPr>
          <w:rStyle w:val="Odkazjemn"/>
        </w:rPr>
        <w:t>-</w:t>
      </w:r>
      <w:proofErr w:type="spellStart"/>
      <w:r w:rsidRPr="00DC18A0">
        <w:rPr>
          <w:rStyle w:val="Odkazjemn"/>
        </w:rPr>
        <w:t>Ekonomsko.asp</w:t>
      </w:r>
      <w:proofErr w:type="spellEnd"/>
      <w:r w:rsidRPr="00DC18A0">
        <w:rPr>
          <w:rStyle w:val="Odkazjemn"/>
        </w:rPr>
        <w:t>&gt;</w:t>
      </w:r>
    </w:p>
  </w:footnote>
  <w:footnote w:id="76">
    <w:p w:rsidR="00FD7B45" w:rsidRDefault="00FD7B45" w:rsidP="00BF1E38">
      <w:pPr>
        <w:pStyle w:val="Textpoznpodarou"/>
      </w:pPr>
      <w:r w:rsidRPr="00DC18A0">
        <w:rPr>
          <w:rStyle w:val="Odkazjemn"/>
        </w:rPr>
        <w:footnoteRef/>
      </w:r>
      <w:r w:rsidRPr="00DC18A0">
        <w:rPr>
          <w:rStyle w:val="Odkazjemn"/>
        </w:rPr>
        <w:t xml:space="preserve"> Uvedeno výše</w:t>
      </w:r>
    </w:p>
  </w:footnote>
  <w:footnote w:id="77">
    <w:p w:rsidR="00FD7B45" w:rsidRDefault="00FD7B45" w:rsidP="00BF1E38">
      <w:pPr>
        <w:pStyle w:val="Textpoznpodarou"/>
      </w:pPr>
      <w:r w:rsidRPr="00DC18A0">
        <w:rPr>
          <w:rStyle w:val="Odkazjemn"/>
        </w:rPr>
        <w:footnoteRef/>
      </w:r>
      <w:r w:rsidRPr="00DC18A0">
        <w:rPr>
          <w:rStyle w:val="Odkazjemn"/>
        </w:rPr>
        <w:t xml:space="preserve"> Statistický Národní úřad [online], Národní účty, 2010, [cit. </w:t>
      </w:r>
      <w:proofErr w:type="gramStart"/>
      <w:r w:rsidRPr="00DC18A0">
        <w:rPr>
          <w:rStyle w:val="Odkazjemn"/>
        </w:rPr>
        <w:t>2010-10</w:t>
      </w:r>
      <w:proofErr w:type="gramEnd"/>
      <w:r w:rsidRPr="00DC18A0">
        <w:rPr>
          <w:rStyle w:val="Odkazjemn"/>
        </w:rPr>
        <w:t>-30]. Dostupný z &lt;http//www.</w:t>
      </w:r>
      <w:proofErr w:type="spellStart"/>
      <w:r w:rsidRPr="00DC18A0">
        <w:rPr>
          <w:rStyle w:val="Odkazjemn"/>
        </w:rPr>
        <w:t>stat.si</w:t>
      </w:r>
      <w:proofErr w:type="spellEnd"/>
      <w:r w:rsidRPr="00DC18A0">
        <w:rPr>
          <w:rStyle w:val="Odkazjemn"/>
        </w:rPr>
        <w:t>-</w:t>
      </w:r>
      <w:proofErr w:type="spellStart"/>
      <w:r w:rsidRPr="00DC18A0">
        <w:rPr>
          <w:rStyle w:val="Odkazjemn"/>
        </w:rPr>
        <w:t>pxeb</w:t>
      </w:r>
      <w:proofErr w:type="spellEnd"/>
      <w:r w:rsidRPr="00DC18A0">
        <w:rPr>
          <w:rStyle w:val="Odkazjemn"/>
        </w:rPr>
        <w:t xml:space="preserve"> </w:t>
      </w:r>
      <w:proofErr w:type="spellStart"/>
      <w:r w:rsidRPr="00DC18A0">
        <w:rPr>
          <w:rStyle w:val="Odkazjemn"/>
        </w:rPr>
        <w:t>Database</w:t>
      </w:r>
      <w:proofErr w:type="spellEnd"/>
      <w:r w:rsidRPr="00DC18A0">
        <w:rPr>
          <w:rStyle w:val="Odkazjemn"/>
        </w:rPr>
        <w:t>-</w:t>
      </w:r>
      <w:proofErr w:type="spellStart"/>
      <w:r w:rsidRPr="00DC18A0">
        <w:rPr>
          <w:rStyle w:val="Odkazjemn"/>
        </w:rPr>
        <w:t>Ekonomsko</w:t>
      </w:r>
      <w:proofErr w:type="spellEnd"/>
      <w:r w:rsidRPr="00DC18A0">
        <w:rPr>
          <w:rStyle w:val="Odkazjemn"/>
        </w:rPr>
        <w:t>-</w:t>
      </w:r>
      <w:proofErr w:type="spellStart"/>
      <w:r w:rsidRPr="00DC18A0">
        <w:rPr>
          <w:rStyle w:val="Odkazjemn"/>
        </w:rPr>
        <w:t>Ekonomsko.asp</w:t>
      </w:r>
      <w:proofErr w:type="spellEnd"/>
      <w:r w:rsidRPr="00DC18A0">
        <w:rPr>
          <w:rStyle w:val="Odkazjemn"/>
        </w:rPr>
        <w:t>&gt;</w:t>
      </w:r>
    </w:p>
  </w:footnote>
  <w:footnote w:id="78">
    <w:p w:rsidR="00FD7B45" w:rsidRDefault="00FD7B45" w:rsidP="00BF1E38">
      <w:pPr>
        <w:pStyle w:val="Textpoznpodarou"/>
      </w:pPr>
      <w:r w:rsidRPr="007E6FCD">
        <w:rPr>
          <w:rStyle w:val="Odkazjemn"/>
        </w:rPr>
        <w:footnoteRef/>
      </w:r>
      <w:r w:rsidRPr="007E6FCD">
        <w:rPr>
          <w:rStyle w:val="Odkazjemn"/>
        </w:rPr>
        <w:t xml:space="preserve"> Uvedeno výše</w:t>
      </w:r>
    </w:p>
  </w:footnote>
  <w:footnote w:id="79">
    <w:p w:rsidR="00FD7B45" w:rsidRDefault="00FD7B45" w:rsidP="00BF1E38">
      <w:pPr>
        <w:pStyle w:val="Textpoznpodarou"/>
      </w:pPr>
      <w:r w:rsidRPr="00DC18A0">
        <w:rPr>
          <w:rStyle w:val="Odkazjemn"/>
        </w:rPr>
        <w:footnoteRef/>
      </w:r>
      <w:r w:rsidRPr="00DC18A0">
        <w:rPr>
          <w:rStyle w:val="Odkazjemn"/>
        </w:rPr>
        <w:t xml:space="preserve"> </w:t>
      </w:r>
      <w:r>
        <w:rPr>
          <w:rStyle w:val="Odkazjemn"/>
        </w:rPr>
        <w:t>Uvedeno výše</w:t>
      </w:r>
    </w:p>
  </w:footnote>
  <w:footnote w:id="80">
    <w:p w:rsidR="00FD7B45" w:rsidRDefault="00FD7B45" w:rsidP="00BF1E38">
      <w:pPr>
        <w:pStyle w:val="Textpoznpodarou"/>
      </w:pPr>
      <w:r>
        <w:rPr>
          <w:rStyle w:val="Znakapoznpodarou"/>
        </w:rPr>
        <w:footnoteRef/>
      </w:r>
      <w:r>
        <w:t xml:space="preserve"> </w:t>
      </w:r>
      <w:r w:rsidRPr="00DC18A0">
        <w:rPr>
          <w:rStyle w:val="Odkazjemn"/>
        </w:rPr>
        <w:t xml:space="preserve">Statistický Národní úřad [online], Národní účty, 2010, [cit. </w:t>
      </w:r>
      <w:proofErr w:type="gramStart"/>
      <w:r w:rsidRPr="00DC18A0">
        <w:rPr>
          <w:rStyle w:val="Odkazjemn"/>
        </w:rPr>
        <w:t>2010-10</w:t>
      </w:r>
      <w:proofErr w:type="gramEnd"/>
      <w:r w:rsidRPr="00DC18A0">
        <w:rPr>
          <w:rStyle w:val="Odkazjemn"/>
        </w:rPr>
        <w:t>-30]. Dostupný z &lt;http//www.</w:t>
      </w:r>
      <w:proofErr w:type="spellStart"/>
      <w:r w:rsidRPr="00DC18A0">
        <w:rPr>
          <w:rStyle w:val="Odkazjemn"/>
        </w:rPr>
        <w:t>stat.si</w:t>
      </w:r>
      <w:proofErr w:type="spellEnd"/>
      <w:r w:rsidRPr="00DC18A0">
        <w:rPr>
          <w:rStyle w:val="Odkazjemn"/>
        </w:rPr>
        <w:t>-</w:t>
      </w:r>
      <w:proofErr w:type="spellStart"/>
      <w:r w:rsidRPr="00DC18A0">
        <w:rPr>
          <w:rStyle w:val="Odkazjemn"/>
        </w:rPr>
        <w:t>pxeb</w:t>
      </w:r>
      <w:proofErr w:type="spellEnd"/>
      <w:r w:rsidRPr="00DC18A0">
        <w:rPr>
          <w:rStyle w:val="Odkazjemn"/>
        </w:rPr>
        <w:t xml:space="preserve"> </w:t>
      </w:r>
      <w:proofErr w:type="spellStart"/>
      <w:r w:rsidRPr="00DC18A0">
        <w:rPr>
          <w:rStyle w:val="Odkazjemn"/>
        </w:rPr>
        <w:t>Database</w:t>
      </w:r>
      <w:proofErr w:type="spellEnd"/>
      <w:r w:rsidRPr="00DC18A0">
        <w:rPr>
          <w:rStyle w:val="Odkazjemn"/>
        </w:rPr>
        <w:t>-</w:t>
      </w:r>
      <w:proofErr w:type="spellStart"/>
      <w:r w:rsidRPr="00DC18A0">
        <w:rPr>
          <w:rStyle w:val="Odkazjemn"/>
        </w:rPr>
        <w:t>Ekonomsko</w:t>
      </w:r>
      <w:proofErr w:type="spellEnd"/>
      <w:r w:rsidRPr="00DC18A0">
        <w:rPr>
          <w:rStyle w:val="Odkazjemn"/>
        </w:rPr>
        <w:t>-</w:t>
      </w:r>
      <w:proofErr w:type="spellStart"/>
      <w:r w:rsidRPr="00DC18A0">
        <w:rPr>
          <w:rStyle w:val="Odkazjemn"/>
        </w:rPr>
        <w:t>Ekonomsko.asp</w:t>
      </w:r>
      <w:proofErr w:type="spellEnd"/>
      <w:r w:rsidRPr="00DC18A0">
        <w:rPr>
          <w:rStyle w:val="Odkazjemn"/>
        </w:rPr>
        <w:t>&gt;</w:t>
      </w:r>
    </w:p>
  </w:footnote>
  <w:footnote w:id="81">
    <w:p w:rsidR="00FD7B45" w:rsidRDefault="00FD7B45" w:rsidP="00BF1E38">
      <w:pPr>
        <w:pStyle w:val="Textpoznpodarou"/>
      </w:pPr>
      <w:r w:rsidRPr="00EE5EF1">
        <w:rPr>
          <w:rStyle w:val="Odkazjemn"/>
        </w:rPr>
        <w:footnoteRef/>
      </w:r>
      <w:r w:rsidRPr="00EE5EF1">
        <w:rPr>
          <w:rStyle w:val="Odkazjemn"/>
        </w:rPr>
        <w:t xml:space="preserve"> Statistický Národní úřad [online], Národní účty, 2010, [cit. </w:t>
      </w:r>
      <w:proofErr w:type="gramStart"/>
      <w:r w:rsidRPr="00EE5EF1">
        <w:rPr>
          <w:rStyle w:val="Odkazjemn"/>
        </w:rPr>
        <w:t>2010-10</w:t>
      </w:r>
      <w:proofErr w:type="gramEnd"/>
      <w:r w:rsidRPr="00EE5EF1">
        <w:rPr>
          <w:rStyle w:val="Odkazjemn"/>
        </w:rPr>
        <w:t>-30]. Dostupný z &lt;http//www.</w:t>
      </w:r>
      <w:proofErr w:type="spellStart"/>
      <w:r w:rsidRPr="00EE5EF1">
        <w:rPr>
          <w:rStyle w:val="Odkazjemn"/>
        </w:rPr>
        <w:t>stat.si</w:t>
      </w:r>
      <w:proofErr w:type="spellEnd"/>
      <w:r w:rsidRPr="00EE5EF1">
        <w:rPr>
          <w:rStyle w:val="Odkazjemn"/>
        </w:rPr>
        <w:t>-</w:t>
      </w:r>
      <w:proofErr w:type="spellStart"/>
      <w:r w:rsidRPr="00EE5EF1">
        <w:rPr>
          <w:rStyle w:val="Odkazjemn"/>
        </w:rPr>
        <w:t>pxeb</w:t>
      </w:r>
      <w:proofErr w:type="spellEnd"/>
      <w:r w:rsidRPr="00EE5EF1">
        <w:rPr>
          <w:rStyle w:val="Odkazjemn"/>
        </w:rPr>
        <w:t xml:space="preserve"> </w:t>
      </w:r>
      <w:proofErr w:type="spellStart"/>
      <w:r w:rsidRPr="00EE5EF1">
        <w:rPr>
          <w:rStyle w:val="Odkazjemn"/>
        </w:rPr>
        <w:t>Database</w:t>
      </w:r>
      <w:proofErr w:type="spellEnd"/>
      <w:r w:rsidRPr="00EE5EF1">
        <w:rPr>
          <w:rStyle w:val="Odkazjemn"/>
        </w:rPr>
        <w:t>-</w:t>
      </w:r>
      <w:proofErr w:type="spellStart"/>
      <w:r w:rsidRPr="00EE5EF1">
        <w:rPr>
          <w:rStyle w:val="Odkazjemn"/>
        </w:rPr>
        <w:t>Ekonomsko</w:t>
      </w:r>
      <w:proofErr w:type="spellEnd"/>
      <w:r w:rsidRPr="00EE5EF1">
        <w:rPr>
          <w:rStyle w:val="Odkazjemn"/>
        </w:rPr>
        <w:t>-</w:t>
      </w:r>
      <w:proofErr w:type="spellStart"/>
      <w:r w:rsidRPr="00EE5EF1">
        <w:rPr>
          <w:rStyle w:val="Odkazjemn"/>
        </w:rPr>
        <w:t>Ekonomsko.asp</w:t>
      </w:r>
      <w:proofErr w:type="spellEnd"/>
      <w:r w:rsidRPr="00EE5EF1">
        <w:rPr>
          <w:rStyle w:val="Odkazjemn"/>
        </w:rPr>
        <w:t>&gt;</w:t>
      </w:r>
    </w:p>
  </w:footnote>
  <w:footnote w:id="82">
    <w:p w:rsidR="00FD7B45" w:rsidRDefault="00FD7B45" w:rsidP="00BF1E38">
      <w:pPr>
        <w:pStyle w:val="Textpoznpodarou"/>
      </w:pPr>
      <w:r w:rsidRPr="00EE5EF1">
        <w:rPr>
          <w:rStyle w:val="Odkazjemn"/>
        </w:rPr>
        <w:footnoteRef/>
      </w:r>
      <w:r w:rsidRPr="00EE5EF1">
        <w:rPr>
          <w:rStyle w:val="Odkazjemn"/>
        </w:rPr>
        <w:t xml:space="preserve"> </w:t>
      </w:r>
      <w:proofErr w:type="spellStart"/>
      <w:r>
        <w:rPr>
          <w:rStyle w:val="Odkazjemn"/>
        </w:rPr>
        <w:t>Uvedno</w:t>
      </w:r>
      <w:proofErr w:type="spellEnd"/>
      <w:r>
        <w:rPr>
          <w:rStyle w:val="Odkazjemn"/>
        </w:rPr>
        <w:t xml:space="preserve"> výše</w:t>
      </w:r>
    </w:p>
  </w:footnote>
  <w:footnote w:id="83">
    <w:p w:rsidR="00FD7B45" w:rsidRDefault="00FD7B45" w:rsidP="00BF1E38">
      <w:pPr>
        <w:pStyle w:val="Textpoznpodarou"/>
      </w:pPr>
      <w:r w:rsidRPr="000651E5">
        <w:rPr>
          <w:rStyle w:val="Odkazjemn"/>
        </w:rPr>
        <w:footnoteRef/>
      </w:r>
      <w:r w:rsidRPr="000651E5">
        <w:rPr>
          <w:rStyle w:val="Odkazjemn"/>
        </w:rPr>
        <w:t xml:space="preserve"> </w:t>
      </w:r>
      <w:r w:rsidRPr="000651E5">
        <w:rPr>
          <w:rStyle w:val="Odkazjemn"/>
        </w:rPr>
        <w:footnoteRef/>
      </w:r>
      <w:r w:rsidRPr="000651E5">
        <w:rPr>
          <w:rStyle w:val="Odkazjemn"/>
        </w:rPr>
        <w:t xml:space="preserve"> Statistický Národní úřad [online], Národní účty, 2010, [cit. </w:t>
      </w:r>
      <w:proofErr w:type="gramStart"/>
      <w:r w:rsidRPr="000651E5">
        <w:rPr>
          <w:rStyle w:val="Odkazjemn"/>
        </w:rPr>
        <w:t>2010-10</w:t>
      </w:r>
      <w:proofErr w:type="gramEnd"/>
      <w:r w:rsidRPr="000651E5">
        <w:rPr>
          <w:rStyle w:val="Odkazjemn"/>
        </w:rPr>
        <w:t>-30]. Dostupný z &lt;http//www.</w:t>
      </w:r>
      <w:proofErr w:type="spellStart"/>
      <w:r w:rsidRPr="000651E5">
        <w:rPr>
          <w:rStyle w:val="Odkazjemn"/>
        </w:rPr>
        <w:t>stat.si</w:t>
      </w:r>
      <w:proofErr w:type="spellEnd"/>
      <w:r w:rsidRPr="000651E5">
        <w:rPr>
          <w:rStyle w:val="Odkazjemn"/>
        </w:rPr>
        <w:t>-</w:t>
      </w:r>
      <w:proofErr w:type="spellStart"/>
      <w:r w:rsidRPr="000651E5">
        <w:rPr>
          <w:rStyle w:val="Odkazjemn"/>
        </w:rPr>
        <w:t>pxeb</w:t>
      </w:r>
      <w:proofErr w:type="spellEnd"/>
      <w:r w:rsidRPr="000651E5">
        <w:rPr>
          <w:rStyle w:val="Odkazjemn"/>
        </w:rPr>
        <w:t xml:space="preserve"> </w:t>
      </w:r>
      <w:proofErr w:type="spellStart"/>
      <w:r w:rsidRPr="000651E5">
        <w:rPr>
          <w:rStyle w:val="Odkazjemn"/>
        </w:rPr>
        <w:t>Database</w:t>
      </w:r>
      <w:proofErr w:type="spellEnd"/>
      <w:r w:rsidRPr="000651E5">
        <w:rPr>
          <w:rStyle w:val="Odkazjemn"/>
        </w:rPr>
        <w:t>-</w:t>
      </w:r>
      <w:proofErr w:type="spellStart"/>
      <w:r w:rsidRPr="000651E5">
        <w:rPr>
          <w:rStyle w:val="Odkazjemn"/>
        </w:rPr>
        <w:t>Ekonomsko</w:t>
      </w:r>
      <w:proofErr w:type="spellEnd"/>
      <w:r w:rsidRPr="000651E5">
        <w:rPr>
          <w:rStyle w:val="Odkazjemn"/>
        </w:rPr>
        <w:t>-</w:t>
      </w:r>
      <w:proofErr w:type="spellStart"/>
      <w:r w:rsidRPr="000651E5">
        <w:rPr>
          <w:rStyle w:val="Odkazjemn"/>
        </w:rPr>
        <w:t>Ekonomsko.asp</w:t>
      </w:r>
      <w:proofErr w:type="spellEnd"/>
      <w:r w:rsidRPr="000651E5">
        <w:rPr>
          <w:rStyle w:val="Odkazjemn"/>
        </w:rPr>
        <w:t>&gt;</w:t>
      </w:r>
    </w:p>
  </w:footnote>
  <w:footnote w:id="84">
    <w:p w:rsidR="00FD7B45" w:rsidRDefault="00FD7B45" w:rsidP="00BF1E38">
      <w:pPr>
        <w:pStyle w:val="Textpoznpodarou"/>
      </w:pPr>
      <w:r w:rsidRPr="000651E5">
        <w:rPr>
          <w:rStyle w:val="Odkazjemn"/>
        </w:rPr>
        <w:footnoteRef/>
      </w:r>
      <w:r w:rsidRPr="000651E5">
        <w:rPr>
          <w:rStyle w:val="Odkazjemn"/>
        </w:rPr>
        <w:t xml:space="preserve"> Uvedeno výše</w:t>
      </w:r>
    </w:p>
  </w:footnote>
  <w:footnote w:id="85">
    <w:p w:rsidR="00FD7B45" w:rsidRPr="00EE5EF1" w:rsidRDefault="00FD7B45" w:rsidP="00BF1E38">
      <w:pPr>
        <w:pStyle w:val="Textpoznpodarou"/>
        <w:rPr>
          <w:rStyle w:val="Odkazjemn"/>
        </w:rPr>
      </w:pPr>
      <w:r>
        <w:rPr>
          <w:rStyle w:val="Znakapoznpodarou"/>
        </w:rPr>
        <w:footnoteRef/>
      </w:r>
      <w:r>
        <w:t xml:space="preserve"> </w:t>
      </w:r>
      <w:r w:rsidRPr="00EE5EF1">
        <w:rPr>
          <w:rStyle w:val="Odkazjemn"/>
        </w:rPr>
        <w:footnoteRef/>
      </w:r>
      <w:r w:rsidRPr="00EE5EF1">
        <w:rPr>
          <w:rStyle w:val="Odkazjemn"/>
        </w:rPr>
        <w:t xml:space="preserve"> Statistický Národní úřad [online], Národní účty, 2010, [cit. </w:t>
      </w:r>
      <w:proofErr w:type="gramStart"/>
      <w:r w:rsidRPr="00EE5EF1">
        <w:rPr>
          <w:rStyle w:val="Odkazjemn"/>
        </w:rPr>
        <w:t>2010-10</w:t>
      </w:r>
      <w:proofErr w:type="gramEnd"/>
      <w:r w:rsidRPr="00EE5EF1">
        <w:rPr>
          <w:rStyle w:val="Odkazjemn"/>
        </w:rPr>
        <w:t>-30]. Dostupný z &lt;http//www.</w:t>
      </w:r>
      <w:proofErr w:type="spellStart"/>
      <w:r w:rsidRPr="00EE5EF1">
        <w:rPr>
          <w:rStyle w:val="Odkazjemn"/>
        </w:rPr>
        <w:t>stat.si</w:t>
      </w:r>
      <w:proofErr w:type="spellEnd"/>
      <w:r w:rsidRPr="00EE5EF1">
        <w:rPr>
          <w:rStyle w:val="Odkazjemn"/>
        </w:rPr>
        <w:t>-</w:t>
      </w:r>
      <w:proofErr w:type="spellStart"/>
      <w:r w:rsidRPr="00EE5EF1">
        <w:rPr>
          <w:rStyle w:val="Odkazjemn"/>
        </w:rPr>
        <w:t>pxeb</w:t>
      </w:r>
      <w:proofErr w:type="spellEnd"/>
      <w:r w:rsidRPr="00EE5EF1">
        <w:rPr>
          <w:rStyle w:val="Odkazjemn"/>
        </w:rPr>
        <w:t xml:space="preserve"> </w:t>
      </w:r>
      <w:proofErr w:type="spellStart"/>
      <w:r w:rsidRPr="00EE5EF1">
        <w:rPr>
          <w:rStyle w:val="Odkazjemn"/>
        </w:rPr>
        <w:t>Database</w:t>
      </w:r>
      <w:proofErr w:type="spellEnd"/>
      <w:r w:rsidRPr="00EE5EF1">
        <w:rPr>
          <w:rStyle w:val="Odkazjemn"/>
        </w:rPr>
        <w:t>-</w:t>
      </w:r>
      <w:proofErr w:type="spellStart"/>
      <w:r w:rsidRPr="00EE5EF1">
        <w:rPr>
          <w:rStyle w:val="Odkazjemn"/>
        </w:rPr>
        <w:t>Ekonomsko</w:t>
      </w:r>
      <w:proofErr w:type="spellEnd"/>
      <w:r w:rsidRPr="00EE5EF1">
        <w:rPr>
          <w:rStyle w:val="Odkazjemn"/>
        </w:rPr>
        <w:t>-</w:t>
      </w:r>
      <w:proofErr w:type="spellStart"/>
      <w:r w:rsidRPr="00EE5EF1">
        <w:rPr>
          <w:rStyle w:val="Odkazjemn"/>
        </w:rPr>
        <w:t>Ekonomsko.asp</w:t>
      </w:r>
      <w:proofErr w:type="spellEnd"/>
      <w:r w:rsidRPr="00EE5EF1">
        <w:rPr>
          <w:rStyle w:val="Odkazjemn"/>
        </w:rPr>
        <w:t>&gt;</w:t>
      </w:r>
    </w:p>
    <w:p w:rsidR="00FD7B45" w:rsidRDefault="00FD7B45" w:rsidP="00BF1E38">
      <w:pPr>
        <w:pStyle w:val="Textpoznpodarou"/>
      </w:pPr>
    </w:p>
  </w:footnote>
  <w:footnote w:id="86">
    <w:p w:rsidR="00FD7B45" w:rsidRDefault="00FD7B45" w:rsidP="00BF1E38">
      <w:pPr>
        <w:pStyle w:val="Textpoznpodarou"/>
      </w:pPr>
      <w:r w:rsidRPr="00FA21D5">
        <w:rPr>
          <w:rStyle w:val="Odkazjemn"/>
        </w:rPr>
        <w:footnoteRef/>
      </w:r>
      <w:r w:rsidRPr="00FA21D5">
        <w:rPr>
          <w:rStyle w:val="Odkazjemn"/>
        </w:rPr>
        <w:t xml:space="preserve"> Statistický Národní úřad [online], Národní účty, 2010, [cit. </w:t>
      </w:r>
      <w:proofErr w:type="gramStart"/>
      <w:r w:rsidRPr="00FA21D5">
        <w:rPr>
          <w:rStyle w:val="Odkazjemn"/>
        </w:rPr>
        <w:t>2010-10</w:t>
      </w:r>
      <w:proofErr w:type="gramEnd"/>
      <w:r w:rsidRPr="00FA21D5">
        <w:rPr>
          <w:rStyle w:val="Odkazjemn"/>
        </w:rPr>
        <w:t>-30]. Dostupný z &lt;http//www.</w:t>
      </w:r>
      <w:proofErr w:type="spellStart"/>
      <w:r w:rsidRPr="00FA21D5">
        <w:rPr>
          <w:rStyle w:val="Odkazjemn"/>
        </w:rPr>
        <w:t>stat.si</w:t>
      </w:r>
      <w:proofErr w:type="spellEnd"/>
      <w:r w:rsidRPr="00FA21D5">
        <w:rPr>
          <w:rStyle w:val="Odkazjemn"/>
        </w:rPr>
        <w:t>-</w:t>
      </w:r>
      <w:proofErr w:type="spellStart"/>
      <w:r w:rsidRPr="00FA21D5">
        <w:rPr>
          <w:rStyle w:val="Odkazjemn"/>
        </w:rPr>
        <w:t>pxeb</w:t>
      </w:r>
      <w:proofErr w:type="spellEnd"/>
      <w:r w:rsidRPr="00FA21D5">
        <w:rPr>
          <w:rStyle w:val="Odkazjemn"/>
        </w:rPr>
        <w:t xml:space="preserve"> </w:t>
      </w:r>
      <w:proofErr w:type="spellStart"/>
      <w:r w:rsidRPr="00FA21D5">
        <w:rPr>
          <w:rStyle w:val="Odkazjemn"/>
        </w:rPr>
        <w:t>Database</w:t>
      </w:r>
      <w:proofErr w:type="spellEnd"/>
      <w:r w:rsidRPr="00FA21D5">
        <w:rPr>
          <w:rStyle w:val="Odkazjemn"/>
        </w:rPr>
        <w:t>-</w:t>
      </w:r>
      <w:proofErr w:type="spellStart"/>
      <w:r w:rsidRPr="00FA21D5">
        <w:rPr>
          <w:rStyle w:val="Odkazjemn"/>
        </w:rPr>
        <w:t>Ekonomsko</w:t>
      </w:r>
      <w:proofErr w:type="spellEnd"/>
      <w:r w:rsidRPr="00FA21D5">
        <w:rPr>
          <w:rStyle w:val="Odkazjemn"/>
        </w:rPr>
        <w:t>-</w:t>
      </w:r>
      <w:proofErr w:type="spellStart"/>
      <w:r w:rsidRPr="00FA21D5">
        <w:rPr>
          <w:rStyle w:val="Odkazjemn"/>
        </w:rPr>
        <w:t>Ekonomsko.asp</w:t>
      </w:r>
      <w:proofErr w:type="spellEnd"/>
      <w:r w:rsidRPr="00FA21D5">
        <w:rPr>
          <w:rStyle w:val="Odkazjemn"/>
        </w:rPr>
        <w:t>&gt;</w:t>
      </w:r>
    </w:p>
  </w:footnote>
  <w:footnote w:id="87">
    <w:p w:rsidR="00FD7B45" w:rsidRPr="00FA21D5" w:rsidRDefault="00FD7B45" w:rsidP="00BF1E38">
      <w:pPr>
        <w:pStyle w:val="Textpoznpodarou"/>
        <w:rPr>
          <w:rStyle w:val="Odkazjemn"/>
        </w:rPr>
      </w:pPr>
      <w:r w:rsidRPr="00FA21D5">
        <w:rPr>
          <w:rStyle w:val="Odkazjemn"/>
        </w:rPr>
        <w:footnoteRef/>
      </w:r>
      <w:r w:rsidRPr="00FA21D5">
        <w:rPr>
          <w:rStyle w:val="Odkazjemn"/>
        </w:rPr>
        <w:t xml:space="preserve"> Výše uved</w:t>
      </w:r>
      <w:r>
        <w:rPr>
          <w:rStyle w:val="Odkazjemn"/>
        </w:rPr>
        <w:t>e</w:t>
      </w:r>
      <w:r w:rsidRPr="00FA21D5">
        <w:rPr>
          <w:rStyle w:val="Odkazjemn"/>
        </w:rPr>
        <w:t>no</w:t>
      </w:r>
    </w:p>
    <w:p w:rsidR="00FD7B45" w:rsidRDefault="00FD7B45" w:rsidP="00BF1E38">
      <w:pPr>
        <w:pStyle w:val="Textpoznpodarou"/>
      </w:pPr>
    </w:p>
  </w:footnote>
  <w:footnote w:id="88">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89">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90">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91">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92">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93">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94">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95">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96">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97">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98">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99">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00">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101">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02">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03">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104">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05">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06">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07">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108">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09">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10">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111">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12">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13">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114">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15">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116">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17">
    <w:p w:rsidR="00FD7B45" w:rsidRDefault="00FD7B45" w:rsidP="00BF1E38">
      <w:pPr>
        <w:pStyle w:val="Textpoznpodarou"/>
      </w:pPr>
      <w:r w:rsidRPr="000C03C4">
        <w:rPr>
          <w:rStyle w:val="Odkazjemn"/>
        </w:rPr>
        <w:footnoteRef/>
      </w:r>
      <w:r w:rsidRPr="000C03C4">
        <w:rPr>
          <w:rStyle w:val="Odkazjemn"/>
        </w:rPr>
        <w:t xml:space="preserve"> Statistický Národní úřad [online], Národní účty, 2010, [cit. </w:t>
      </w:r>
      <w:proofErr w:type="gramStart"/>
      <w:r w:rsidRPr="000C03C4">
        <w:rPr>
          <w:rStyle w:val="Odkazjemn"/>
        </w:rPr>
        <w:t>2010-10</w:t>
      </w:r>
      <w:proofErr w:type="gramEnd"/>
      <w:r w:rsidRPr="000C03C4">
        <w:rPr>
          <w:rStyle w:val="Odkazjemn"/>
        </w:rPr>
        <w:t>-30]. Dostupný z &lt;http//www.</w:t>
      </w:r>
      <w:proofErr w:type="spellStart"/>
      <w:r w:rsidRPr="000C03C4">
        <w:rPr>
          <w:rStyle w:val="Odkazjemn"/>
        </w:rPr>
        <w:t>stat.si</w:t>
      </w:r>
      <w:proofErr w:type="spellEnd"/>
      <w:r w:rsidRPr="000C03C4">
        <w:rPr>
          <w:rStyle w:val="Odkazjemn"/>
        </w:rPr>
        <w:t>-</w:t>
      </w:r>
      <w:proofErr w:type="spellStart"/>
      <w:r w:rsidRPr="000C03C4">
        <w:rPr>
          <w:rStyle w:val="Odkazjemn"/>
        </w:rPr>
        <w:t>pxeb</w:t>
      </w:r>
      <w:proofErr w:type="spellEnd"/>
      <w:r w:rsidRPr="000C03C4">
        <w:rPr>
          <w:rStyle w:val="Odkazjemn"/>
        </w:rPr>
        <w:t xml:space="preserve"> </w:t>
      </w:r>
      <w:proofErr w:type="spellStart"/>
      <w:r w:rsidRPr="000C03C4">
        <w:rPr>
          <w:rStyle w:val="Odkazjemn"/>
        </w:rPr>
        <w:t>Database</w:t>
      </w:r>
      <w:proofErr w:type="spellEnd"/>
      <w:r w:rsidRPr="000C03C4">
        <w:rPr>
          <w:rStyle w:val="Odkazjemn"/>
        </w:rPr>
        <w:t>-</w:t>
      </w:r>
      <w:proofErr w:type="spellStart"/>
      <w:r w:rsidRPr="000C03C4">
        <w:rPr>
          <w:rStyle w:val="Odkazjemn"/>
        </w:rPr>
        <w:t>Ekonomsko</w:t>
      </w:r>
      <w:proofErr w:type="spellEnd"/>
      <w:r w:rsidRPr="000C03C4">
        <w:rPr>
          <w:rStyle w:val="Odkazjemn"/>
        </w:rPr>
        <w:t>-</w:t>
      </w:r>
      <w:proofErr w:type="spellStart"/>
      <w:r w:rsidRPr="000C03C4">
        <w:rPr>
          <w:rStyle w:val="Odkazjemn"/>
        </w:rPr>
        <w:t>Ekonomsko.asp</w:t>
      </w:r>
      <w:proofErr w:type="spellEnd"/>
      <w:r w:rsidRPr="000C03C4">
        <w:rPr>
          <w:rStyle w:val="Odkazjemn"/>
        </w:rPr>
        <w:t>&gt;</w:t>
      </w:r>
    </w:p>
  </w:footnote>
  <w:footnote w:id="118">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19">
    <w:p w:rsidR="00FD7B45" w:rsidRDefault="00FD7B45" w:rsidP="00BF1E38">
      <w:pPr>
        <w:pStyle w:val="Textpoznpodarou"/>
      </w:pPr>
      <w:r w:rsidRPr="000C03C4">
        <w:rPr>
          <w:rStyle w:val="Odkazjemn"/>
        </w:rPr>
        <w:footnoteRef/>
      </w:r>
      <w:r w:rsidRPr="000C03C4">
        <w:rPr>
          <w:rStyle w:val="Odkazjemn"/>
        </w:rPr>
        <w:t xml:space="preserve"> Výše uvedeno</w:t>
      </w:r>
    </w:p>
  </w:footnote>
  <w:footnote w:id="120">
    <w:p w:rsidR="00FD7B45" w:rsidRDefault="00FD7B45" w:rsidP="00BF1E38">
      <w:pPr>
        <w:pStyle w:val="Textpoznpodarou"/>
      </w:pPr>
      <w:r w:rsidRPr="00362EC1">
        <w:rPr>
          <w:rStyle w:val="Odkazjemn"/>
        </w:rPr>
        <w:footnoteRef/>
      </w:r>
      <w:r w:rsidRPr="00362EC1">
        <w:rPr>
          <w:rStyle w:val="Odkazjemn"/>
        </w:rPr>
        <w:t xml:space="preserve"> Statistický Národní úřad [online], Národní účty, 2010, [cit. </w:t>
      </w:r>
      <w:proofErr w:type="gramStart"/>
      <w:r w:rsidRPr="00362EC1">
        <w:rPr>
          <w:rStyle w:val="Odkazjemn"/>
        </w:rPr>
        <w:t>2010-10</w:t>
      </w:r>
      <w:proofErr w:type="gramEnd"/>
      <w:r w:rsidRPr="00362EC1">
        <w:rPr>
          <w:rStyle w:val="Odkazjemn"/>
        </w:rPr>
        <w:t>-30]. Dostupný z &lt;http//www.</w:t>
      </w:r>
      <w:proofErr w:type="spellStart"/>
      <w:r w:rsidRPr="00362EC1">
        <w:rPr>
          <w:rStyle w:val="Odkazjemn"/>
        </w:rPr>
        <w:t>stat.si</w:t>
      </w:r>
      <w:proofErr w:type="spellEnd"/>
      <w:r w:rsidRPr="00362EC1">
        <w:rPr>
          <w:rStyle w:val="Odkazjemn"/>
        </w:rPr>
        <w:t>-</w:t>
      </w:r>
      <w:proofErr w:type="spellStart"/>
      <w:r w:rsidRPr="00362EC1">
        <w:rPr>
          <w:rStyle w:val="Odkazjemn"/>
        </w:rPr>
        <w:t>pxeb</w:t>
      </w:r>
      <w:proofErr w:type="spellEnd"/>
      <w:r w:rsidRPr="00362EC1">
        <w:rPr>
          <w:rStyle w:val="Odkazjemn"/>
        </w:rPr>
        <w:t xml:space="preserve"> </w:t>
      </w:r>
      <w:proofErr w:type="spellStart"/>
      <w:r w:rsidRPr="00362EC1">
        <w:rPr>
          <w:rStyle w:val="Odkazjemn"/>
        </w:rPr>
        <w:t>Database</w:t>
      </w:r>
      <w:proofErr w:type="spellEnd"/>
      <w:r w:rsidRPr="00362EC1">
        <w:rPr>
          <w:rStyle w:val="Odkazjemn"/>
        </w:rPr>
        <w:t>-</w:t>
      </w:r>
      <w:proofErr w:type="spellStart"/>
      <w:r w:rsidRPr="00362EC1">
        <w:rPr>
          <w:rStyle w:val="Odkazjemn"/>
        </w:rPr>
        <w:t>Ekonomsko</w:t>
      </w:r>
      <w:proofErr w:type="spellEnd"/>
      <w:r w:rsidRPr="00362EC1">
        <w:rPr>
          <w:rStyle w:val="Odkazjemn"/>
        </w:rPr>
        <w:t>-</w:t>
      </w:r>
      <w:proofErr w:type="spellStart"/>
      <w:r w:rsidRPr="00362EC1">
        <w:rPr>
          <w:rStyle w:val="Odkazjemn"/>
        </w:rPr>
        <w:t>Ekonomsko.asp</w:t>
      </w:r>
      <w:proofErr w:type="spellEnd"/>
      <w:r w:rsidRPr="00362EC1">
        <w:rPr>
          <w:rStyle w:val="Odkazjemn"/>
        </w:rPr>
        <w:t>&gt;</w:t>
      </w:r>
    </w:p>
  </w:footnote>
  <w:footnote w:id="121">
    <w:p w:rsidR="00FD7B45" w:rsidRDefault="00FD7B45" w:rsidP="00BF1E38">
      <w:pPr>
        <w:pStyle w:val="Textpoznpodarou"/>
      </w:pPr>
      <w:r w:rsidRPr="00362EC1">
        <w:rPr>
          <w:rStyle w:val="Odkazjemn"/>
        </w:rPr>
        <w:footnoteRef/>
      </w:r>
      <w:r w:rsidRPr="00362EC1">
        <w:rPr>
          <w:rStyle w:val="Odkazjemn"/>
        </w:rPr>
        <w:t xml:space="preserve"> Výše uvedeno</w:t>
      </w:r>
    </w:p>
  </w:footnote>
  <w:footnote w:id="122">
    <w:p w:rsidR="00FD7B45" w:rsidRDefault="00FD7B45" w:rsidP="00BF1E38">
      <w:pPr>
        <w:pStyle w:val="Textpoznpodarou"/>
      </w:pPr>
      <w:r w:rsidRPr="00362EC1">
        <w:rPr>
          <w:rStyle w:val="Odkazjemn"/>
        </w:rPr>
        <w:footnoteRef/>
      </w:r>
      <w:r w:rsidRPr="00362EC1">
        <w:rPr>
          <w:rStyle w:val="Odkazjemn"/>
        </w:rPr>
        <w:t xml:space="preserve"> Statistický Národní úřad [online], Národní účty, 2010, [cit. </w:t>
      </w:r>
      <w:proofErr w:type="gramStart"/>
      <w:r w:rsidRPr="00362EC1">
        <w:rPr>
          <w:rStyle w:val="Odkazjemn"/>
        </w:rPr>
        <w:t>2010-10</w:t>
      </w:r>
      <w:proofErr w:type="gramEnd"/>
      <w:r w:rsidRPr="00362EC1">
        <w:rPr>
          <w:rStyle w:val="Odkazjemn"/>
        </w:rPr>
        <w:t>-30]. Dostupný z &lt;http//www.</w:t>
      </w:r>
      <w:proofErr w:type="spellStart"/>
      <w:r w:rsidRPr="00362EC1">
        <w:rPr>
          <w:rStyle w:val="Odkazjemn"/>
        </w:rPr>
        <w:t>stat.si</w:t>
      </w:r>
      <w:proofErr w:type="spellEnd"/>
      <w:r w:rsidRPr="00362EC1">
        <w:rPr>
          <w:rStyle w:val="Odkazjemn"/>
        </w:rPr>
        <w:t>-</w:t>
      </w:r>
      <w:proofErr w:type="spellStart"/>
      <w:r w:rsidRPr="00362EC1">
        <w:rPr>
          <w:rStyle w:val="Odkazjemn"/>
        </w:rPr>
        <w:t>pxeb</w:t>
      </w:r>
      <w:proofErr w:type="spellEnd"/>
      <w:r w:rsidRPr="00362EC1">
        <w:rPr>
          <w:rStyle w:val="Odkazjemn"/>
        </w:rPr>
        <w:t xml:space="preserve"> </w:t>
      </w:r>
      <w:proofErr w:type="spellStart"/>
      <w:r w:rsidRPr="00362EC1">
        <w:rPr>
          <w:rStyle w:val="Odkazjemn"/>
        </w:rPr>
        <w:t>Database</w:t>
      </w:r>
      <w:proofErr w:type="spellEnd"/>
      <w:r w:rsidRPr="00362EC1">
        <w:rPr>
          <w:rStyle w:val="Odkazjemn"/>
        </w:rPr>
        <w:t>-</w:t>
      </w:r>
      <w:proofErr w:type="spellStart"/>
      <w:r w:rsidRPr="00362EC1">
        <w:rPr>
          <w:rStyle w:val="Odkazjemn"/>
        </w:rPr>
        <w:t>Ekonomsko</w:t>
      </w:r>
      <w:proofErr w:type="spellEnd"/>
      <w:r w:rsidRPr="00362EC1">
        <w:rPr>
          <w:rStyle w:val="Odkazjemn"/>
        </w:rPr>
        <w:t>-</w:t>
      </w:r>
      <w:proofErr w:type="spellStart"/>
      <w:r w:rsidRPr="00362EC1">
        <w:rPr>
          <w:rStyle w:val="Odkazjemn"/>
        </w:rPr>
        <w:t>Ekonomsko.asp</w:t>
      </w:r>
      <w:proofErr w:type="spellEnd"/>
      <w:r w:rsidRPr="00362EC1">
        <w:rPr>
          <w:rStyle w:val="Odkazjemn"/>
        </w:rPr>
        <w:t>&gt;</w:t>
      </w:r>
    </w:p>
  </w:footnote>
  <w:footnote w:id="123">
    <w:p w:rsidR="00FD7B45" w:rsidRDefault="00FD7B45" w:rsidP="00BF1E38">
      <w:pPr>
        <w:pStyle w:val="Textpoznpodarou"/>
      </w:pPr>
      <w:r w:rsidRPr="00362EC1">
        <w:rPr>
          <w:rStyle w:val="Odkazjemn"/>
        </w:rPr>
        <w:footnoteRef/>
      </w:r>
      <w:r w:rsidRPr="00362EC1">
        <w:rPr>
          <w:rStyle w:val="Odkazjemn"/>
        </w:rPr>
        <w:t xml:space="preserve"> Výše uvedeno</w:t>
      </w:r>
    </w:p>
  </w:footnote>
  <w:footnote w:id="124">
    <w:p w:rsidR="00FD7B45" w:rsidRDefault="00FD7B45" w:rsidP="00BF1E38">
      <w:pPr>
        <w:pStyle w:val="Textpoznpodarou"/>
      </w:pPr>
      <w:r w:rsidRPr="00362EC1">
        <w:rPr>
          <w:rStyle w:val="Odkazjemn"/>
        </w:rPr>
        <w:footnoteRef/>
      </w:r>
      <w:r w:rsidRPr="00362EC1">
        <w:rPr>
          <w:rStyle w:val="Odkazjemn"/>
        </w:rPr>
        <w:t xml:space="preserve"> Statistický Národní úřad [online], Národní účty, 2010, [cit. </w:t>
      </w:r>
      <w:proofErr w:type="gramStart"/>
      <w:r w:rsidRPr="00362EC1">
        <w:rPr>
          <w:rStyle w:val="Odkazjemn"/>
        </w:rPr>
        <w:t>2010-10</w:t>
      </w:r>
      <w:proofErr w:type="gramEnd"/>
      <w:r w:rsidRPr="00362EC1">
        <w:rPr>
          <w:rStyle w:val="Odkazjemn"/>
        </w:rPr>
        <w:t>-30]. Dostupný z &lt;http//www.</w:t>
      </w:r>
      <w:proofErr w:type="spellStart"/>
      <w:r w:rsidRPr="00362EC1">
        <w:rPr>
          <w:rStyle w:val="Odkazjemn"/>
        </w:rPr>
        <w:t>stat.si</w:t>
      </w:r>
      <w:proofErr w:type="spellEnd"/>
      <w:r w:rsidRPr="00362EC1">
        <w:rPr>
          <w:rStyle w:val="Odkazjemn"/>
        </w:rPr>
        <w:t>-</w:t>
      </w:r>
      <w:proofErr w:type="spellStart"/>
      <w:r w:rsidRPr="00362EC1">
        <w:rPr>
          <w:rStyle w:val="Odkazjemn"/>
        </w:rPr>
        <w:t>pxeb</w:t>
      </w:r>
      <w:proofErr w:type="spellEnd"/>
      <w:r w:rsidRPr="00362EC1">
        <w:rPr>
          <w:rStyle w:val="Odkazjemn"/>
        </w:rPr>
        <w:t xml:space="preserve"> </w:t>
      </w:r>
      <w:proofErr w:type="spellStart"/>
      <w:r w:rsidRPr="00362EC1">
        <w:rPr>
          <w:rStyle w:val="Odkazjemn"/>
        </w:rPr>
        <w:t>Database</w:t>
      </w:r>
      <w:proofErr w:type="spellEnd"/>
      <w:r w:rsidRPr="00362EC1">
        <w:rPr>
          <w:rStyle w:val="Odkazjemn"/>
        </w:rPr>
        <w:t>-</w:t>
      </w:r>
      <w:proofErr w:type="spellStart"/>
      <w:r w:rsidRPr="00362EC1">
        <w:rPr>
          <w:rStyle w:val="Odkazjemn"/>
        </w:rPr>
        <w:t>Ekonomsko</w:t>
      </w:r>
      <w:proofErr w:type="spellEnd"/>
      <w:r w:rsidRPr="00362EC1">
        <w:rPr>
          <w:rStyle w:val="Odkazjemn"/>
        </w:rPr>
        <w:t>-</w:t>
      </w:r>
      <w:proofErr w:type="spellStart"/>
      <w:r w:rsidRPr="00362EC1">
        <w:rPr>
          <w:rStyle w:val="Odkazjemn"/>
        </w:rPr>
        <w:t>Ekonomsko.asp</w:t>
      </w:r>
      <w:proofErr w:type="spellEnd"/>
      <w:r w:rsidRPr="00362EC1">
        <w:rPr>
          <w:rStyle w:val="Odkazjemn"/>
        </w:rPr>
        <w:t>&gt;</w:t>
      </w:r>
    </w:p>
  </w:footnote>
  <w:footnote w:id="125">
    <w:p w:rsidR="00FD7B45" w:rsidRDefault="00FD7B45" w:rsidP="00BF1E38">
      <w:pPr>
        <w:pStyle w:val="Textpoznpodarou"/>
      </w:pPr>
      <w:r w:rsidRPr="00362EC1">
        <w:rPr>
          <w:rStyle w:val="Odkazjemn"/>
        </w:rPr>
        <w:footnoteRef/>
      </w:r>
      <w:r w:rsidRPr="00362EC1">
        <w:rPr>
          <w:rStyle w:val="Odkazjemn"/>
        </w:rPr>
        <w:t xml:space="preserve"> Výše uved</w:t>
      </w:r>
      <w:r>
        <w:rPr>
          <w:rStyle w:val="Odkazjemn"/>
        </w:rPr>
        <w:t>e</w:t>
      </w:r>
      <w:r w:rsidRPr="00362EC1">
        <w:rPr>
          <w:rStyle w:val="Odkazjemn"/>
        </w:rPr>
        <w:t>no</w:t>
      </w:r>
    </w:p>
  </w:footnote>
  <w:footnote w:id="126">
    <w:p w:rsidR="00FD7B45" w:rsidRDefault="00FD7B45" w:rsidP="00BF1E38">
      <w:pPr>
        <w:pStyle w:val="Textpoznpodarou"/>
      </w:pPr>
      <w:r w:rsidRPr="00362EC1">
        <w:rPr>
          <w:rStyle w:val="Odkazjemn"/>
        </w:rPr>
        <w:footnoteRef/>
      </w:r>
      <w:r w:rsidRPr="00362EC1">
        <w:rPr>
          <w:rStyle w:val="Odkazjemn"/>
        </w:rPr>
        <w:t xml:space="preserve"> Statistický Národní úřad [online], Národní účty, 2010, [cit. </w:t>
      </w:r>
      <w:proofErr w:type="gramStart"/>
      <w:r w:rsidRPr="00362EC1">
        <w:rPr>
          <w:rStyle w:val="Odkazjemn"/>
        </w:rPr>
        <w:t>2010-10</w:t>
      </w:r>
      <w:proofErr w:type="gramEnd"/>
      <w:r w:rsidRPr="00362EC1">
        <w:rPr>
          <w:rStyle w:val="Odkazjemn"/>
        </w:rPr>
        <w:t>-30]. Dostupný z &lt;http//www.</w:t>
      </w:r>
      <w:proofErr w:type="spellStart"/>
      <w:r w:rsidRPr="00362EC1">
        <w:rPr>
          <w:rStyle w:val="Odkazjemn"/>
        </w:rPr>
        <w:t>stat.si</w:t>
      </w:r>
      <w:proofErr w:type="spellEnd"/>
      <w:r w:rsidRPr="00362EC1">
        <w:rPr>
          <w:rStyle w:val="Odkazjemn"/>
        </w:rPr>
        <w:t>-</w:t>
      </w:r>
      <w:proofErr w:type="spellStart"/>
      <w:r w:rsidRPr="00362EC1">
        <w:rPr>
          <w:rStyle w:val="Odkazjemn"/>
        </w:rPr>
        <w:t>pxeb</w:t>
      </w:r>
      <w:proofErr w:type="spellEnd"/>
      <w:r w:rsidRPr="00362EC1">
        <w:rPr>
          <w:rStyle w:val="Odkazjemn"/>
        </w:rPr>
        <w:t xml:space="preserve"> </w:t>
      </w:r>
      <w:proofErr w:type="spellStart"/>
      <w:r w:rsidRPr="00362EC1">
        <w:rPr>
          <w:rStyle w:val="Odkazjemn"/>
        </w:rPr>
        <w:t>Database</w:t>
      </w:r>
      <w:proofErr w:type="spellEnd"/>
      <w:r w:rsidRPr="00362EC1">
        <w:rPr>
          <w:rStyle w:val="Odkazjemn"/>
        </w:rPr>
        <w:t>-</w:t>
      </w:r>
      <w:proofErr w:type="spellStart"/>
      <w:r w:rsidRPr="00362EC1">
        <w:rPr>
          <w:rStyle w:val="Odkazjemn"/>
        </w:rPr>
        <w:t>Ekonomsko</w:t>
      </w:r>
      <w:proofErr w:type="spellEnd"/>
      <w:r w:rsidRPr="00362EC1">
        <w:rPr>
          <w:rStyle w:val="Odkazjemn"/>
        </w:rPr>
        <w:t>-</w:t>
      </w:r>
      <w:proofErr w:type="spellStart"/>
      <w:r w:rsidRPr="00362EC1">
        <w:rPr>
          <w:rStyle w:val="Odkazjemn"/>
        </w:rPr>
        <w:t>Ekonomsko.asp</w:t>
      </w:r>
      <w:proofErr w:type="spellEnd"/>
      <w:r w:rsidRPr="00362EC1">
        <w:rPr>
          <w:rStyle w:val="Odkazjemn"/>
        </w:rPr>
        <w:t>&gt;</w:t>
      </w:r>
    </w:p>
  </w:footnote>
  <w:footnote w:id="127">
    <w:p w:rsidR="00FD7B45" w:rsidRDefault="00FD7B45" w:rsidP="00BF1E38">
      <w:pPr>
        <w:pStyle w:val="Textpoznpodarou"/>
      </w:pPr>
      <w:r w:rsidRPr="00362EC1">
        <w:rPr>
          <w:rStyle w:val="Odkazjemn"/>
        </w:rPr>
        <w:footnoteRef/>
      </w:r>
      <w:r w:rsidRPr="00362EC1">
        <w:rPr>
          <w:rStyle w:val="Odkazjemn"/>
        </w:rPr>
        <w:t xml:space="preserve"> Výše uvedeno</w:t>
      </w:r>
    </w:p>
  </w:footnote>
  <w:footnote w:id="128">
    <w:p w:rsidR="00FD7B45" w:rsidRDefault="00FD7B45" w:rsidP="00BF1E38">
      <w:pPr>
        <w:pStyle w:val="Textpoznpodarou"/>
      </w:pPr>
      <w:r w:rsidRPr="00362EC1">
        <w:rPr>
          <w:rStyle w:val="Odkazjemn"/>
        </w:rPr>
        <w:footnoteRef/>
      </w:r>
      <w:r w:rsidRPr="00362EC1">
        <w:rPr>
          <w:rStyle w:val="Odkazjemn"/>
        </w:rPr>
        <w:t xml:space="preserve"> Statistický Národní úřad [online], Národní účty, 2010, [cit. </w:t>
      </w:r>
      <w:proofErr w:type="gramStart"/>
      <w:r w:rsidRPr="00362EC1">
        <w:rPr>
          <w:rStyle w:val="Odkazjemn"/>
        </w:rPr>
        <w:t>2010-10</w:t>
      </w:r>
      <w:proofErr w:type="gramEnd"/>
      <w:r w:rsidRPr="00362EC1">
        <w:rPr>
          <w:rStyle w:val="Odkazjemn"/>
        </w:rPr>
        <w:t>-30]. Dostupný z &lt;http//www.</w:t>
      </w:r>
      <w:proofErr w:type="spellStart"/>
      <w:r w:rsidRPr="00362EC1">
        <w:rPr>
          <w:rStyle w:val="Odkazjemn"/>
        </w:rPr>
        <w:t>stat.si</w:t>
      </w:r>
      <w:proofErr w:type="spellEnd"/>
      <w:r w:rsidRPr="00362EC1">
        <w:rPr>
          <w:rStyle w:val="Odkazjemn"/>
        </w:rPr>
        <w:t>-</w:t>
      </w:r>
      <w:proofErr w:type="spellStart"/>
      <w:r w:rsidRPr="00362EC1">
        <w:rPr>
          <w:rStyle w:val="Odkazjemn"/>
        </w:rPr>
        <w:t>pxeb</w:t>
      </w:r>
      <w:proofErr w:type="spellEnd"/>
      <w:r w:rsidRPr="00362EC1">
        <w:rPr>
          <w:rStyle w:val="Odkazjemn"/>
        </w:rPr>
        <w:t xml:space="preserve"> </w:t>
      </w:r>
      <w:proofErr w:type="spellStart"/>
      <w:r w:rsidRPr="00362EC1">
        <w:rPr>
          <w:rStyle w:val="Odkazjemn"/>
        </w:rPr>
        <w:t>Database</w:t>
      </w:r>
      <w:proofErr w:type="spellEnd"/>
      <w:r w:rsidRPr="00362EC1">
        <w:rPr>
          <w:rStyle w:val="Odkazjemn"/>
        </w:rPr>
        <w:t>-</w:t>
      </w:r>
      <w:proofErr w:type="spellStart"/>
      <w:r w:rsidRPr="00362EC1">
        <w:rPr>
          <w:rStyle w:val="Odkazjemn"/>
        </w:rPr>
        <w:t>Ekonomsko</w:t>
      </w:r>
      <w:proofErr w:type="spellEnd"/>
      <w:r w:rsidRPr="00362EC1">
        <w:rPr>
          <w:rStyle w:val="Odkazjemn"/>
        </w:rPr>
        <w:t>-</w:t>
      </w:r>
      <w:proofErr w:type="spellStart"/>
      <w:r w:rsidRPr="00362EC1">
        <w:rPr>
          <w:rStyle w:val="Odkazjemn"/>
        </w:rPr>
        <w:t>Ekonomsko.asp</w:t>
      </w:r>
      <w:proofErr w:type="spellEnd"/>
      <w:r w:rsidRPr="00362EC1">
        <w:rPr>
          <w:rStyle w:val="Odkazjemn"/>
        </w:rPr>
        <w:t>&gt;</w:t>
      </w:r>
    </w:p>
  </w:footnote>
  <w:footnote w:id="129">
    <w:p w:rsidR="00FD7B45" w:rsidRDefault="00FD7B45" w:rsidP="00BF1E38">
      <w:pPr>
        <w:pStyle w:val="Textpoznpodarou"/>
      </w:pPr>
      <w:r w:rsidRPr="00362EC1">
        <w:rPr>
          <w:rStyle w:val="Odkazjemn"/>
        </w:rPr>
        <w:footnoteRef/>
      </w:r>
      <w:r w:rsidRPr="00362EC1">
        <w:rPr>
          <w:rStyle w:val="Odkazjemn"/>
        </w:rPr>
        <w:t xml:space="preserve"> Výše uvedeno</w:t>
      </w:r>
    </w:p>
  </w:footnote>
  <w:footnote w:id="130">
    <w:p w:rsidR="00FD7B45" w:rsidRDefault="00FD7B45" w:rsidP="00BF1E38">
      <w:pPr>
        <w:pStyle w:val="Textpoznpodarou"/>
      </w:pPr>
      <w:r w:rsidRPr="00362EC1">
        <w:rPr>
          <w:rStyle w:val="Odkazjemn"/>
        </w:rPr>
        <w:footnoteRef/>
      </w:r>
      <w:r w:rsidRPr="00362EC1">
        <w:rPr>
          <w:rStyle w:val="Odkazjemn"/>
        </w:rPr>
        <w:t xml:space="preserve"> Výše uvedeno</w:t>
      </w:r>
    </w:p>
  </w:footnote>
  <w:footnote w:id="131">
    <w:p w:rsidR="00FD7B45" w:rsidRDefault="00FD7B45" w:rsidP="00BF1E38">
      <w:pPr>
        <w:pStyle w:val="Textpoznpodarou"/>
      </w:pPr>
      <w:r w:rsidRPr="00AB4075">
        <w:rPr>
          <w:rStyle w:val="Odkazjemn"/>
        </w:rPr>
        <w:footnoteRef/>
      </w:r>
      <w:r w:rsidRPr="00AB4075">
        <w:rPr>
          <w:rStyle w:val="Odkazjemn"/>
        </w:rPr>
        <w:t xml:space="preserve"> Statistický Národní úřad [online], Národní účty, 2010, [cit. </w:t>
      </w:r>
      <w:proofErr w:type="gramStart"/>
      <w:r w:rsidRPr="00AB4075">
        <w:rPr>
          <w:rStyle w:val="Odkazjemn"/>
        </w:rPr>
        <w:t>2010-10</w:t>
      </w:r>
      <w:proofErr w:type="gramEnd"/>
      <w:r w:rsidRPr="00AB4075">
        <w:rPr>
          <w:rStyle w:val="Odkazjemn"/>
        </w:rPr>
        <w:t>-30]. Dostupný z &lt;http//www.</w:t>
      </w:r>
      <w:proofErr w:type="spellStart"/>
      <w:r w:rsidRPr="00AB4075">
        <w:rPr>
          <w:rStyle w:val="Odkazjemn"/>
        </w:rPr>
        <w:t>stat.si</w:t>
      </w:r>
      <w:proofErr w:type="spellEnd"/>
      <w:r w:rsidRPr="00AB4075">
        <w:rPr>
          <w:rStyle w:val="Odkazjemn"/>
        </w:rPr>
        <w:t>-</w:t>
      </w:r>
      <w:proofErr w:type="spellStart"/>
      <w:r w:rsidRPr="00AB4075">
        <w:rPr>
          <w:rStyle w:val="Odkazjemn"/>
        </w:rPr>
        <w:t>pxeb</w:t>
      </w:r>
      <w:proofErr w:type="spellEnd"/>
      <w:r w:rsidRPr="00AB4075">
        <w:rPr>
          <w:rStyle w:val="Odkazjemn"/>
        </w:rPr>
        <w:t xml:space="preserve"> </w:t>
      </w:r>
      <w:proofErr w:type="spellStart"/>
      <w:r w:rsidRPr="00AB4075">
        <w:rPr>
          <w:rStyle w:val="Odkazjemn"/>
        </w:rPr>
        <w:t>Database</w:t>
      </w:r>
      <w:proofErr w:type="spellEnd"/>
      <w:r w:rsidRPr="00AB4075">
        <w:rPr>
          <w:rStyle w:val="Odkazjemn"/>
        </w:rPr>
        <w:t>-</w:t>
      </w:r>
      <w:proofErr w:type="spellStart"/>
      <w:r w:rsidRPr="00AB4075">
        <w:rPr>
          <w:rStyle w:val="Odkazjemn"/>
        </w:rPr>
        <w:t>Ekonomsko</w:t>
      </w:r>
      <w:proofErr w:type="spellEnd"/>
      <w:r w:rsidRPr="00AB4075">
        <w:rPr>
          <w:rStyle w:val="Odkazjemn"/>
        </w:rPr>
        <w:t>-</w:t>
      </w:r>
      <w:proofErr w:type="spellStart"/>
      <w:r w:rsidRPr="00AB4075">
        <w:rPr>
          <w:rStyle w:val="Odkazjemn"/>
        </w:rPr>
        <w:t>Ekonomsko.asp</w:t>
      </w:r>
      <w:proofErr w:type="spellEnd"/>
      <w:r w:rsidRPr="00AB4075">
        <w:rPr>
          <w:rStyle w:val="Odkazjemn"/>
        </w:rPr>
        <w:t>&gt;</w:t>
      </w:r>
    </w:p>
  </w:footnote>
  <w:footnote w:id="132">
    <w:p w:rsidR="00FD7B45" w:rsidRDefault="00FD7B45" w:rsidP="00BF1E38">
      <w:pPr>
        <w:pStyle w:val="Textpoznpodarou"/>
      </w:pPr>
      <w:r w:rsidRPr="00AB4075">
        <w:rPr>
          <w:rStyle w:val="Odkazjemn"/>
        </w:rPr>
        <w:footnoteRef/>
      </w:r>
      <w:r w:rsidRPr="00AB4075">
        <w:rPr>
          <w:rStyle w:val="Odkazjemn"/>
        </w:rPr>
        <w:t xml:space="preserve"> Výše uvedeno</w:t>
      </w:r>
    </w:p>
  </w:footnote>
  <w:footnote w:id="133">
    <w:p w:rsidR="00FD7B45" w:rsidRDefault="00FD7B45" w:rsidP="00BF1E38">
      <w:pPr>
        <w:pStyle w:val="Textpoznpodarou"/>
      </w:pPr>
      <w:r w:rsidRPr="00AB4075">
        <w:rPr>
          <w:rStyle w:val="Odkazjemn"/>
        </w:rPr>
        <w:footnoteRef/>
      </w:r>
      <w:r w:rsidRPr="00AB4075">
        <w:rPr>
          <w:rStyle w:val="Odkazjemn"/>
        </w:rPr>
        <w:t xml:space="preserve"> Výše uvedeno</w:t>
      </w:r>
    </w:p>
  </w:footnote>
  <w:footnote w:id="134">
    <w:p w:rsidR="00FD7B45" w:rsidRDefault="00FD7B45" w:rsidP="00BF1E38">
      <w:pPr>
        <w:pStyle w:val="Textpoznpodarou"/>
      </w:pPr>
      <w:r w:rsidRPr="00AB4075">
        <w:rPr>
          <w:rStyle w:val="Odkazjemn"/>
        </w:rPr>
        <w:footnoteRef/>
      </w:r>
      <w:r w:rsidRPr="00AB4075">
        <w:rPr>
          <w:rStyle w:val="Odkazjemn"/>
        </w:rPr>
        <w:t xml:space="preserve"> Výše uvedeno</w:t>
      </w:r>
    </w:p>
  </w:footnote>
  <w:footnote w:id="135">
    <w:p w:rsidR="00FD7B45" w:rsidRDefault="00FD7B45" w:rsidP="00BF1E38">
      <w:pPr>
        <w:pStyle w:val="Podtitul"/>
      </w:pPr>
      <w:r w:rsidRPr="00635247">
        <w:rPr>
          <w:rStyle w:val="Odkazjemn"/>
        </w:rPr>
        <w:footnoteRef/>
      </w:r>
      <w:r w:rsidRPr="00635247">
        <w:rPr>
          <w:rStyle w:val="Odkazjemn"/>
        </w:rPr>
        <w:t xml:space="preserve"> Statistický Národní úřad [online], Národní účty, 2010, [cit. </w:t>
      </w:r>
      <w:proofErr w:type="gramStart"/>
      <w:r w:rsidRPr="00635247">
        <w:rPr>
          <w:rStyle w:val="Odkazjemn"/>
        </w:rPr>
        <w:t>2010-10</w:t>
      </w:r>
      <w:proofErr w:type="gramEnd"/>
      <w:r w:rsidRPr="00635247">
        <w:rPr>
          <w:rStyle w:val="Odkazjemn"/>
        </w:rPr>
        <w:t xml:space="preserve">-30]. </w:t>
      </w:r>
      <w:proofErr w:type="gramStart"/>
      <w:r w:rsidRPr="00635247">
        <w:rPr>
          <w:rStyle w:val="Odkazjemn"/>
        </w:rPr>
        <w:t xml:space="preserve">Dostupný </w:t>
      </w:r>
      <w:r>
        <w:rPr>
          <w:rStyle w:val="Odkazjemn"/>
        </w:rPr>
        <w:t xml:space="preserve">                   </w:t>
      </w:r>
      <w:r w:rsidRPr="00635247">
        <w:rPr>
          <w:rStyle w:val="Odkazjemn"/>
        </w:rPr>
        <w:t>z &lt;http//www</w:t>
      </w:r>
      <w:proofErr w:type="gramEnd"/>
      <w:r w:rsidRPr="00635247">
        <w:rPr>
          <w:rStyle w:val="Odkazjemn"/>
        </w:rPr>
        <w:t>.</w:t>
      </w:r>
      <w:proofErr w:type="spellStart"/>
      <w:r w:rsidRPr="00635247">
        <w:rPr>
          <w:rStyle w:val="Odkazjemn"/>
        </w:rPr>
        <w:t>stat.si</w:t>
      </w:r>
      <w:proofErr w:type="spellEnd"/>
      <w:r w:rsidRPr="00635247">
        <w:rPr>
          <w:rStyle w:val="Odkazjemn"/>
        </w:rPr>
        <w:t>-</w:t>
      </w:r>
      <w:proofErr w:type="spellStart"/>
      <w:r w:rsidRPr="00635247">
        <w:rPr>
          <w:rStyle w:val="Odkazjemn"/>
        </w:rPr>
        <w:t>pxeb</w:t>
      </w:r>
      <w:proofErr w:type="spellEnd"/>
      <w:r w:rsidRPr="00635247">
        <w:rPr>
          <w:rStyle w:val="Odkazjemn"/>
        </w:rPr>
        <w:t xml:space="preserve"> </w:t>
      </w:r>
      <w:proofErr w:type="spellStart"/>
      <w:r w:rsidRPr="00635247">
        <w:rPr>
          <w:rStyle w:val="Odkazjemn"/>
        </w:rPr>
        <w:t>Database</w:t>
      </w:r>
      <w:proofErr w:type="spellEnd"/>
      <w:r w:rsidRPr="00635247">
        <w:rPr>
          <w:rStyle w:val="Odkazjemn"/>
        </w:rPr>
        <w:t>-</w:t>
      </w:r>
      <w:proofErr w:type="spellStart"/>
      <w:r w:rsidRPr="00635247">
        <w:rPr>
          <w:rStyle w:val="Odkazjemn"/>
        </w:rPr>
        <w:t>Ekonomsko</w:t>
      </w:r>
      <w:proofErr w:type="spellEnd"/>
      <w:r w:rsidRPr="00635247">
        <w:rPr>
          <w:rStyle w:val="Odkazjemn"/>
        </w:rPr>
        <w:t>-</w:t>
      </w:r>
      <w:proofErr w:type="spellStart"/>
      <w:r w:rsidRPr="00635247">
        <w:rPr>
          <w:rStyle w:val="Odkazjemn"/>
        </w:rPr>
        <w:t>Ekonomsko.asp</w:t>
      </w:r>
      <w:proofErr w:type="spellEnd"/>
      <w:r w:rsidRPr="00635247">
        <w:rPr>
          <w:rStyle w:val="Odkazjemn"/>
        </w:rPr>
        <w:t>&gt;</w:t>
      </w:r>
    </w:p>
  </w:footnote>
  <w:footnote w:id="136">
    <w:p w:rsidR="00FD7B45" w:rsidRDefault="00FD7B45" w:rsidP="00BF1E38">
      <w:pPr>
        <w:pStyle w:val="Textpoznpodarou"/>
      </w:pPr>
      <w:r w:rsidRPr="008F5A60">
        <w:rPr>
          <w:rStyle w:val="Odkazjemn"/>
        </w:rPr>
        <w:footnoteRef/>
      </w:r>
      <w:r w:rsidRPr="008F5A60">
        <w:rPr>
          <w:rStyle w:val="Odkazjemn"/>
        </w:rPr>
        <w:t xml:space="preserve"> Výše uvedeno</w:t>
      </w:r>
    </w:p>
  </w:footnote>
  <w:footnote w:id="137">
    <w:p w:rsidR="00FD7B45" w:rsidRDefault="00FD7B45" w:rsidP="00BF1E38">
      <w:pPr>
        <w:pStyle w:val="Podtitul"/>
      </w:pPr>
      <w:r w:rsidRPr="00635247">
        <w:rPr>
          <w:rStyle w:val="Odkazjemn"/>
        </w:rPr>
        <w:footnoteRef/>
      </w:r>
      <w:r w:rsidRPr="00635247">
        <w:rPr>
          <w:rStyle w:val="Odkazjemn"/>
        </w:rPr>
        <w:t xml:space="preserve"> Výše uvedeno</w:t>
      </w:r>
    </w:p>
  </w:footnote>
  <w:footnote w:id="138">
    <w:p w:rsidR="00FD7B45" w:rsidRDefault="00FD7B45" w:rsidP="00BF1E38">
      <w:pPr>
        <w:pStyle w:val="Podtitul"/>
      </w:pPr>
      <w:r w:rsidRPr="00635247">
        <w:rPr>
          <w:rStyle w:val="Odkazjemn"/>
        </w:rPr>
        <w:footnoteRef/>
      </w:r>
      <w:r w:rsidRPr="00635247">
        <w:rPr>
          <w:rStyle w:val="Odkazjemn"/>
        </w:rPr>
        <w:t xml:space="preserve"> Výše uvedeno</w:t>
      </w:r>
    </w:p>
  </w:footnote>
  <w:footnote w:id="139">
    <w:p w:rsidR="00FD7B45" w:rsidRDefault="00FD7B45" w:rsidP="00BF1E38">
      <w:pPr>
        <w:pStyle w:val="Textpoznpodarou"/>
      </w:pPr>
      <w:r w:rsidRPr="00635247">
        <w:rPr>
          <w:rStyle w:val="Odkazjemn"/>
        </w:rPr>
        <w:footnoteRef/>
      </w:r>
      <w:r w:rsidRPr="00635247">
        <w:rPr>
          <w:rStyle w:val="Odkazjemn"/>
        </w:rPr>
        <w:t xml:space="preserve"> Statistický Národní úřad [online], Národní účty, 2010, [cit. </w:t>
      </w:r>
      <w:proofErr w:type="gramStart"/>
      <w:r w:rsidRPr="00635247">
        <w:rPr>
          <w:rStyle w:val="Odkazjemn"/>
        </w:rPr>
        <w:t>2010-10</w:t>
      </w:r>
      <w:proofErr w:type="gramEnd"/>
      <w:r w:rsidRPr="00635247">
        <w:rPr>
          <w:rStyle w:val="Odkazjemn"/>
        </w:rPr>
        <w:t>-30]. Dostupný z &lt;http//www.</w:t>
      </w:r>
      <w:proofErr w:type="spellStart"/>
      <w:r w:rsidRPr="00635247">
        <w:rPr>
          <w:rStyle w:val="Odkazjemn"/>
        </w:rPr>
        <w:t>stat.si</w:t>
      </w:r>
      <w:proofErr w:type="spellEnd"/>
      <w:r w:rsidRPr="00635247">
        <w:rPr>
          <w:rStyle w:val="Odkazjemn"/>
        </w:rPr>
        <w:t>-</w:t>
      </w:r>
      <w:proofErr w:type="spellStart"/>
      <w:r w:rsidRPr="00635247">
        <w:rPr>
          <w:rStyle w:val="Odkazjemn"/>
        </w:rPr>
        <w:t>pxeb</w:t>
      </w:r>
      <w:proofErr w:type="spellEnd"/>
      <w:r w:rsidRPr="00635247">
        <w:rPr>
          <w:rStyle w:val="Odkazjemn"/>
        </w:rPr>
        <w:t xml:space="preserve"> </w:t>
      </w:r>
      <w:proofErr w:type="spellStart"/>
      <w:r w:rsidRPr="00635247">
        <w:rPr>
          <w:rStyle w:val="Odkazjemn"/>
        </w:rPr>
        <w:t>Database</w:t>
      </w:r>
      <w:proofErr w:type="spellEnd"/>
      <w:r w:rsidRPr="00635247">
        <w:rPr>
          <w:rStyle w:val="Odkazjemn"/>
        </w:rPr>
        <w:t>-</w:t>
      </w:r>
      <w:proofErr w:type="spellStart"/>
      <w:r w:rsidRPr="00635247">
        <w:rPr>
          <w:rStyle w:val="Odkazjemn"/>
        </w:rPr>
        <w:t>Ekonomsko</w:t>
      </w:r>
      <w:proofErr w:type="spellEnd"/>
      <w:r w:rsidRPr="00635247">
        <w:rPr>
          <w:rStyle w:val="Odkazjemn"/>
        </w:rPr>
        <w:t>-</w:t>
      </w:r>
      <w:proofErr w:type="spellStart"/>
      <w:r w:rsidRPr="00635247">
        <w:rPr>
          <w:rStyle w:val="Odkazjemn"/>
        </w:rPr>
        <w:t>Ekonomsko.asp</w:t>
      </w:r>
      <w:proofErr w:type="spellEnd"/>
      <w:r w:rsidRPr="00635247">
        <w:rPr>
          <w:rStyle w:val="Odkazjemn"/>
        </w:rPr>
        <w:t>&gt;</w:t>
      </w:r>
    </w:p>
  </w:footnote>
  <w:footnote w:id="140">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41">
    <w:p w:rsidR="00FD7B45" w:rsidRDefault="00FD7B45" w:rsidP="00BF1E38">
      <w:pPr>
        <w:pStyle w:val="Textpoznpodarou"/>
      </w:pPr>
      <w:r w:rsidRPr="00635247">
        <w:rPr>
          <w:rStyle w:val="Odkazjemn"/>
        </w:rPr>
        <w:footnoteRef/>
      </w:r>
      <w:r w:rsidRPr="00635247">
        <w:rPr>
          <w:rStyle w:val="Odkazjemn"/>
        </w:rPr>
        <w:t xml:space="preserve"> Výše uvedeno</w:t>
      </w:r>
    </w:p>
  </w:footnote>
  <w:footnote w:id="142">
    <w:p w:rsidR="00FD7B45" w:rsidRDefault="00FD7B45" w:rsidP="00BF1E38">
      <w:pPr>
        <w:pStyle w:val="Textpoznpodarou"/>
      </w:pPr>
      <w:r w:rsidRPr="00635247">
        <w:rPr>
          <w:rStyle w:val="Odkazjemn"/>
        </w:rPr>
        <w:footnoteRef/>
      </w:r>
      <w:r w:rsidRPr="00635247">
        <w:rPr>
          <w:rStyle w:val="Odkazjemn"/>
        </w:rPr>
        <w:t xml:space="preserve"> Výše uvedeno</w:t>
      </w:r>
    </w:p>
  </w:footnote>
  <w:footnote w:id="143">
    <w:p w:rsidR="00FD7B45" w:rsidRDefault="00FD7B45" w:rsidP="00BF1E38">
      <w:pPr>
        <w:pStyle w:val="Textpoznpodarou"/>
      </w:pPr>
      <w:r w:rsidRPr="00635247">
        <w:rPr>
          <w:rStyle w:val="Odkazjemn"/>
        </w:rPr>
        <w:footnoteRef/>
      </w:r>
      <w:r w:rsidRPr="00635247">
        <w:rPr>
          <w:rStyle w:val="Odkazjemn"/>
        </w:rPr>
        <w:t xml:space="preserve"> Statistický Národní úřad [online], Národní účty, 2010, [cit. </w:t>
      </w:r>
      <w:proofErr w:type="gramStart"/>
      <w:r w:rsidRPr="00635247">
        <w:rPr>
          <w:rStyle w:val="Odkazjemn"/>
        </w:rPr>
        <w:t>2010-10</w:t>
      </w:r>
      <w:proofErr w:type="gramEnd"/>
      <w:r w:rsidRPr="00635247">
        <w:rPr>
          <w:rStyle w:val="Odkazjemn"/>
        </w:rPr>
        <w:t>-30]. Dostupný z &lt;http//www.</w:t>
      </w:r>
      <w:proofErr w:type="spellStart"/>
      <w:r w:rsidRPr="00635247">
        <w:rPr>
          <w:rStyle w:val="Odkazjemn"/>
        </w:rPr>
        <w:t>stat.si</w:t>
      </w:r>
      <w:proofErr w:type="spellEnd"/>
      <w:r w:rsidRPr="00635247">
        <w:rPr>
          <w:rStyle w:val="Odkazjemn"/>
        </w:rPr>
        <w:t>-</w:t>
      </w:r>
      <w:proofErr w:type="spellStart"/>
      <w:r w:rsidRPr="00635247">
        <w:rPr>
          <w:rStyle w:val="Odkazjemn"/>
        </w:rPr>
        <w:t>pxeb</w:t>
      </w:r>
      <w:proofErr w:type="spellEnd"/>
      <w:r w:rsidRPr="00635247">
        <w:rPr>
          <w:rStyle w:val="Odkazjemn"/>
        </w:rPr>
        <w:t xml:space="preserve"> </w:t>
      </w:r>
      <w:proofErr w:type="spellStart"/>
      <w:r w:rsidRPr="00635247">
        <w:rPr>
          <w:rStyle w:val="Odkazjemn"/>
        </w:rPr>
        <w:t>Database</w:t>
      </w:r>
      <w:proofErr w:type="spellEnd"/>
      <w:r w:rsidRPr="00635247">
        <w:rPr>
          <w:rStyle w:val="Odkazjemn"/>
        </w:rPr>
        <w:t>-</w:t>
      </w:r>
      <w:proofErr w:type="spellStart"/>
      <w:r w:rsidRPr="00635247">
        <w:rPr>
          <w:rStyle w:val="Odkazjemn"/>
        </w:rPr>
        <w:t>Ekonomsko</w:t>
      </w:r>
      <w:proofErr w:type="spellEnd"/>
      <w:r w:rsidRPr="00635247">
        <w:rPr>
          <w:rStyle w:val="Odkazjemn"/>
        </w:rPr>
        <w:t>-</w:t>
      </w:r>
      <w:proofErr w:type="spellStart"/>
      <w:r w:rsidRPr="00635247">
        <w:rPr>
          <w:rStyle w:val="Odkazjemn"/>
        </w:rPr>
        <w:t>Ekonomsko.asp</w:t>
      </w:r>
      <w:proofErr w:type="spellEnd"/>
      <w:r w:rsidRPr="00635247">
        <w:rPr>
          <w:rStyle w:val="Odkazjemn"/>
        </w:rPr>
        <w:t>&gt;</w:t>
      </w:r>
    </w:p>
  </w:footnote>
  <w:footnote w:id="144">
    <w:p w:rsidR="00FD7B45" w:rsidRDefault="00FD7B45" w:rsidP="00BF1E38">
      <w:pPr>
        <w:pStyle w:val="Textpoznpodarou"/>
      </w:pPr>
      <w:r w:rsidRPr="00635247">
        <w:rPr>
          <w:rStyle w:val="Odkazjemn"/>
        </w:rPr>
        <w:footnoteRef/>
      </w:r>
      <w:r w:rsidRPr="00635247">
        <w:rPr>
          <w:rStyle w:val="Odkazjemn"/>
        </w:rPr>
        <w:t xml:space="preserve"> Výše uvedeno</w:t>
      </w:r>
    </w:p>
  </w:footnote>
  <w:footnote w:id="145">
    <w:p w:rsidR="00FD7B45" w:rsidRDefault="00FD7B45" w:rsidP="00BF1E38">
      <w:pPr>
        <w:pStyle w:val="Textpoznpodarou"/>
      </w:pPr>
      <w:r w:rsidRPr="00635247">
        <w:rPr>
          <w:rStyle w:val="Odkazjemn"/>
        </w:rPr>
        <w:footnoteRef/>
      </w:r>
      <w:r w:rsidRPr="00635247">
        <w:rPr>
          <w:rStyle w:val="Odkazjemn"/>
        </w:rPr>
        <w:t xml:space="preserve"> Výše uvedeno</w:t>
      </w:r>
    </w:p>
  </w:footnote>
  <w:footnote w:id="146">
    <w:p w:rsidR="00FD7B45" w:rsidRDefault="00FD7B45" w:rsidP="00BF1E38">
      <w:pPr>
        <w:pStyle w:val="Textpoznpodarou"/>
      </w:pPr>
      <w:r w:rsidRPr="000D2846">
        <w:rPr>
          <w:rStyle w:val="Odkazjemn"/>
        </w:rPr>
        <w:footnoteRef/>
      </w:r>
      <w:r w:rsidRPr="000D2846">
        <w:rPr>
          <w:rStyle w:val="Odkazjemn"/>
        </w:rPr>
        <w:t xml:space="preserve"> Statistický Národní úřad [online], Národní účty, 2010, [cit. </w:t>
      </w:r>
      <w:proofErr w:type="gramStart"/>
      <w:r w:rsidRPr="000D2846">
        <w:rPr>
          <w:rStyle w:val="Odkazjemn"/>
        </w:rPr>
        <w:t>2010-10</w:t>
      </w:r>
      <w:proofErr w:type="gramEnd"/>
      <w:r w:rsidRPr="000D2846">
        <w:rPr>
          <w:rStyle w:val="Odkazjemn"/>
        </w:rPr>
        <w:t>-30]. Dostupný z &lt;http//www.</w:t>
      </w:r>
      <w:proofErr w:type="spellStart"/>
      <w:r w:rsidRPr="000D2846">
        <w:rPr>
          <w:rStyle w:val="Odkazjemn"/>
        </w:rPr>
        <w:t>stat.si</w:t>
      </w:r>
      <w:proofErr w:type="spellEnd"/>
      <w:r w:rsidRPr="000D2846">
        <w:rPr>
          <w:rStyle w:val="Odkazjemn"/>
        </w:rPr>
        <w:t>-</w:t>
      </w:r>
      <w:proofErr w:type="spellStart"/>
      <w:r w:rsidRPr="000D2846">
        <w:rPr>
          <w:rStyle w:val="Odkazjemn"/>
        </w:rPr>
        <w:t>pxeb</w:t>
      </w:r>
      <w:proofErr w:type="spellEnd"/>
      <w:r w:rsidRPr="000D2846">
        <w:rPr>
          <w:rStyle w:val="Odkazjemn"/>
        </w:rPr>
        <w:t xml:space="preserve"> </w:t>
      </w:r>
      <w:proofErr w:type="spellStart"/>
      <w:r w:rsidRPr="000D2846">
        <w:rPr>
          <w:rStyle w:val="Odkazjemn"/>
        </w:rPr>
        <w:t>Database</w:t>
      </w:r>
      <w:proofErr w:type="spellEnd"/>
      <w:r w:rsidRPr="000D2846">
        <w:rPr>
          <w:rStyle w:val="Odkazjemn"/>
        </w:rPr>
        <w:t>-</w:t>
      </w:r>
      <w:proofErr w:type="spellStart"/>
      <w:r w:rsidRPr="000D2846">
        <w:rPr>
          <w:rStyle w:val="Odkazjemn"/>
        </w:rPr>
        <w:t>Ekonomsko</w:t>
      </w:r>
      <w:proofErr w:type="spellEnd"/>
      <w:r w:rsidRPr="000D2846">
        <w:rPr>
          <w:rStyle w:val="Odkazjemn"/>
        </w:rPr>
        <w:t>-</w:t>
      </w:r>
      <w:proofErr w:type="spellStart"/>
      <w:r w:rsidRPr="000D2846">
        <w:rPr>
          <w:rStyle w:val="Odkazjemn"/>
        </w:rPr>
        <w:t>Ekonomsko.asp</w:t>
      </w:r>
      <w:proofErr w:type="spellEnd"/>
      <w:r w:rsidRPr="000D2846">
        <w:rPr>
          <w:rStyle w:val="Odkazjemn"/>
        </w:rPr>
        <w:t>&gt;</w:t>
      </w:r>
    </w:p>
  </w:footnote>
  <w:footnote w:id="147">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48">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49">
    <w:p w:rsidR="00FD7B45" w:rsidRPr="000D2846" w:rsidRDefault="00FD7B45" w:rsidP="00BF1E38">
      <w:pPr>
        <w:pStyle w:val="Textpoznpodarou"/>
        <w:rPr>
          <w:rStyle w:val="Odkazjemn"/>
        </w:rPr>
      </w:pPr>
      <w:r w:rsidRPr="000D2846">
        <w:rPr>
          <w:rStyle w:val="Odkazjemn"/>
        </w:rPr>
        <w:footnoteRef/>
      </w:r>
      <w:r w:rsidRPr="000D2846">
        <w:rPr>
          <w:rStyle w:val="Odkazjemn"/>
        </w:rPr>
        <w:t xml:space="preserve"> Statistický Národní úřad [online], Národní účty, 2010, [cit. </w:t>
      </w:r>
      <w:proofErr w:type="gramStart"/>
      <w:r w:rsidRPr="000D2846">
        <w:rPr>
          <w:rStyle w:val="Odkazjemn"/>
        </w:rPr>
        <w:t>2010-10</w:t>
      </w:r>
      <w:proofErr w:type="gramEnd"/>
      <w:r w:rsidRPr="000D2846">
        <w:rPr>
          <w:rStyle w:val="Odkazjemn"/>
        </w:rPr>
        <w:t>-30]. Dostupný z &lt;http//www.</w:t>
      </w:r>
      <w:proofErr w:type="spellStart"/>
      <w:r w:rsidRPr="000D2846">
        <w:rPr>
          <w:rStyle w:val="Odkazjemn"/>
        </w:rPr>
        <w:t>stat.si</w:t>
      </w:r>
      <w:proofErr w:type="spellEnd"/>
      <w:r w:rsidRPr="000D2846">
        <w:rPr>
          <w:rStyle w:val="Odkazjemn"/>
        </w:rPr>
        <w:t>-</w:t>
      </w:r>
      <w:proofErr w:type="spellStart"/>
      <w:r w:rsidRPr="000D2846">
        <w:rPr>
          <w:rStyle w:val="Odkazjemn"/>
        </w:rPr>
        <w:t>pxeb</w:t>
      </w:r>
      <w:proofErr w:type="spellEnd"/>
      <w:r w:rsidRPr="000D2846">
        <w:rPr>
          <w:rStyle w:val="Odkazjemn"/>
        </w:rPr>
        <w:t xml:space="preserve"> </w:t>
      </w:r>
      <w:proofErr w:type="spellStart"/>
      <w:r w:rsidRPr="000D2846">
        <w:rPr>
          <w:rStyle w:val="Odkazjemn"/>
        </w:rPr>
        <w:t>Database</w:t>
      </w:r>
      <w:proofErr w:type="spellEnd"/>
      <w:r w:rsidRPr="000D2846">
        <w:rPr>
          <w:rStyle w:val="Odkazjemn"/>
        </w:rPr>
        <w:t>-</w:t>
      </w:r>
      <w:proofErr w:type="spellStart"/>
      <w:r w:rsidRPr="000D2846">
        <w:rPr>
          <w:rStyle w:val="Odkazjemn"/>
        </w:rPr>
        <w:t>Ekonomsko</w:t>
      </w:r>
      <w:proofErr w:type="spellEnd"/>
      <w:r w:rsidRPr="000D2846">
        <w:rPr>
          <w:rStyle w:val="Odkazjemn"/>
        </w:rPr>
        <w:t>-</w:t>
      </w:r>
      <w:proofErr w:type="spellStart"/>
      <w:r w:rsidRPr="000D2846">
        <w:rPr>
          <w:rStyle w:val="Odkazjemn"/>
        </w:rPr>
        <w:t>Ekonomsko.asp</w:t>
      </w:r>
      <w:proofErr w:type="spellEnd"/>
      <w:r w:rsidRPr="000D2846">
        <w:rPr>
          <w:rStyle w:val="Odkazjemn"/>
        </w:rPr>
        <w:t>&gt;</w:t>
      </w:r>
    </w:p>
    <w:p w:rsidR="00FD7B45" w:rsidRDefault="00FD7B45" w:rsidP="00BF1E38">
      <w:pPr>
        <w:pStyle w:val="Textpoznpodarou"/>
      </w:pPr>
    </w:p>
  </w:footnote>
  <w:footnote w:id="150">
    <w:p w:rsidR="00FD7B45" w:rsidRPr="000D2846" w:rsidRDefault="00FD7B45" w:rsidP="00BF1E38">
      <w:pPr>
        <w:pStyle w:val="Textpoznpodarou"/>
        <w:rPr>
          <w:rStyle w:val="Odkazjemn"/>
        </w:rPr>
      </w:pPr>
      <w:r w:rsidRPr="000D2846">
        <w:rPr>
          <w:rStyle w:val="Odkazjemn"/>
        </w:rPr>
        <w:footnoteRef/>
      </w:r>
      <w:r w:rsidRPr="000D2846">
        <w:rPr>
          <w:rStyle w:val="Odkazjemn"/>
        </w:rPr>
        <w:t xml:space="preserve"> Statistický Národní úřad [online], Národní účty, 2010, [cit. </w:t>
      </w:r>
      <w:proofErr w:type="gramStart"/>
      <w:r w:rsidRPr="000D2846">
        <w:rPr>
          <w:rStyle w:val="Odkazjemn"/>
        </w:rPr>
        <w:t>2010-10</w:t>
      </w:r>
      <w:proofErr w:type="gramEnd"/>
      <w:r w:rsidRPr="000D2846">
        <w:rPr>
          <w:rStyle w:val="Odkazjemn"/>
        </w:rPr>
        <w:t>-30]. Dostupný z &lt;http//www.</w:t>
      </w:r>
      <w:proofErr w:type="spellStart"/>
      <w:r w:rsidRPr="000D2846">
        <w:rPr>
          <w:rStyle w:val="Odkazjemn"/>
        </w:rPr>
        <w:t>stat.si</w:t>
      </w:r>
      <w:proofErr w:type="spellEnd"/>
      <w:r w:rsidRPr="000D2846">
        <w:rPr>
          <w:rStyle w:val="Odkazjemn"/>
        </w:rPr>
        <w:t>-</w:t>
      </w:r>
      <w:proofErr w:type="spellStart"/>
      <w:r w:rsidRPr="000D2846">
        <w:rPr>
          <w:rStyle w:val="Odkazjemn"/>
        </w:rPr>
        <w:t>pxeb</w:t>
      </w:r>
      <w:proofErr w:type="spellEnd"/>
      <w:r w:rsidRPr="000D2846">
        <w:rPr>
          <w:rStyle w:val="Odkazjemn"/>
        </w:rPr>
        <w:t xml:space="preserve"> </w:t>
      </w:r>
      <w:proofErr w:type="spellStart"/>
      <w:r w:rsidRPr="000D2846">
        <w:rPr>
          <w:rStyle w:val="Odkazjemn"/>
        </w:rPr>
        <w:t>Database</w:t>
      </w:r>
      <w:proofErr w:type="spellEnd"/>
      <w:r w:rsidRPr="000D2846">
        <w:rPr>
          <w:rStyle w:val="Odkazjemn"/>
        </w:rPr>
        <w:t>-</w:t>
      </w:r>
      <w:proofErr w:type="spellStart"/>
      <w:r w:rsidRPr="000D2846">
        <w:rPr>
          <w:rStyle w:val="Odkazjemn"/>
        </w:rPr>
        <w:t>Ekonomsko</w:t>
      </w:r>
      <w:proofErr w:type="spellEnd"/>
      <w:r w:rsidRPr="000D2846">
        <w:rPr>
          <w:rStyle w:val="Odkazjemn"/>
        </w:rPr>
        <w:t>-</w:t>
      </w:r>
      <w:proofErr w:type="spellStart"/>
      <w:r w:rsidRPr="000D2846">
        <w:rPr>
          <w:rStyle w:val="Odkazjemn"/>
        </w:rPr>
        <w:t>Ekonomsko.asp</w:t>
      </w:r>
      <w:proofErr w:type="spellEnd"/>
      <w:r w:rsidRPr="000D2846">
        <w:rPr>
          <w:rStyle w:val="Odkazjemn"/>
        </w:rPr>
        <w:t>&gt;</w:t>
      </w:r>
    </w:p>
    <w:p w:rsidR="00FD7B45" w:rsidRDefault="00FD7B45" w:rsidP="00BF1E38">
      <w:pPr>
        <w:pStyle w:val="Textpoznpodarou"/>
      </w:pPr>
    </w:p>
  </w:footnote>
  <w:footnote w:id="151">
    <w:p w:rsidR="00FD7B45" w:rsidRDefault="00FD7B45" w:rsidP="00BF1E38">
      <w:pPr>
        <w:pStyle w:val="Textpoznpodarou"/>
      </w:pPr>
      <w:r w:rsidRPr="000D2846">
        <w:rPr>
          <w:rStyle w:val="Odkazjemn"/>
        </w:rPr>
        <w:footnoteRef/>
      </w:r>
      <w:r w:rsidRPr="000D2846">
        <w:rPr>
          <w:rStyle w:val="Odkazjemn"/>
        </w:rPr>
        <w:t xml:space="preserve"> Statistický Národní úřad [online], Národní účty, 2010, [cit. </w:t>
      </w:r>
      <w:proofErr w:type="gramStart"/>
      <w:r w:rsidRPr="000D2846">
        <w:rPr>
          <w:rStyle w:val="Odkazjemn"/>
        </w:rPr>
        <w:t>2010-10</w:t>
      </w:r>
      <w:proofErr w:type="gramEnd"/>
      <w:r w:rsidRPr="000D2846">
        <w:rPr>
          <w:rStyle w:val="Odkazjemn"/>
        </w:rPr>
        <w:t>-30]. Dostupný z &lt;http//www.</w:t>
      </w:r>
      <w:proofErr w:type="spellStart"/>
      <w:r w:rsidRPr="000D2846">
        <w:rPr>
          <w:rStyle w:val="Odkazjemn"/>
        </w:rPr>
        <w:t>stat.si</w:t>
      </w:r>
      <w:proofErr w:type="spellEnd"/>
      <w:r w:rsidRPr="000D2846">
        <w:rPr>
          <w:rStyle w:val="Odkazjemn"/>
        </w:rPr>
        <w:t>-</w:t>
      </w:r>
      <w:proofErr w:type="spellStart"/>
      <w:r w:rsidRPr="000D2846">
        <w:rPr>
          <w:rStyle w:val="Odkazjemn"/>
        </w:rPr>
        <w:t>pxeb</w:t>
      </w:r>
      <w:proofErr w:type="spellEnd"/>
      <w:r w:rsidRPr="000D2846">
        <w:rPr>
          <w:rStyle w:val="Odkazjemn"/>
        </w:rPr>
        <w:t xml:space="preserve"> </w:t>
      </w:r>
      <w:proofErr w:type="spellStart"/>
      <w:r w:rsidRPr="000D2846">
        <w:rPr>
          <w:rStyle w:val="Odkazjemn"/>
        </w:rPr>
        <w:t>Database</w:t>
      </w:r>
      <w:proofErr w:type="spellEnd"/>
      <w:r w:rsidRPr="000D2846">
        <w:rPr>
          <w:rStyle w:val="Odkazjemn"/>
        </w:rPr>
        <w:t>-</w:t>
      </w:r>
      <w:proofErr w:type="spellStart"/>
      <w:r w:rsidRPr="000D2846">
        <w:rPr>
          <w:rStyle w:val="Odkazjemn"/>
        </w:rPr>
        <w:t>Ekonomsko</w:t>
      </w:r>
      <w:proofErr w:type="spellEnd"/>
      <w:r w:rsidRPr="000D2846">
        <w:rPr>
          <w:rStyle w:val="Odkazjemn"/>
        </w:rPr>
        <w:t>-</w:t>
      </w:r>
      <w:proofErr w:type="spellStart"/>
      <w:r w:rsidRPr="000D2846">
        <w:rPr>
          <w:rStyle w:val="Odkazjemn"/>
        </w:rPr>
        <w:t>Ekonomsko.asp</w:t>
      </w:r>
      <w:proofErr w:type="spellEnd"/>
      <w:r w:rsidRPr="000D2846">
        <w:rPr>
          <w:rStyle w:val="Odkazjemn"/>
        </w:rPr>
        <w:t>&gt;</w:t>
      </w:r>
    </w:p>
  </w:footnote>
  <w:footnote w:id="152">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53">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54">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55">
    <w:p w:rsidR="00FD7B45" w:rsidRDefault="00FD7B45" w:rsidP="00BF1E38">
      <w:pPr>
        <w:pStyle w:val="Textpoznpodarou"/>
      </w:pPr>
      <w:r w:rsidRPr="000D2846">
        <w:rPr>
          <w:rStyle w:val="Odkazjemn"/>
        </w:rPr>
        <w:footnoteRef/>
      </w:r>
      <w:r w:rsidRPr="000D2846">
        <w:rPr>
          <w:rStyle w:val="Odkazjemn"/>
        </w:rPr>
        <w:t xml:space="preserve"> Statistický Národní úřad [online], Národní účty, 2010, [cit. </w:t>
      </w:r>
      <w:proofErr w:type="gramStart"/>
      <w:r w:rsidRPr="000D2846">
        <w:rPr>
          <w:rStyle w:val="Odkazjemn"/>
        </w:rPr>
        <w:t>2010-10</w:t>
      </w:r>
      <w:proofErr w:type="gramEnd"/>
      <w:r w:rsidRPr="000D2846">
        <w:rPr>
          <w:rStyle w:val="Odkazjemn"/>
        </w:rPr>
        <w:t>-30]. Dostupný z &lt;http//www.</w:t>
      </w:r>
      <w:proofErr w:type="spellStart"/>
      <w:r w:rsidRPr="000D2846">
        <w:rPr>
          <w:rStyle w:val="Odkazjemn"/>
        </w:rPr>
        <w:t>stat.si</w:t>
      </w:r>
      <w:proofErr w:type="spellEnd"/>
      <w:r w:rsidRPr="000D2846">
        <w:rPr>
          <w:rStyle w:val="Odkazjemn"/>
        </w:rPr>
        <w:t>-</w:t>
      </w:r>
      <w:proofErr w:type="spellStart"/>
      <w:r w:rsidRPr="000D2846">
        <w:rPr>
          <w:rStyle w:val="Odkazjemn"/>
        </w:rPr>
        <w:t>pxeb</w:t>
      </w:r>
      <w:proofErr w:type="spellEnd"/>
      <w:r w:rsidRPr="000D2846">
        <w:rPr>
          <w:rStyle w:val="Odkazjemn"/>
        </w:rPr>
        <w:t xml:space="preserve"> </w:t>
      </w:r>
      <w:proofErr w:type="spellStart"/>
      <w:r w:rsidRPr="000D2846">
        <w:rPr>
          <w:rStyle w:val="Odkazjemn"/>
        </w:rPr>
        <w:t>Database</w:t>
      </w:r>
      <w:proofErr w:type="spellEnd"/>
      <w:r w:rsidRPr="000D2846">
        <w:rPr>
          <w:rStyle w:val="Odkazjemn"/>
        </w:rPr>
        <w:t>-</w:t>
      </w:r>
      <w:proofErr w:type="spellStart"/>
      <w:r w:rsidRPr="000D2846">
        <w:rPr>
          <w:rStyle w:val="Odkazjemn"/>
        </w:rPr>
        <w:t>Ekonomsko</w:t>
      </w:r>
      <w:proofErr w:type="spellEnd"/>
      <w:r w:rsidRPr="000D2846">
        <w:rPr>
          <w:rStyle w:val="Odkazjemn"/>
        </w:rPr>
        <w:t>-</w:t>
      </w:r>
      <w:proofErr w:type="spellStart"/>
      <w:r w:rsidRPr="000D2846">
        <w:rPr>
          <w:rStyle w:val="Odkazjemn"/>
        </w:rPr>
        <w:t>Ekonomsko.asp</w:t>
      </w:r>
      <w:proofErr w:type="spellEnd"/>
      <w:r w:rsidRPr="000D2846">
        <w:rPr>
          <w:rStyle w:val="Odkazjemn"/>
        </w:rPr>
        <w:t>&gt;</w:t>
      </w:r>
    </w:p>
  </w:footnote>
  <w:footnote w:id="156">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57">
    <w:p w:rsidR="00FD7B45" w:rsidRDefault="00FD7B45" w:rsidP="00BF1E38">
      <w:pPr>
        <w:pStyle w:val="Textpoznpodarou"/>
      </w:pPr>
      <w:r w:rsidRPr="000D2846">
        <w:rPr>
          <w:rStyle w:val="Odkazjemn"/>
        </w:rPr>
        <w:footnoteRef/>
      </w:r>
      <w:r w:rsidRPr="000D2846">
        <w:rPr>
          <w:rStyle w:val="Odkazjemn"/>
        </w:rPr>
        <w:t xml:space="preserve"> Statistický Národní úřad [online], Národní účty, 2010, [cit. </w:t>
      </w:r>
      <w:proofErr w:type="gramStart"/>
      <w:r w:rsidRPr="000D2846">
        <w:rPr>
          <w:rStyle w:val="Odkazjemn"/>
        </w:rPr>
        <w:t>2010-10</w:t>
      </w:r>
      <w:proofErr w:type="gramEnd"/>
      <w:r w:rsidRPr="000D2846">
        <w:rPr>
          <w:rStyle w:val="Odkazjemn"/>
        </w:rPr>
        <w:t>-30]. Dostupný z &lt;http//www.</w:t>
      </w:r>
      <w:proofErr w:type="spellStart"/>
      <w:r w:rsidRPr="000D2846">
        <w:rPr>
          <w:rStyle w:val="Odkazjemn"/>
        </w:rPr>
        <w:t>stat.si</w:t>
      </w:r>
      <w:proofErr w:type="spellEnd"/>
      <w:r w:rsidRPr="000D2846">
        <w:rPr>
          <w:rStyle w:val="Odkazjemn"/>
        </w:rPr>
        <w:t>-</w:t>
      </w:r>
      <w:proofErr w:type="spellStart"/>
      <w:r w:rsidRPr="000D2846">
        <w:rPr>
          <w:rStyle w:val="Odkazjemn"/>
        </w:rPr>
        <w:t>pxeb</w:t>
      </w:r>
      <w:proofErr w:type="spellEnd"/>
      <w:r w:rsidRPr="000D2846">
        <w:rPr>
          <w:rStyle w:val="Odkazjemn"/>
        </w:rPr>
        <w:t xml:space="preserve"> </w:t>
      </w:r>
      <w:proofErr w:type="spellStart"/>
      <w:r w:rsidRPr="000D2846">
        <w:rPr>
          <w:rStyle w:val="Odkazjemn"/>
        </w:rPr>
        <w:t>Database</w:t>
      </w:r>
      <w:proofErr w:type="spellEnd"/>
      <w:r w:rsidRPr="000D2846">
        <w:rPr>
          <w:rStyle w:val="Odkazjemn"/>
        </w:rPr>
        <w:t>-</w:t>
      </w:r>
      <w:proofErr w:type="spellStart"/>
      <w:r w:rsidRPr="000D2846">
        <w:rPr>
          <w:rStyle w:val="Odkazjemn"/>
        </w:rPr>
        <w:t>Ekonomsko</w:t>
      </w:r>
      <w:proofErr w:type="spellEnd"/>
      <w:r w:rsidRPr="000D2846">
        <w:rPr>
          <w:rStyle w:val="Odkazjemn"/>
        </w:rPr>
        <w:t>-</w:t>
      </w:r>
      <w:proofErr w:type="spellStart"/>
      <w:r w:rsidRPr="000D2846">
        <w:rPr>
          <w:rStyle w:val="Odkazjemn"/>
        </w:rPr>
        <w:t>Ekonomsko.asp</w:t>
      </w:r>
      <w:proofErr w:type="spellEnd"/>
      <w:r w:rsidRPr="000D2846">
        <w:rPr>
          <w:rStyle w:val="Odkazjemn"/>
        </w:rPr>
        <w:t>&gt;</w:t>
      </w:r>
    </w:p>
  </w:footnote>
  <w:footnote w:id="158">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59">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60">
    <w:p w:rsidR="00FD7B45" w:rsidRDefault="00FD7B45" w:rsidP="00BF1E38">
      <w:pPr>
        <w:pStyle w:val="Textpoznpodarou"/>
      </w:pPr>
      <w:r w:rsidRPr="000D2846">
        <w:rPr>
          <w:rStyle w:val="Odkazjemn"/>
        </w:rPr>
        <w:footnoteRef/>
      </w:r>
      <w:r w:rsidRPr="000D2846">
        <w:rPr>
          <w:rStyle w:val="Odkazjemn"/>
        </w:rPr>
        <w:t xml:space="preserve"> Statistický Národní úřad [online], Národní účty, 2010, [cit. </w:t>
      </w:r>
      <w:proofErr w:type="gramStart"/>
      <w:r w:rsidRPr="000D2846">
        <w:rPr>
          <w:rStyle w:val="Odkazjemn"/>
        </w:rPr>
        <w:t>2010-10</w:t>
      </w:r>
      <w:proofErr w:type="gramEnd"/>
      <w:r w:rsidRPr="000D2846">
        <w:rPr>
          <w:rStyle w:val="Odkazjemn"/>
        </w:rPr>
        <w:t>-30]. Dostupný z &lt;http//www.</w:t>
      </w:r>
      <w:proofErr w:type="spellStart"/>
      <w:r w:rsidRPr="000D2846">
        <w:rPr>
          <w:rStyle w:val="Odkazjemn"/>
        </w:rPr>
        <w:t>stat.si</w:t>
      </w:r>
      <w:proofErr w:type="spellEnd"/>
      <w:r w:rsidRPr="000D2846">
        <w:rPr>
          <w:rStyle w:val="Odkazjemn"/>
        </w:rPr>
        <w:t>-</w:t>
      </w:r>
      <w:proofErr w:type="spellStart"/>
      <w:r w:rsidRPr="000D2846">
        <w:rPr>
          <w:rStyle w:val="Odkazjemn"/>
        </w:rPr>
        <w:t>pxeb</w:t>
      </w:r>
      <w:proofErr w:type="spellEnd"/>
      <w:r w:rsidRPr="000D2846">
        <w:rPr>
          <w:rStyle w:val="Odkazjemn"/>
        </w:rPr>
        <w:t xml:space="preserve"> </w:t>
      </w:r>
      <w:proofErr w:type="spellStart"/>
      <w:r w:rsidRPr="000D2846">
        <w:rPr>
          <w:rStyle w:val="Odkazjemn"/>
        </w:rPr>
        <w:t>Database</w:t>
      </w:r>
      <w:proofErr w:type="spellEnd"/>
      <w:r w:rsidRPr="000D2846">
        <w:rPr>
          <w:rStyle w:val="Odkazjemn"/>
        </w:rPr>
        <w:t>-</w:t>
      </w:r>
      <w:proofErr w:type="spellStart"/>
      <w:r w:rsidRPr="000D2846">
        <w:rPr>
          <w:rStyle w:val="Odkazjemn"/>
        </w:rPr>
        <w:t>Ekonomsko</w:t>
      </w:r>
      <w:proofErr w:type="spellEnd"/>
      <w:r w:rsidRPr="000D2846">
        <w:rPr>
          <w:rStyle w:val="Odkazjemn"/>
        </w:rPr>
        <w:t>-</w:t>
      </w:r>
      <w:proofErr w:type="spellStart"/>
      <w:r w:rsidRPr="000D2846">
        <w:rPr>
          <w:rStyle w:val="Odkazjemn"/>
        </w:rPr>
        <w:t>Ekonomsko.asp</w:t>
      </w:r>
      <w:proofErr w:type="spellEnd"/>
      <w:r w:rsidRPr="000D2846">
        <w:rPr>
          <w:rStyle w:val="Odkazjemn"/>
        </w:rPr>
        <w:t>&gt;</w:t>
      </w:r>
    </w:p>
  </w:footnote>
  <w:footnote w:id="161">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62">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63">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64">
    <w:p w:rsidR="00FD7B45" w:rsidRDefault="00FD7B45" w:rsidP="00BF1E38">
      <w:pPr>
        <w:pStyle w:val="Textpoznpodarou"/>
      </w:pPr>
      <w:r w:rsidRPr="000D2846">
        <w:rPr>
          <w:rStyle w:val="Odkazjemn"/>
        </w:rPr>
        <w:footnoteRef/>
      </w:r>
      <w:r w:rsidRPr="000D2846">
        <w:rPr>
          <w:rStyle w:val="Odkazjemn"/>
        </w:rPr>
        <w:t xml:space="preserve"> Statistický Národní úřad [online], Národní účty, 2010, [cit. </w:t>
      </w:r>
      <w:proofErr w:type="gramStart"/>
      <w:r w:rsidRPr="000D2846">
        <w:rPr>
          <w:rStyle w:val="Odkazjemn"/>
        </w:rPr>
        <w:t>2010-10</w:t>
      </w:r>
      <w:proofErr w:type="gramEnd"/>
      <w:r w:rsidRPr="000D2846">
        <w:rPr>
          <w:rStyle w:val="Odkazjemn"/>
        </w:rPr>
        <w:t>-30]. Dostupný z &lt;http//www.</w:t>
      </w:r>
      <w:proofErr w:type="spellStart"/>
      <w:r w:rsidRPr="000D2846">
        <w:rPr>
          <w:rStyle w:val="Odkazjemn"/>
        </w:rPr>
        <w:t>stat.si</w:t>
      </w:r>
      <w:proofErr w:type="spellEnd"/>
      <w:r w:rsidRPr="000D2846">
        <w:rPr>
          <w:rStyle w:val="Odkazjemn"/>
        </w:rPr>
        <w:t>-</w:t>
      </w:r>
      <w:proofErr w:type="spellStart"/>
      <w:r w:rsidRPr="000D2846">
        <w:rPr>
          <w:rStyle w:val="Odkazjemn"/>
        </w:rPr>
        <w:t>pxeb</w:t>
      </w:r>
      <w:proofErr w:type="spellEnd"/>
      <w:r w:rsidRPr="000D2846">
        <w:rPr>
          <w:rStyle w:val="Odkazjemn"/>
        </w:rPr>
        <w:t xml:space="preserve"> </w:t>
      </w:r>
      <w:proofErr w:type="spellStart"/>
      <w:r w:rsidRPr="000D2846">
        <w:rPr>
          <w:rStyle w:val="Odkazjemn"/>
        </w:rPr>
        <w:t>Database</w:t>
      </w:r>
      <w:proofErr w:type="spellEnd"/>
      <w:r w:rsidRPr="000D2846">
        <w:rPr>
          <w:rStyle w:val="Odkazjemn"/>
        </w:rPr>
        <w:t>-</w:t>
      </w:r>
      <w:proofErr w:type="spellStart"/>
      <w:r w:rsidRPr="000D2846">
        <w:rPr>
          <w:rStyle w:val="Odkazjemn"/>
        </w:rPr>
        <w:t>Ekonomsko</w:t>
      </w:r>
      <w:proofErr w:type="spellEnd"/>
      <w:r w:rsidRPr="000D2846">
        <w:rPr>
          <w:rStyle w:val="Odkazjemn"/>
        </w:rPr>
        <w:t>-</w:t>
      </w:r>
      <w:proofErr w:type="spellStart"/>
      <w:r w:rsidRPr="000D2846">
        <w:rPr>
          <w:rStyle w:val="Odkazjemn"/>
        </w:rPr>
        <w:t>Ekonomsko.asp</w:t>
      </w:r>
      <w:proofErr w:type="spellEnd"/>
      <w:r w:rsidRPr="000D2846">
        <w:rPr>
          <w:rStyle w:val="Odkazjemn"/>
        </w:rPr>
        <w:t>&gt;</w:t>
      </w:r>
    </w:p>
  </w:footnote>
  <w:footnote w:id="165">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66">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67">
    <w:p w:rsidR="00FD7B45" w:rsidRDefault="00FD7B45" w:rsidP="00BF1E38">
      <w:pPr>
        <w:pStyle w:val="Textpoznpodarou"/>
      </w:pPr>
      <w:r w:rsidRPr="000D2846">
        <w:rPr>
          <w:rStyle w:val="Odkazjemn"/>
        </w:rPr>
        <w:footnoteRef/>
      </w:r>
      <w:r w:rsidRPr="000D2846">
        <w:rPr>
          <w:rStyle w:val="Odkazjemn"/>
        </w:rPr>
        <w:t xml:space="preserve"> Výše uvedeno</w:t>
      </w:r>
    </w:p>
  </w:footnote>
  <w:footnote w:id="168">
    <w:p w:rsidR="00FD7B45" w:rsidRPr="000D2846" w:rsidRDefault="00FD7B45" w:rsidP="00BF1E38">
      <w:pPr>
        <w:pStyle w:val="Textpoznpodarou"/>
        <w:rPr>
          <w:rStyle w:val="Odkazjemn"/>
        </w:rPr>
      </w:pPr>
      <w:r w:rsidRPr="000D2846">
        <w:rPr>
          <w:rStyle w:val="Odkazjemn"/>
        </w:rPr>
        <w:footnoteRef/>
      </w:r>
      <w:r w:rsidRPr="000D2846">
        <w:rPr>
          <w:rStyle w:val="Odkazjemn"/>
        </w:rPr>
        <w:t xml:space="preserve"> Statistický Národní úřad [online], Národní účty, 2010, [cit. </w:t>
      </w:r>
      <w:proofErr w:type="gramStart"/>
      <w:r w:rsidRPr="000D2846">
        <w:rPr>
          <w:rStyle w:val="Odkazjemn"/>
        </w:rPr>
        <w:t>2010-10</w:t>
      </w:r>
      <w:proofErr w:type="gramEnd"/>
      <w:r w:rsidRPr="000D2846">
        <w:rPr>
          <w:rStyle w:val="Odkazjemn"/>
        </w:rPr>
        <w:t>-30]. Dostupný z &lt;http//www.</w:t>
      </w:r>
      <w:proofErr w:type="spellStart"/>
      <w:r w:rsidRPr="000D2846">
        <w:rPr>
          <w:rStyle w:val="Odkazjemn"/>
        </w:rPr>
        <w:t>stat.si</w:t>
      </w:r>
      <w:proofErr w:type="spellEnd"/>
      <w:r w:rsidRPr="000D2846">
        <w:rPr>
          <w:rStyle w:val="Odkazjemn"/>
        </w:rPr>
        <w:t>-</w:t>
      </w:r>
      <w:proofErr w:type="spellStart"/>
      <w:r w:rsidRPr="000D2846">
        <w:rPr>
          <w:rStyle w:val="Odkazjemn"/>
        </w:rPr>
        <w:t>pxeb</w:t>
      </w:r>
      <w:proofErr w:type="spellEnd"/>
      <w:r w:rsidRPr="000D2846">
        <w:rPr>
          <w:rStyle w:val="Odkazjemn"/>
        </w:rPr>
        <w:t xml:space="preserve"> </w:t>
      </w:r>
      <w:proofErr w:type="spellStart"/>
      <w:r w:rsidRPr="000D2846">
        <w:rPr>
          <w:rStyle w:val="Odkazjemn"/>
        </w:rPr>
        <w:t>Database</w:t>
      </w:r>
      <w:proofErr w:type="spellEnd"/>
      <w:r w:rsidRPr="000D2846">
        <w:rPr>
          <w:rStyle w:val="Odkazjemn"/>
        </w:rPr>
        <w:t>-</w:t>
      </w:r>
      <w:proofErr w:type="spellStart"/>
      <w:r w:rsidRPr="000D2846">
        <w:rPr>
          <w:rStyle w:val="Odkazjemn"/>
        </w:rPr>
        <w:t>Ekonomsko</w:t>
      </w:r>
      <w:proofErr w:type="spellEnd"/>
      <w:r w:rsidRPr="000D2846">
        <w:rPr>
          <w:rStyle w:val="Odkazjemn"/>
        </w:rPr>
        <w:t>-</w:t>
      </w:r>
      <w:proofErr w:type="spellStart"/>
      <w:r w:rsidRPr="000D2846">
        <w:rPr>
          <w:rStyle w:val="Odkazjemn"/>
        </w:rPr>
        <w:t>Ekonomsko.asp</w:t>
      </w:r>
      <w:proofErr w:type="spellEnd"/>
      <w:r w:rsidRPr="000D2846">
        <w:rPr>
          <w:rStyle w:val="Odkazjemn"/>
        </w:rPr>
        <w:t>&gt;</w:t>
      </w:r>
    </w:p>
    <w:p w:rsidR="00FD7B45" w:rsidRDefault="00FD7B45" w:rsidP="00BF1E38">
      <w:pPr>
        <w:pStyle w:val="Textpoznpodarou"/>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C936D3"/>
    <w:multiLevelType w:val="multilevel"/>
    <w:tmpl w:val="6826D162"/>
    <w:lvl w:ilvl="0">
      <w:start w:val="1"/>
      <w:numFmt w:val="decimal"/>
      <w:lvlText w:val="%1."/>
      <w:lvlJc w:val="left"/>
      <w:pPr>
        <w:ind w:left="450" w:hanging="450"/>
      </w:pPr>
      <w:rPr>
        <w:rFonts w:ascii="Times New Roman" w:eastAsia="Times New Roman" w:hAnsi="Times New Roman" w:cs="Times New Roman"/>
      </w:rPr>
    </w:lvl>
    <w:lvl w:ilvl="1">
      <w:start w:val="1"/>
      <w:numFmt w:val="decimal"/>
      <w:lvlText w:val="%1.%2."/>
      <w:lvlJc w:val="left"/>
      <w:pPr>
        <w:ind w:left="1800" w:hanging="720"/>
      </w:pPr>
      <w:rPr>
        <w:rFonts w:eastAsia="Times New Roman" w:cs="Times New Roman" w:hint="default"/>
      </w:rPr>
    </w:lvl>
    <w:lvl w:ilvl="2">
      <w:start w:val="1"/>
      <w:numFmt w:val="decimal"/>
      <w:lvlText w:val="%1.%2.%3."/>
      <w:lvlJc w:val="left"/>
      <w:pPr>
        <w:ind w:left="2880" w:hanging="720"/>
      </w:pPr>
      <w:rPr>
        <w:rFonts w:eastAsia="Times New Roman" w:cs="Times New Roman" w:hint="default"/>
      </w:rPr>
    </w:lvl>
    <w:lvl w:ilvl="3">
      <w:start w:val="1"/>
      <w:numFmt w:val="decimal"/>
      <w:lvlText w:val="%1.%2.%3.%4."/>
      <w:lvlJc w:val="left"/>
      <w:pPr>
        <w:ind w:left="4320" w:hanging="1080"/>
      </w:pPr>
      <w:rPr>
        <w:rFonts w:eastAsia="Times New Roman" w:cs="Times New Roman" w:hint="default"/>
      </w:rPr>
    </w:lvl>
    <w:lvl w:ilvl="4">
      <w:start w:val="1"/>
      <w:numFmt w:val="decimal"/>
      <w:lvlText w:val="%1.%2.%3.%4.%5."/>
      <w:lvlJc w:val="left"/>
      <w:pPr>
        <w:ind w:left="5400" w:hanging="1080"/>
      </w:pPr>
      <w:rPr>
        <w:rFonts w:eastAsia="Times New Roman" w:cs="Times New Roman" w:hint="default"/>
      </w:rPr>
    </w:lvl>
    <w:lvl w:ilvl="5">
      <w:start w:val="1"/>
      <w:numFmt w:val="decimal"/>
      <w:lvlText w:val="%1.%2.%3.%4.%5.%6."/>
      <w:lvlJc w:val="left"/>
      <w:pPr>
        <w:ind w:left="6840" w:hanging="1440"/>
      </w:pPr>
      <w:rPr>
        <w:rFonts w:eastAsia="Times New Roman" w:cs="Times New Roman" w:hint="default"/>
      </w:rPr>
    </w:lvl>
    <w:lvl w:ilvl="6">
      <w:start w:val="1"/>
      <w:numFmt w:val="decimal"/>
      <w:lvlText w:val="%1.%2.%3.%4.%5.%6.%7."/>
      <w:lvlJc w:val="left"/>
      <w:pPr>
        <w:ind w:left="8280" w:hanging="1800"/>
      </w:pPr>
      <w:rPr>
        <w:rFonts w:eastAsia="Times New Roman" w:cs="Times New Roman" w:hint="default"/>
      </w:rPr>
    </w:lvl>
    <w:lvl w:ilvl="7">
      <w:start w:val="1"/>
      <w:numFmt w:val="decimal"/>
      <w:lvlText w:val="%1.%2.%3.%4.%5.%6.%7.%8."/>
      <w:lvlJc w:val="left"/>
      <w:pPr>
        <w:ind w:left="9360" w:hanging="1800"/>
      </w:pPr>
      <w:rPr>
        <w:rFonts w:eastAsia="Times New Roman" w:cs="Times New Roman" w:hint="default"/>
      </w:rPr>
    </w:lvl>
    <w:lvl w:ilvl="8">
      <w:start w:val="1"/>
      <w:numFmt w:val="decimal"/>
      <w:lvlText w:val="%1.%2.%3.%4.%5.%6.%7.%8.%9."/>
      <w:lvlJc w:val="left"/>
      <w:pPr>
        <w:ind w:left="10800" w:hanging="2160"/>
      </w:pPr>
      <w:rPr>
        <w:rFonts w:eastAsia="Times New Roman" w:cs="Times New Roman" w:hint="default"/>
      </w:rPr>
    </w:lvl>
  </w:abstractNum>
  <w:abstractNum w:abstractNumId="1">
    <w:nsid w:val="15616B58"/>
    <w:multiLevelType w:val="hybridMultilevel"/>
    <w:tmpl w:val="7206C88E"/>
    <w:lvl w:ilvl="0" w:tplc="0405000F">
      <w:start w:val="1"/>
      <w:numFmt w:val="decimal"/>
      <w:lvlText w:val="%1."/>
      <w:lvlJc w:val="left"/>
      <w:pPr>
        <w:ind w:left="786"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18176F79"/>
    <w:multiLevelType w:val="multilevel"/>
    <w:tmpl w:val="670805A0"/>
    <w:lvl w:ilvl="0">
      <w:start w:val="3"/>
      <w:numFmt w:val="decimal"/>
      <w:lvlText w:val="%1"/>
      <w:lvlJc w:val="left"/>
      <w:pPr>
        <w:ind w:left="375" w:hanging="375"/>
      </w:pPr>
      <w:rPr>
        <w:rFonts w:cs="Times New Roman" w:hint="default"/>
      </w:rPr>
    </w:lvl>
    <w:lvl w:ilvl="1">
      <w:start w:val="9"/>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2160" w:hanging="216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40720E4C"/>
    <w:multiLevelType w:val="hybridMultilevel"/>
    <w:tmpl w:val="7C2400D4"/>
    <w:lvl w:ilvl="0" w:tplc="04050005">
      <w:start w:val="1"/>
      <w:numFmt w:val="bullet"/>
      <w:lvlText w:val=""/>
      <w:lvlJc w:val="left"/>
      <w:pPr>
        <w:tabs>
          <w:tab w:val="num" w:pos="720"/>
        </w:tabs>
        <w:ind w:left="720" w:hanging="360"/>
      </w:pPr>
      <w:rPr>
        <w:rFonts w:ascii="Wingdings" w:hAnsi="Wingdings" w:hint="default"/>
        <w:color w:val="auto"/>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nsid w:val="46E174A6"/>
    <w:multiLevelType w:val="multilevel"/>
    <w:tmpl w:val="CAD84E88"/>
    <w:lvl w:ilvl="0">
      <w:start w:val="3"/>
      <w:numFmt w:val="decimal"/>
      <w:lvlText w:val="%1"/>
      <w:lvlJc w:val="left"/>
      <w:pPr>
        <w:ind w:left="375" w:hanging="375"/>
      </w:pPr>
      <w:rPr>
        <w:rFonts w:cs="Times New Roman" w:hint="default"/>
      </w:rPr>
    </w:lvl>
    <w:lvl w:ilvl="1">
      <w:start w:val="1"/>
      <w:numFmt w:val="decimal"/>
      <w:lvlText w:val="%1.%2"/>
      <w:lvlJc w:val="left"/>
      <w:pPr>
        <w:ind w:left="1455" w:hanging="375"/>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800" w:hanging="2160"/>
      </w:pPr>
      <w:rPr>
        <w:rFonts w:cs="Times New Roman" w:hint="default"/>
      </w:rPr>
    </w:lvl>
  </w:abstractNum>
  <w:abstractNum w:abstractNumId="5">
    <w:nsid w:val="5570763F"/>
    <w:multiLevelType w:val="hybridMultilevel"/>
    <w:tmpl w:val="132A9BB8"/>
    <w:lvl w:ilvl="0" w:tplc="7ADCDA18">
      <w:start w:val="1"/>
      <w:numFmt w:val="decimal"/>
      <w:pStyle w:val="externalclass9015b86d913f4aeeb124c00a12335c81"/>
      <w:lvlText w:val="[%1]"/>
      <w:lvlJc w:val="left"/>
      <w:pPr>
        <w:tabs>
          <w:tab w:val="num" w:pos="453"/>
        </w:tabs>
        <w:ind w:left="453" w:hanging="453"/>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618911C6"/>
    <w:multiLevelType w:val="hybridMultilevel"/>
    <w:tmpl w:val="3A46D768"/>
    <w:lvl w:ilvl="0" w:tplc="2F3A4578">
      <w:start w:val="1"/>
      <w:numFmt w:val="decimal"/>
      <w:lvlText w:val="%1"/>
      <w:lvlJc w:val="left"/>
      <w:pPr>
        <w:ind w:left="720" w:hanging="360"/>
      </w:pPr>
      <w:rPr>
        <w:rFonts w:cs="Times New Roman" w:hint="default"/>
      </w:rPr>
    </w:lvl>
    <w:lvl w:ilvl="1" w:tplc="04050019">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7">
    <w:nsid w:val="67A90504"/>
    <w:multiLevelType w:val="hybridMultilevel"/>
    <w:tmpl w:val="19E607C8"/>
    <w:lvl w:ilvl="0" w:tplc="2F3A4578">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8">
    <w:nsid w:val="78A5130D"/>
    <w:multiLevelType w:val="hybridMultilevel"/>
    <w:tmpl w:val="FD0A0C4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5"/>
  </w:num>
  <w:num w:numId="4">
    <w:abstractNumId w:val="3"/>
  </w:num>
  <w:num w:numId="5">
    <w:abstractNumId w:val="6"/>
  </w:num>
  <w:num w:numId="6">
    <w:abstractNumId w:val="7"/>
  </w:num>
  <w:num w:numId="7">
    <w:abstractNumId w:val="4"/>
  </w:num>
  <w:num w:numId="8">
    <w:abstractNumId w:val="1"/>
  </w:num>
  <w:num w:numId="9">
    <w:abstractNumId w:val="2"/>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1417"/>
    <w:rsid w:val="0000082F"/>
    <w:rsid w:val="0000100B"/>
    <w:rsid w:val="0000108F"/>
    <w:rsid w:val="000028EA"/>
    <w:rsid w:val="00004C72"/>
    <w:rsid w:val="00005DB7"/>
    <w:rsid w:val="00005E09"/>
    <w:rsid w:val="000070F2"/>
    <w:rsid w:val="00007737"/>
    <w:rsid w:val="00007C6A"/>
    <w:rsid w:val="000118E2"/>
    <w:rsid w:val="00011F39"/>
    <w:rsid w:val="00014433"/>
    <w:rsid w:val="00014D30"/>
    <w:rsid w:val="00015F50"/>
    <w:rsid w:val="000165D1"/>
    <w:rsid w:val="00017795"/>
    <w:rsid w:val="000177E3"/>
    <w:rsid w:val="00017853"/>
    <w:rsid w:val="000200ED"/>
    <w:rsid w:val="0002033B"/>
    <w:rsid w:val="000206E9"/>
    <w:rsid w:val="00020725"/>
    <w:rsid w:val="00021643"/>
    <w:rsid w:val="0002332F"/>
    <w:rsid w:val="00023333"/>
    <w:rsid w:val="00024398"/>
    <w:rsid w:val="00024557"/>
    <w:rsid w:val="0002631C"/>
    <w:rsid w:val="000268E0"/>
    <w:rsid w:val="00027510"/>
    <w:rsid w:val="00030178"/>
    <w:rsid w:val="0003183A"/>
    <w:rsid w:val="00033B11"/>
    <w:rsid w:val="0003467A"/>
    <w:rsid w:val="00034C80"/>
    <w:rsid w:val="00034F53"/>
    <w:rsid w:val="00035C17"/>
    <w:rsid w:val="0004046A"/>
    <w:rsid w:val="00041113"/>
    <w:rsid w:val="00043751"/>
    <w:rsid w:val="00043787"/>
    <w:rsid w:val="00044124"/>
    <w:rsid w:val="000445B9"/>
    <w:rsid w:val="00044EE4"/>
    <w:rsid w:val="00045417"/>
    <w:rsid w:val="0004689B"/>
    <w:rsid w:val="00046B5C"/>
    <w:rsid w:val="0005066F"/>
    <w:rsid w:val="000518EB"/>
    <w:rsid w:val="00053765"/>
    <w:rsid w:val="0005567D"/>
    <w:rsid w:val="0005608F"/>
    <w:rsid w:val="00056CBC"/>
    <w:rsid w:val="00060792"/>
    <w:rsid w:val="00061648"/>
    <w:rsid w:val="00064C77"/>
    <w:rsid w:val="000651E5"/>
    <w:rsid w:val="00065BEC"/>
    <w:rsid w:val="00065EA0"/>
    <w:rsid w:val="00067320"/>
    <w:rsid w:val="00067E4D"/>
    <w:rsid w:val="000719EB"/>
    <w:rsid w:val="0007343C"/>
    <w:rsid w:val="00073A15"/>
    <w:rsid w:val="000740E7"/>
    <w:rsid w:val="00074756"/>
    <w:rsid w:val="00075CB6"/>
    <w:rsid w:val="00075EF6"/>
    <w:rsid w:val="00080AB6"/>
    <w:rsid w:val="0008152D"/>
    <w:rsid w:val="00081C4B"/>
    <w:rsid w:val="00082A06"/>
    <w:rsid w:val="000847FA"/>
    <w:rsid w:val="00085E99"/>
    <w:rsid w:val="000912A4"/>
    <w:rsid w:val="000918DF"/>
    <w:rsid w:val="00091DC8"/>
    <w:rsid w:val="00092B1A"/>
    <w:rsid w:val="00092E44"/>
    <w:rsid w:val="00094068"/>
    <w:rsid w:val="000946E8"/>
    <w:rsid w:val="00095111"/>
    <w:rsid w:val="0009530E"/>
    <w:rsid w:val="00095478"/>
    <w:rsid w:val="00095899"/>
    <w:rsid w:val="000A0CB7"/>
    <w:rsid w:val="000A5733"/>
    <w:rsid w:val="000A5A88"/>
    <w:rsid w:val="000A5E5A"/>
    <w:rsid w:val="000A6E47"/>
    <w:rsid w:val="000B1858"/>
    <w:rsid w:val="000B19A8"/>
    <w:rsid w:val="000B1D07"/>
    <w:rsid w:val="000B6EF9"/>
    <w:rsid w:val="000B7769"/>
    <w:rsid w:val="000C03C4"/>
    <w:rsid w:val="000C12D3"/>
    <w:rsid w:val="000C2738"/>
    <w:rsid w:val="000C31A6"/>
    <w:rsid w:val="000C3B9A"/>
    <w:rsid w:val="000C4513"/>
    <w:rsid w:val="000C48C6"/>
    <w:rsid w:val="000D071A"/>
    <w:rsid w:val="000D0993"/>
    <w:rsid w:val="000D1812"/>
    <w:rsid w:val="000D1D8D"/>
    <w:rsid w:val="000D2846"/>
    <w:rsid w:val="000D2AFA"/>
    <w:rsid w:val="000D3B81"/>
    <w:rsid w:val="000D450A"/>
    <w:rsid w:val="000D62BC"/>
    <w:rsid w:val="000E1BAF"/>
    <w:rsid w:val="000E1C54"/>
    <w:rsid w:val="000E2EA5"/>
    <w:rsid w:val="000E308B"/>
    <w:rsid w:val="000E3243"/>
    <w:rsid w:val="000E59A0"/>
    <w:rsid w:val="000E6908"/>
    <w:rsid w:val="000E6EC4"/>
    <w:rsid w:val="000E7167"/>
    <w:rsid w:val="000F0B9A"/>
    <w:rsid w:val="000F3E86"/>
    <w:rsid w:val="000F45E8"/>
    <w:rsid w:val="000F7532"/>
    <w:rsid w:val="000F76A0"/>
    <w:rsid w:val="001012B7"/>
    <w:rsid w:val="001114D7"/>
    <w:rsid w:val="00111FE9"/>
    <w:rsid w:val="0011336F"/>
    <w:rsid w:val="00115A0A"/>
    <w:rsid w:val="00120402"/>
    <w:rsid w:val="00121A28"/>
    <w:rsid w:val="00121C2E"/>
    <w:rsid w:val="00121CDB"/>
    <w:rsid w:val="00123917"/>
    <w:rsid w:val="001247F2"/>
    <w:rsid w:val="001263FB"/>
    <w:rsid w:val="00126747"/>
    <w:rsid w:val="00131E91"/>
    <w:rsid w:val="0013536B"/>
    <w:rsid w:val="00136B57"/>
    <w:rsid w:val="001403CE"/>
    <w:rsid w:val="00140D17"/>
    <w:rsid w:val="00141F09"/>
    <w:rsid w:val="0014398D"/>
    <w:rsid w:val="0014431A"/>
    <w:rsid w:val="001452FC"/>
    <w:rsid w:val="0014636B"/>
    <w:rsid w:val="00146DF6"/>
    <w:rsid w:val="00147FC4"/>
    <w:rsid w:val="001500FA"/>
    <w:rsid w:val="001502C8"/>
    <w:rsid w:val="0015097C"/>
    <w:rsid w:val="00150A58"/>
    <w:rsid w:val="00151060"/>
    <w:rsid w:val="00151AE1"/>
    <w:rsid w:val="0015337E"/>
    <w:rsid w:val="001538DD"/>
    <w:rsid w:val="00156075"/>
    <w:rsid w:val="00157814"/>
    <w:rsid w:val="00160259"/>
    <w:rsid w:val="001603AA"/>
    <w:rsid w:val="001604B5"/>
    <w:rsid w:val="00160E6E"/>
    <w:rsid w:val="001611C4"/>
    <w:rsid w:val="0016228B"/>
    <w:rsid w:val="00163058"/>
    <w:rsid w:val="00164055"/>
    <w:rsid w:val="001655C8"/>
    <w:rsid w:val="00165AE3"/>
    <w:rsid w:val="001702B1"/>
    <w:rsid w:val="001724CB"/>
    <w:rsid w:val="001728B3"/>
    <w:rsid w:val="00176446"/>
    <w:rsid w:val="00176C12"/>
    <w:rsid w:val="0018028D"/>
    <w:rsid w:val="0018190B"/>
    <w:rsid w:val="00183AB3"/>
    <w:rsid w:val="00185291"/>
    <w:rsid w:val="00186F92"/>
    <w:rsid w:val="00192336"/>
    <w:rsid w:val="00193B38"/>
    <w:rsid w:val="001940F5"/>
    <w:rsid w:val="00194EED"/>
    <w:rsid w:val="001953AA"/>
    <w:rsid w:val="00196372"/>
    <w:rsid w:val="001A1C66"/>
    <w:rsid w:val="001A3B1D"/>
    <w:rsid w:val="001A4136"/>
    <w:rsid w:val="001A7ECB"/>
    <w:rsid w:val="001B05C1"/>
    <w:rsid w:val="001B1931"/>
    <w:rsid w:val="001B1CA5"/>
    <w:rsid w:val="001B2E31"/>
    <w:rsid w:val="001B3350"/>
    <w:rsid w:val="001B5361"/>
    <w:rsid w:val="001B543F"/>
    <w:rsid w:val="001B5F61"/>
    <w:rsid w:val="001B6BEE"/>
    <w:rsid w:val="001B70F7"/>
    <w:rsid w:val="001B7491"/>
    <w:rsid w:val="001B794F"/>
    <w:rsid w:val="001B7B44"/>
    <w:rsid w:val="001C2273"/>
    <w:rsid w:val="001C7922"/>
    <w:rsid w:val="001C7C28"/>
    <w:rsid w:val="001C7E7C"/>
    <w:rsid w:val="001D0870"/>
    <w:rsid w:val="001D3869"/>
    <w:rsid w:val="001D4918"/>
    <w:rsid w:val="001D592D"/>
    <w:rsid w:val="001D61D9"/>
    <w:rsid w:val="001E0364"/>
    <w:rsid w:val="001E05E1"/>
    <w:rsid w:val="001E0DEB"/>
    <w:rsid w:val="001E0FC4"/>
    <w:rsid w:val="001E1337"/>
    <w:rsid w:val="001E3955"/>
    <w:rsid w:val="001E4187"/>
    <w:rsid w:val="001E5330"/>
    <w:rsid w:val="001E5F03"/>
    <w:rsid w:val="001E70CA"/>
    <w:rsid w:val="001F003D"/>
    <w:rsid w:val="001F0F14"/>
    <w:rsid w:val="001F10AF"/>
    <w:rsid w:val="001F1C40"/>
    <w:rsid w:val="001F2F64"/>
    <w:rsid w:val="001F3323"/>
    <w:rsid w:val="001F442E"/>
    <w:rsid w:val="001F48D3"/>
    <w:rsid w:val="001F62C0"/>
    <w:rsid w:val="001F78A0"/>
    <w:rsid w:val="001F78C1"/>
    <w:rsid w:val="00201107"/>
    <w:rsid w:val="0020384F"/>
    <w:rsid w:val="00203DBF"/>
    <w:rsid w:val="00204595"/>
    <w:rsid w:val="00204C5B"/>
    <w:rsid w:val="00206A50"/>
    <w:rsid w:val="00206B09"/>
    <w:rsid w:val="00206FAB"/>
    <w:rsid w:val="00210712"/>
    <w:rsid w:val="00210ABC"/>
    <w:rsid w:val="00210D23"/>
    <w:rsid w:val="00213DC9"/>
    <w:rsid w:val="002145B7"/>
    <w:rsid w:val="0021514B"/>
    <w:rsid w:val="00216A5C"/>
    <w:rsid w:val="00216B1B"/>
    <w:rsid w:val="00217C2B"/>
    <w:rsid w:val="002207E6"/>
    <w:rsid w:val="00220F45"/>
    <w:rsid w:val="00222649"/>
    <w:rsid w:val="002228D1"/>
    <w:rsid w:val="002249C2"/>
    <w:rsid w:val="002317D8"/>
    <w:rsid w:val="0023181A"/>
    <w:rsid w:val="0023198C"/>
    <w:rsid w:val="002319BB"/>
    <w:rsid w:val="00232222"/>
    <w:rsid w:val="00232812"/>
    <w:rsid w:val="00232FA6"/>
    <w:rsid w:val="002346D8"/>
    <w:rsid w:val="002354FB"/>
    <w:rsid w:val="00235898"/>
    <w:rsid w:val="00235ED3"/>
    <w:rsid w:val="00236008"/>
    <w:rsid w:val="0024203B"/>
    <w:rsid w:val="00244AC9"/>
    <w:rsid w:val="00244F51"/>
    <w:rsid w:val="0024730E"/>
    <w:rsid w:val="00250086"/>
    <w:rsid w:val="00252455"/>
    <w:rsid w:val="0025340F"/>
    <w:rsid w:val="0025360C"/>
    <w:rsid w:val="0025398D"/>
    <w:rsid w:val="002556E7"/>
    <w:rsid w:val="0025633A"/>
    <w:rsid w:val="00260114"/>
    <w:rsid w:val="00260434"/>
    <w:rsid w:val="00260BEB"/>
    <w:rsid w:val="00261218"/>
    <w:rsid w:val="00261E3A"/>
    <w:rsid w:val="00262BB4"/>
    <w:rsid w:val="00263DF7"/>
    <w:rsid w:val="00264382"/>
    <w:rsid w:val="00264E5D"/>
    <w:rsid w:val="00265083"/>
    <w:rsid w:val="00266139"/>
    <w:rsid w:val="00266374"/>
    <w:rsid w:val="0027075C"/>
    <w:rsid w:val="00270860"/>
    <w:rsid w:val="00277ADB"/>
    <w:rsid w:val="00280C49"/>
    <w:rsid w:val="00281424"/>
    <w:rsid w:val="00281503"/>
    <w:rsid w:val="002821C9"/>
    <w:rsid w:val="002839EB"/>
    <w:rsid w:val="00283C00"/>
    <w:rsid w:val="00284589"/>
    <w:rsid w:val="0028528A"/>
    <w:rsid w:val="0028537B"/>
    <w:rsid w:val="002856D9"/>
    <w:rsid w:val="00285706"/>
    <w:rsid w:val="00286656"/>
    <w:rsid w:val="00286E9B"/>
    <w:rsid w:val="002909C2"/>
    <w:rsid w:val="00291328"/>
    <w:rsid w:val="00293C38"/>
    <w:rsid w:val="00294A8B"/>
    <w:rsid w:val="002968BC"/>
    <w:rsid w:val="0029764F"/>
    <w:rsid w:val="002A01D0"/>
    <w:rsid w:val="002A671C"/>
    <w:rsid w:val="002B0BA5"/>
    <w:rsid w:val="002B0BD4"/>
    <w:rsid w:val="002B0C3F"/>
    <w:rsid w:val="002B0EA5"/>
    <w:rsid w:val="002B155A"/>
    <w:rsid w:val="002B17F6"/>
    <w:rsid w:val="002B28C3"/>
    <w:rsid w:val="002B3B99"/>
    <w:rsid w:val="002B3EE6"/>
    <w:rsid w:val="002B3FAE"/>
    <w:rsid w:val="002B7F08"/>
    <w:rsid w:val="002C1D56"/>
    <w:rsid w:val="002C340C"/>
    <w:rsid w:val="002C37AA"/>
    <w:rsid w:val="002C4D24"/>
    <w:rsid w:val="002C590C"/>
    <w:rsid w:val="002C5C1D"/>
    <w:rsid w:val="002C62C5"/>
    <w:rsid w:val="002C6488"/>
    <w:rsid w:val="002C6501"/>
    <w:rsid w:val="002C6D0F"/>
    <w:rsid w:val="002D0A69"/>
    <w:rsid w:val="002D0BF0"/>
    <w:rsid w:val="002D14B3"/>
    <w:rsid w:val="002D1A0F"/>
    <w:rsid w:val="002D2E9C"/>
    <w:rsid w:val="002D34D7"/>
    <w:rsid w:val="002D46A5"/>
    <w:rsid w:val="002D48ED"/>
    <w:rsid w:val="002D6E2D"/>
    <w:rsid w:val="002E09AD"/>
    <w:rsid w:val="002E2C98"/>
    <w:rsid w:val="002E3C35"/>
    <w:rsid w:val="002E44B2"/>
    <w:rsid w:val="002E4844"/>
    <w:rsid w:val="002E4C0E"/>
    <w:rsid w:val="002E7ABD"/>
    <w:rsid w:val="002F054D"/>
    <w:rsid w:val="002F17E0"/>
    <w:rsid w:val="002F1D8D"/>
    <w:rsid w:val="002F30B7"/>
    <w:rsid w:val="002F3CE6"/>
    <w:rsid w:val="002F4CA0"/>
    <w:rsid w:val="002F4F3C"/>
    <w:rsid w:val="002F6578"/>
    <w:rsid w:val="002F7B53"/>
    <w:rsid w:val="003008BC"/>
    <w:rsid w:val="00300E6A"/>
    <w:rsid w:val="00300F57"/>
    <w:rsid w:val="00302463"/>
    <w:rsid w:val="0030478E"/>
    <w:rsid w:val="00304D90"/>
    <w:rsid w:val="00304E51"/>
    <w:rsid w:val="003052CC"/>
    <w:rsid w:val="003068B4"/>
    <w:rsid w:val="00307726"/>
    <w:rsid w:val="0031053E"/>
    <w:rsid w:val="00313CF5"/>
    <w:rsid w:val="00315070"/>
    <w:rsid w:val="003153EE"/>
    <w:rsid w:val="00317B71"/>
    <w:rsid w:val="0032109A"/>
    <w:rsid w:val="0032386C"/>
    <w:rsid w:val="003241F1"/>
    <w:rsid w:val="00324953"/>
    <w:rsid w:val="003268B8"/>
    <w:rsid w:val="00332335"/>
    <w:rsid w:val="00332B7A"/>
    <w:rsid w:val="00333D6F"/>
    <w:rsid w:val="00335852"/>
    <w:rsid w:val="003366F3"/>
    <w:rsid w:val="00336F81"/>
    <w:rsid w:val="00337B80"/>
    <w:rsid w:val="0034280F"/>
    <w:rsid w:val="0034304E"/>
    <w:rsid w:val="003440E5"/>
    <w:rsid w:val="00344EDE"/>
    <w:rsid w:val="00345AAB"/>
    <w:rsid w:val="00346288"/>
    <w:rsid w:val="0035011B"/>
    <w:rsid w:val="00350449"/>
    <w:rsid w:val="00351ACE"/>
    <w:rsid w:val="0035218F"/>
    <w:rsid w:val="00356DD6"/>
    <w:rsid w:val="003573CE"/>
    <w:rsid w:val="003578F3"/>
    <w:rsid w:val="00357CA0"/>
    <w:rsid w:val="003603C1"/>
    <w:rsid w:val="00360A58"/>
    <w:rsid w:val="003614EE"/>
    <w:rsid w:val="00361840"/>
    <w:rsid w:val="00361BDC"/>
    <w:rsid w:val="00361E47"/>
    <w:rsid w:val="003621D9"/>
    <w:rsid w:val="00362A9D"/>
    <w:rsid w:val="00362D24"/>
    <w:rsid w:val="00362EC1"/>
    <w:rsid w:val="00363E51"/>
    <w:rsid w:val="00364D99"/>
    <w:rsid w:val="00364E1D"/>
    <w:rsid w:val="00364E5C"/>
    <w:rsid w:val="0036507A"/>
    <w:rsid w:val="00366CDF"/>
    <w:rsid w:val="0037072E"/>
    <w:rsid w:val="003738F9"/>
    <w:rsid w:val="003758C2"/>
    <w:rsid w:val="003772DB"/>
    <w:rsid w:val="003774FE"/>
    <w:rsid w:val="0037760F"/>
    <w:rsid w:val="00380881"/>
    <w:rsid w:val="00381053"/>
    <w:rsid w:val="003812C0"/>
    <w:rsid w:val="0038231A"/>
    <w:rsid w:val="003829CD"/>
    <w:rsid w:val="00384B07"/>
    <w:rsid w:val="00384D70"/>
    <w:rsid w:val="00385755"/>
    <w:rsid w:val="00385AF8"/>
    <w:rsid w:val="003865B2"/>
    <w:rsid w:val="003867B9"/>
    <w:rsid w:val="00387396"/>
    <w:rsid w:val="003876BB"/>
    <w:rsid w:val="003879E0"/>
    <w:rsid w:val="00391AB3"/>
    <w:rsid w:val="00391D23"/>
    <w:rsid w:val="00391FDD"/>
    <w:rsid w:val="003924BC"/>
    <w:rsid w:val="0039325E"/>
    <w:rsid w:val="00393C5B"/>
    <w:rsid w:val="00394184"/>
    <w:rsid w:val="003943D2"/>
    <w:rsid w:val="0039475E"/>
    <w:rsid w:val="00395197"/>
    <w:rsid w:val="0039780B"/>
    <w:rsid w:val="003A0071"/>
    <w:rsid w:val="003A08EA"/>
    <w:rsid w:val="003A122D"/>
    <w:rsid w:val="003A25C7"/>
    <w:rsid w:val="003A2B1A"/>
    <w:rsid w:val="003A5656"/>
    <w:rsid w:val="003A6678"/>
    <w:rsid w:val="003A6CD5"/>
    <w:rsid w:val="003A7B35"/>
    <w:rsid w:val="003A7EF7"/>
    <w:rsid w:val="003B00AD"/>
    <w:rsid w:val="003B0D3F"/>
    <w:rsid w:val="003B1274"/>
    <w:rsid w:val="003B2607"/>
    <w:rsid w:val="003B2A24"/>
    <w:rsid w:val="003B308E"/>
    <w:rsid w:val="003B30F2"/>
    <w:rsid w:val="003B42C1"/>
    <w:rsid w:val="003B4744"/>
    <w:rsid w:val="003B5978"/>
    <w:rsid w:val="003C0532"/>
    <w:rsid w:val="003C1BC4"/>
    <w:rsid w:val="003C240F"/>
    <w:rsid w:val="003C250E"/>
    <w:rsid w:val="003C2FA7"/>
    <w:rsid w:val="003C4683"/>
    <w:rsid w:val="003C4846"/>
    <w:rsid w:val="003C4F2D"/>
    <w:rsid w:val="003C5699"/>
    <w:rsid w:val="003C5F59"/>
    <w:rsid w:val="003C6629"/>
    <w:rsid w:val="003C68B7"/>
    <w:rsid w:val="003C6EB4"/>
    <w:rsid w:val="003D03FC"/>
    <w:rsid w:val="003D1449"/>
    <w:rsid w:val="003D3DF5"/>
    <w:rsid w:val="003D5715"/>
    <w:rsid w:val="003D6795"/>
    <w:rsid w:val="003D6E3D"/>
    <w:rsid w:val="003D7325"/>
    <w:rsid w:val="003E0E2E"/>
    <w:rsid w:val="003E23E3"/>
    <w:rsid w:val="003E47CF"/>
    <w:rsid w:val="003E5A64"/>
    <w:rsid w:val="003E65DF"/>
    <w:rsid w:val="003E74D8"/>
    <w:rsid w:val="003F0362"/>
    <w:rsid w:val="003F1C09"/>
    <w:rsid w:val="003F37EB"/>
    <w:rsid w:val="003F3F7C"/>
    <w:rsid w:val="003F5140"/>
    <w:rsid w:val="003F5490"/>
    <w:rsid w:val="003F687A"/>
    <w:rsid w:val="003F6E0F"/>
    <w:rsid w:val="003F7807"/>
    <w:rsid w:val="004012F3"/>
    <w:rsid w:val="00405246"/>
    <w:rsid w:val="00406D54"/>
    <w:rsid w:val="00407A56"/>
    <w:rsid w:val="0041076E"/>
    <w:rsid w:val="004118BF"/>
    <w:rsid w:val="00412072"/>
    <w:rsid w:val="00412CC9"/>
    <w:rsid w:val="00413F7A"/>
    <w:rsid w:val="00414A37"/>
    <w:rsid w:val="00415E61"/>
    <w:rsid w:val="00415F49"/>
    <w:rsid w:val="0041699D"/>
    <w:rsid w:val="00416FD6"/>
    <w:rsid w:val="00420A25"/>
    <w:rsid w:val="00421932"/>
    <w:rsid w:val="004238DF"/>
    <w:rsid w:val="00423BF5"/>
    <w:rsid w:val="00423C78"/>
    <w:rsid w:val="00424867"/>
    <w:rsid w:val="00424E8A"/>
    <w:rsid w:val="00425562"/>
    <w:rsid w:val="00425FD7"/>
    <w:rsid w:val="00426828"/>
    <w:rsid w:val="00426E2E"/>
    <w:rsid w:val="00430087"/>
    <w:rsid w:val="004338A1"/>
    <w:rsid w:val="00433BD4"/>
    <w:rsid w:val="0043445A"/>
    <w:rsid w:val="00441E95"/>
    <w:rsid w:val="00442625"/>
    <w:rsid w:val="00442B79"/>
    <w:rsid w:val="0044486B"/>
    <w:rsid w:val="00445453"/>
    <w:rsid w:val="00445874"/>
    <w:rsid w:val="00445F29"/>
    <w:rsid w:val="004508CA"/>
    <w:rsid w:val="00450E95"/>
    <w:rsid w:val="00451A8B"/>
    <w:rsid w:val="00454CA6"/>
    <w:rsid w:val="004557FA"/>
    <w:rsid w:val="00455A7A"/>
    <w:rsid w:val="0045600C"/>
    <w:rsid w:val="00460357"/>
    <w:rsid w:val="0046045F"/>
    <w:rsid w:val="00461278"/>
    <w:rsid w:val="0046254E"/>
    <w:rsid w:val="0046400B"/>
    <w:rsid w:val="0046549E"/>
    <w:rsid w:val="0046630C"/>
    <w:rsid w:val="00466E1F"/>
    <w:rsid w:val="00466F39"/>
    <w:rsid w:val="0046776C"/>
    <w:rsid w:val="0047105D"/>
    <w:rsid w:val="0047603E"/>
    <w:rsid w:val="00481609"/>
    <w:rsid w:val="004826F0"/>
    <w:rsid w:val="00482A20"/>
    <w:rsid w:val="00482B49"/>
    <w:rsid w:val="00483005"/>
    <w:rsid w:val="00485FB7"/>
    <w:rsid w:val="00490D78"/>
    <w:rsid w:val="00490FDB"/>
    <w:rsid w:val="0049149F"/>
    <w:rsid w:val="00491783"/>
    <w:rsid w:val="00492C22"/>
    <w:rsid w:val="00494729"/>
    <w:rsid w:val="004954A7"/>
    <w:rsid w:val="004969C8"/>
    <w:rsid w:val="00497476"/>
    <w:rsid w:val="004A048F"/>
    <w:rsid w:val="004A06BD"/>
    <w:rsid w:val="004A1DD6"/>
    <w:rsid w:val="004A27BF"/>
    <w:rsid w:val="004A2C65"/>
    <w:rsid w:val="004A70C4"/>
    <w:rsid w:val="004B3DC5"/>
    <w:rsid w:val="004B4B7F"/>
    <w:rsid w:val="004B4F95"/>
    <w:rsid w:val="004C160D"/>
    <w:rsid w:val="004C207C"/>
    <w:rsid w:val="004C31B3"/>
    <w:rsid w:val="004C47F5"/>
    <w:rsid w:val="004C5666"/>
    <w:rsid w:val="004C6064"/>
    <w:rsid w:val="004C6DBF"/>
    <w:rsid w:val="004C78F4"/>
    <w:rsid w:val="004D0DC2"/>
    <w:rsid w:val="004D0FEC"/>
    <w:rsid w:val="004D188A"/>
    <w:rsid w:val="004D26AC"/>
    <w:rsid w:val="004D45A5"/>
    <w:rsid w:val="004D57FA"/>
    <w:rsid w:val="004D5958"/>
    <w:rsid w:val="004D7A6F"/>
    <w:rsid w:val="004E28B0"/>
    <w:rsid w:val="004E28F9"/>
    <w:rsid w:val="004E30ED"/>
    <w:rsid w:val="004E351F"/>
    <w:rsid w:val="004E5FC9"/>
    <w:rsid w:val="004E63E6"/>
    <w:rsid w:val="004E652F"/>
    <w:rsid w:val="004F12F1"/>
    <w:rsid w:val="004F1347"/>
    <w:rsid w:val="004F200C"/>
    <w:rsid w:val="004F5DB6"/>
    <w:rsid w:val="004F70D6"/>
    <w:rsid w:val="005009AD"/>
    <w:rsid w:val="00500F12"/>
    <w:rsid w:val="00501694"/>
    <w:rsid w:val="0050670A"/>
    <w:rsid w:val="0050706D"/>
    <w:rsid w:val="00507DF7"/>
    <w:rsid w:val="00512855"/>
    <w:rsid w:val="00512D49"/>
    <w:rsid w:val="00514C1A"/>
    <w:rsid w:val="0051533C"/>
    <w:rsid w:val="00516A90"/>
    <w:rsid w:val="00517FAC"/>
    <w:rsid w:val="00517FC4"/>
    <w:rsid w:val="005210D9"/>
    <w:rsid w:val="00521FAE"/>
    <w:rsid w:val="00522AA7"/>
    <w:rsid w:val="005252B1"/>
    <w:rsid w:val="00532559"/>
    <w:rsid w:val="0053306C"/>
    <w:rsid w:val="00534073"/>
    <w:rsid w:val="00535BB7"/>
    <w:rsid w:val="005363FC"/>
    <w:rsid w:val="00536DD1"/>
    <w:rsid w:val="00540148"/>
    <w:rsid w:val="00541ED6"/>
    <w:rsid w:val="005424F5"/>
    <w:rsid w:val="005432ED"/>
    <w:rsid w:val="0054401E"/>
    <w:rsid w:val="0054409F"/>
    <w:rsid w:val="0054595B"/>
    <w:rsid w:val="00547ED1"/>
    <w:rsid w:val="00551B1F"/>
    <w:rsid w:val="0055354F"/>
    <w:rsid w:val="005537FE"/>
    <w:rsid w:val="00554028"/>
    <w:rsid w:val="0055478B"/>
    <w:rsid w:val="0055674F"/>
    <w:rsid w:val="00557DB9"/>
    <w:rsid w:val="0056106E"/>
    <w:rsid w:val="005615AB"/>
    <w:rsid w:val="0056237B"/>
    <w:rsid w:val="0056308D"/>
    <w:rsid w:val="005631AA"/>
    <w:rsid w:val="005636C2"/>
    <w:rsid w:val="00563B70"/>
    <w:rsid w:val="00565C05"/>
    <w:rsid w:val="00565D40"/>
    <w:rsid w:val="005665CD"/>
    <w:rsid w:val="00566FD1"/>
    <w:rsid w:val="00567EF5"/>
    <w:rsid w:val="005726A6"/>
    <w:rsid w:val="00575035"/>
    <w:rsid w:val="00575E1F"/>
    <w:rsid w:val="005767DE"/>
    <w:rsid w:val="00576E2B"/>
    <w:rsid w:val="005805D6"/>
    <w:rsid w:val="00580BD2"/>
    <w:rsid w:val="005814C7"/>
    <w:rsid w:val="00582F7B"/>
    <w:rsid w:val="0058434D"/>
    <w:rsid w:val="005855F0"/>
    <w:rsid w:val="00592CCB"/>
    <w:rsid w:val="00593DDF"/>
    <w:rsid w:val="00594332"/>
    <w:rsid w:val="0059515A"/>
    <w:rsid w:val="005966D4"/>
    <w:rsid w:val="0059764D"/>
    <w:rsid w:val="005A1353"/>
    <w:rsid w:val="005A1470"/>
    <w:rsid w:val="005A4773"/>
    <w:rsid w:val="005A5AE7"/>
    <w:rsid w:val="005A6529"/>
    <w:rsid w:val="005A6B88"/>
    <w:rsid w:val="005A75B7"/>
    <w:rsid w:val="005B143F"/>
    <w:rsid w:val="005B1D2E"/>
    <w:rsid w:val="005B2252"/>
    <w:rsid w:val="005B28E4"/>
    <w:rsid w:val="005B50E4"/>
    <w:rsid w:val="005B5636"/>
    <w:rsid w:val="005B6265"/>
    <w:rsid w:val="005C09EA"/>
    <w:rsid w:val="005C10AE"/>
    <w:rsid w:val="005C27A4"/>
    <w:rsid w:val="005C2D48"/>
    <w:rsid w:val="005C3C67"/>
    <w:rsid w:val="005C6641"/>
    <w:rsid w:val="005D0C79"/>
    <w:rsid w:val="005D3141"/>
    <w:rsid w:val="005D3D4F"/>
    <w:rsid w:val="005D4428"/>
    <w:rsid w:val="005D5165"/>
    <w:rsid w:val="005E0180"/>
    <w:rsid w:val="005E0FE0"/>
    <w:rsid w:val="005E46B1"/>
    <w:rsid w:val="005E5DE3"/>
    <w:rsid w:val="005E7346"/>
    <w:rsid w:val="005F04A2"/>
    <w:rsid w:val="005F0C78"/>
    <w:rsid w:val="005F20D5"/>
    <w:rsid w:val="005F2F6C"/>
    <w:rsid w:val="005F3153"/>
    <w:rsid w:val="005F52AF"/>
    <w:rsid w:val="00604632"/>
    <w:rsid w:val="00605378"/>
    <w:rsid w:val="00605814"/>
    <w:rsid w:val="00606952"/>
    <w:rsid w:val="0060787A"/>
    <w:rsid w:val="006101D9"/>
    <w:rsid w:val="00611E8B"/>
    <w:rsid w:val="00612D44"/>
    <w:rsid w:val="006142AE"/>
    <w:rsid w:val="00614C36"/>
    <w:rsid w:val="00615756"/>
    <w:rsid w:val="00615FAA"/>
    <w:rsid w:val="00616FD6"/>
    <w:rsid w:val="00617BFE"/>
    <w:rsid w:val="00620852"/>
    <w:rsid w:val="00623620"/>
    <w:rsid w:val="00623836"/>
    <w:rsid w:val="00623E39"/>
    <w:rsid w:val="00625E40"/>
    <w:rsid w:val="00625F24"/>
    <w:rsid w:val="0062719A"/>
    <w:rsid w:val="006302A4"/>
    <w:rsid w:val="00631C46"/>
    <w:rsid w:val="00632B98"/>
    <w:rsid w:val="006331EF"/>
    <w:rsid w:val="006339DD"/>
    <w:rsid w:val="00634956"/>
    <w:rsid w:val="00635203"/>
    <w:rsid w:val="00635247"/>
    <w:rsid w:val="0063615F"/>
    <w:rsid w:val="006367A6"/>
    <w:rsid w:val="00636C92"/>
    <w:rsid w:val="00637DA1"/>
    <w:rsid w:val="006405D6"/>
    <w:rsid w:val="006411E2"/>
    <w:rsid w:val="00641204"/>
    <w:rsid w:val="006422FE"/>
    <w:rsid w:val="00643D1E"/>
    <w:rsid w:val="006448DE"/>
    <w:rsid w:val="00645548"/>
    <w:rsid w:val="00647010"/>
    <w:rsid w:val="00647671"/>
    <w:rsid w:val="006503F1"/>
    <w:rsid w:val="00651C2D"/>
    <w:rsid w:val="00651EF1"/>
    <w:rsid w:val="00653F18"/>
    <w:rsid w:val="00654A04"/>
    <w:rsid w:val="00656D78"/>
    <w:rsid w:val="0065747E"/>
    <w:rsid w:val="006703D7"/>
    <w:rsid w:val="00670C06"/>
    <w:rsid w:val="00671CC1"/>
    <w:rsid w:val="00671F72"/>
    <w:rsid w:val="00673D12"/>
    <w:rsid w:val="006746C4"/>
    <w:rsid w:val="00674FD4"/>
    <w:rsid w:val="00676612"/>
    <w:rsid w:val="00677792"/>
    <w:rsid w:val="006802CE"/>
    <w:rsid w:val="0068403B"/>
    <w:rsid w:val="00686017"/>
    <w:rsid w:val="00686DEC"/>
    <w:rsid w:val="00692257"/>
    <w:rsid w:val="00692CBA"/>
    <w:rsid w:val="00692DAF"/>
    <w:rsid w:val="00693E3F"/>
    <w:rsid w:val="00694A8D"/>
    <w:rsid w:val="0069591D"/>
    <w:rsid w:val="00697DF5"/>
    <w:rsid w:val="006A0497"/>
    <w:rsid w:val="006A0624"/>
    <w:rsid w:val="006A0D54"/>
    <w:rsid w:val="006A0DEA"/>
    <w:rsid w:val="006A23CA"/>
    <w:rsid w:val="006A3287"/>
    <w:rsid w:val="006A4A15"/>
    <w:rsid w:val="006A6325"/>
    <w:rsid w:val="006A7CD7"/>
    <w:rsid w:val="006B0D09"/>
    <w:rsid w:val="006B12EE"/>
    <w:rsid w:val="006B1397"/>
    <w:rsid w:val="006B1B76"/>
    <w:rsid w:val="006B2526"/>
    <w:rsid w:val="006B258C"/>
    <w:rsid w:val="006B296E"/>
    <w:rsid w:val="006B3704"/>
    <w:rsid w:val="006B3729"/>
    <w:rsid w:val="006B461D"/>
    <w:rsid w:val="006B7178"/>
    <w:rsid w:val="006B7F09"/>
    <w:rsid w:val="006C0BA0"/>
    <w:rsid w:val="006C108C"/>
    <w:rsid w:val="006C1360"/>
    <w:rsid w:val="006C344B"/>
    <w:rsid w:val="006C4C99"/>
    <w:rsid w:val="006C5F60"/>
    <w:rsid w:val="006D01AF"/>
    <w:rsid w:val="006D0E1F"/>
    <w:rsid w:val="006D3D62"/>
    <w:rsid w:val="006D49D4"/>
    <w:rsid w:val="006D6420"/>
    <w:rsid w:val="006D6AA7"/>
    <w:rsid w:val="006D7054"/>
    <w:rsid w:val="006D7652"/>
    <w:rsid w:val="006E036D"/>
    <w:rsid w:val="006E06D4"/>
    <w:rsid w:val="006E20D9"/>
    <w:rsid w:val="006E2A42"/>
    <w:rsid w:val="006E2AB8"/>
    <w:rsid w:val="006E3A80"/>
    <w:rsid w:val="006E4139"/>
    <w:rsid w:val="006E71DE"/>
    <w:rsid w:val="006E7596"/>
    <w:rsid w:val="006F02D3"/>
    <w:rsid w:val="006F2BFF"/>
    <w:rsid w:val="006F45FE"/>
    <w:rsid w:val="006F48B9"/>
    <w:rsid w:val="006F5042"/>
    <w:rsid w:val="006F577C"/>
    <w:rsid w:val="006F5A48"/>
    <w:rsid w:val="006F5BB9"/>
    <w:rsid w:val="00700323"/>
    <w:rsid w:val="00700B4C"/>
    <w:rsid w:val="00701A84"/>
    <w:rsid w:val="00704213"/>
    <w:rsid w:val="007043A2"/>
    <w:rsid w:val="007051BE"/>
    <w:rsid w:val="0070587C"/>
    <w:rsid w:val="0070667E"/>
    <w:rsid w:val="007066F0"/>
    <w:rsid w:val="00710A5C"/>
    <w:rsid w:val="007145AB"/>
    <w:rsid w:val="00714862"/>
    <w:rsid w:val="00716150"/>
    <w:rsid w:val="00716153"/>
    <w:rsid w:val="00716748"/>
    <w:rsid w:val="00717CAE"/>
    <w:rsid w:val="00720AEA"/>
    <w:rsid w:val="00721BD3"/>
    <w:rsid w:val="00721BD5"/>
    <w:rsid w:val="007236BE"/>
    <w:rsid w:val="00725C26"/>
    <w:rsid w:val="00727773"/>
    <w:rsid w:val="007277DA"/>
    <w:rsid w:val="00727A6F"/>
    <w:rsid w:val="0073052D"/>
    <w:rsid w:val="00731332"/>
    <w:rsid w:val="00734B10"/>
    <w:rsid w:val="007355C0"/>
    <w:rsid w:val="00735CBC"/>
    <w:rsid w:val="0073649E"/>
    <w:rsid w:val="0074256E"/>
    <w:rsid w:val="00743A21"/>
    <w:rsid w:val="00744FE8"/>
    <w:rsid w:val="00746CE3"/>
    <w:rsid w:val="00747274"/>
    <w:rsid w:val="00750E8C"/>
    <w:rsid w:val="00750EBD"/>
    <w:rsid w:val="00752982"/>
    <w:rsid w:val="00754863"/>
    <w:rsid w:val="007551E0"/>
    <w:rsid w:val="0076000C"/>
    <w:rsid w:val="00760A2C"/>
    <w:rsid w:val="0076150A"/>
    <w:rsid w:val="0076179C"/>
    <w:rsid w:val="00762846"/>
    <w:rsid w:val="00762B3C"/>
    <w:rsid w:val="00763A7E"/>
    <w:rsid w:val="00764262"/>
    <w:rsid w:val="00770FB5"/>
    <w:rsid w:val="007718C9"/>
    <w:rsid w:val="00774C5C"/>
    <w:rsid w:val="00775AEA"/>
    <w:rsid w:val="00775C02"/>
    <w:rsid w:val="00781674"/>
    <w:rsid w:val="00781761"/>
    <w:rsid w:val="00781F29"/>
    <w:rsid w:val="00783E8F"/>
    <w:rsid w:val="0078759B"/>
    <w:rsid w:val="007903BB"/>
    <w:rsid w:val="007928D7"/>
    <w:rsid w:val="00794244"/>
    <w:rsid w:val="0079481E"/>
    <w:rsid w:val="00794CE7"/>
    <w:rsid w:val="00794E5C"/>
    <w:rsid w:val="00796245"/>
    <w:rsid w:val="00796C26"/>
    <w:rsid w:val="007978D6"/>
    <w:rsid w:val="007979CB"/>
    <w:rsid w:val="007A0F80"/>
    <w:rsid w:val="007A38A2"/>
    <w:rsid w:val="007A42DD"/>
    <w:rsid w:val="007A53B6"/>
    <w:rsid w:val="007A60A8"/>
    <w:rsid w:val="007A6D86"/>
    <w:rsid w:val="007B1549"/>
    <w:rsid w:val="007B24C7"/>
    <w:rsid w:val="007B2CE3"/>
    <w:rsid w:val="007B3054"/>
    <w:rsid w:val="007C093F"/>
    <w:rsid w:val="007C21E6"/>
    <w:rsid w:val="007C3804"/>
    <w:rsid w:val="007C3FB1"/>
    <w:rsid w:val="007C555E"/>
    <w:rsid w:val="007C5B84"/>
    <w:rsid w:val="007C6406"/>
    <w:rsid w:val="007C643F"/>
    <w:rsid w:val="007C65CE"/>
    <w:rsid w:val="007C71EC"/>
    <w:rsid w:val="007C7AA3"/>
    <w:rsid w:val="007D39D6"/>
    <w:rsid w:val="007D5C61"/>
    <w:rsid w:val="007E02F1"/>
    <w:rsid w:val="007E19F5"/>
    <w:rsid w:val="007E30D1"/>
    <w:rsid w:val="007E3373"/>
    <w:rsid w:val="007E3C21"/>
    <w:rsid w:val="007E57AB"/>
    <w:rsid w:val="007E5BF5"/>
    <w:rsid w:val="007E5E37"/>
    <w:rsid w:val="007E6FCD"/>
    <w:rsid w:val="007E7E6A"/>
    <w:rsid w:val="007F1974"/>
    <w:rsid w:val="007F1C1C"/>
    <w:rsid w:val="007F24F5"/>
    <w:rsid w:val="007F3A1D"/>
    <w:rsid w:val="007F4198"/>
    <w:rsid w:val="007F4DDB"/>
    <w:rsid w:val="007F6275"/>
    <w:rsid w:val="00800B30"/>
    <w:rsid w:val="00803A32"/>
    <w:rsid w:val="00804411"/>
    <w:rsid w:val="008141D6"/>
    <w:rsid w:val="00814C22"/>
    <w:rsid w:val="008151D5"/>
    <w:rsid w:val="00815802"/>
    <w:rsid w:val="00815EB4"/>
    <w:rsid w:val="00817054"/>
    <w:rsid w:val="008171BB"/>
    <w:rsid w:val="00820957"/>
    <w:rsid w:val="008246DA"/>
    <w:rsid w:val="00824F9D"/>
    <w:rsid w:val="00827B68"/>
    <w:rsid w:val="008300FC"/>
    <w:rsid w:val="00830979"/>
    <w:rsid w:val="00832A06"/>
    <w:rsid w:val="008331DB"/>
    <w:rsid w:val="00834E45"/>
    <w:rsid w:val="0083544E"/>
    <w:rsid w:val="008368AE"/>
    <w:rsid w:val="008400CB"/>
    <w:rsid w:val="008415BD"/>
    <w:rsid w:val="008420AC"/>
    <w:rsid w:val="00842A81"/>
    <w:rsid w:val="0084443F"/>
    <w:rsid w:val="00850190"/>
    <w:rsid w:val="00850C49"/>
    <w:rsid w:val="00852374"/>
    <w:rsid w:val="00852A7E"/>
    <w:rsid w:val="00855C3B"/>
    <w:rsid w:val="00856892"/>
    <w:rsid w:val="00856B7B"/>
    <w:rsid w:val="0085752B"/>
    <w:rsid w:val="00857E12"/>
    <w:rsid w:val="0086153D"/>
    <w:rsid w:val="008616C1"/>
    <w:rsid w:val="00862B9E"/>
    <w:rsid w:val="008635B3"/>
    <w:rsid w:val="00863994"/>
    <w:rsid w:val="00864176"/>
    <w:rsid w:val="008649A2"/>
    <w:rsid w:val="00864C0B"/>
    <w:rsid w:val="00865EE3"/>
    <w:rsid w:val="008669A9"/>
    <w:rsid w:val="00867CBA"/>
    <w:rsid w:val="00870EB2"/>
    <w:rsid w:val="00870FE5"/>
    <w:rsid w:val="008711ED"/>
    <w:rsid w:val="00871DDF"/>
    <w:rsid w:val="008722A2"/>
    <w:rsid w:val="00873142"/>
    <w:rsid w:val="00873304"/>
    <w:rsid w:val="00873E9D"/>
    <w:rsid w:val="00874C21"/>
    <w:rsid w:val="00875579"/>
    <w:rsid w:val="00875751"/>
    <w:rsid w:val="00875F1B"/>
    <w:rsid w:val="00877BB6"/>
    <w:rsid w:val="00880CF0"/>
    <w:rsid w:val="00881393"/>
    <w:rsid w:val="00884D6E"/>
    <w:rsid w:val="00885327"/>
    <w:rsid w:val="00887167"/>
    <w:rsid w:val="0089558B"/>
    <w:rsid w:val="00895F1F"/>
    <w:rsid w:val="008A0B44"/>
    <w:rsid w:val="008A0F82"/>
    <w:rsid w:val="008A273B"/>
    <w:rsid w:val="008A31C3"/>
    <w:rsid w:val="008A3328"/>
    <w:rsid w:val="008A3998"/>
    <w:rsid w:val="008A4466"/>
    <w:rsid w:val="008A44BE"/>
    <w:rsid w:val="008A4B3E"/>
    <w:rsid w:val="008A5726"/>
    <w:rsid w:val="008A6037"/>
    <w:rsid w:val="008A79E7"/>
    <w:rsid w:val="008B1779"/>
    <w:rsid w:val="008B2269"/>
    <w:rsid w:val="008B4FB8"/>
    <w:rsid w:val="008B66FF"/>
    <w:rsid w:val="008B6CDA"/>
    <w:rsid w:val="008C0627"/>
    <w:rsid w:val="008C0A95"/>
    <w:rsid w:val="008C15E0"/>
    <w:rsid w:val="008C39DC"/>
    <w:rsid w:val="008C4809"/>
    <w:rsid w:val="008C74B2"/>
    <w:rsid w:val="008D2138"/>
    <w:rsid w:val="008D2C53"/>
    <w:rsid w:val="008D4A3A"/>
    <w:rsid w:val="008D607C"/>
    <w:rsid w:val="008D6F25"/>
    <w:rsid w:val="008E03D1"/>
    <w:rsid w:val="008E07CB"/>
    <w:rsid w:val="008E137C"/>
    <w:rsid w:val="008E141D"/>
    <w:rsid w:val="008E304F"/>
    <w:rsid w:val="008F02AA"/>
    <w:rsid w:val="008F1AE2"/>
    <w:rsid w:val="008F205C"/>
    <w:rsid w:val="008F2FCF"/>
    <w:rsid w:val="008F3842"/>
    <w:rsid w:val="008F430B"/>
    <w:rsid w:val="008F4462"/>
    <w:rsid w:val="008F5A60"/>
    <w:rsid w:val="008F5A8D"/>
    <w:rsid w:val="008F6F07"/>
    <w:rsid w:val="008F70B0"/>
    <w:rsid w:val="008F7E39"/>
    <w:rsid w:val="00900F97"/>
    <w:rsid w:val="00901153"/>
    <w:rsid w:val="0090134F"/>
    <w:rsid w:val="00902B24"/>
    <w:rsid w:val="00903142"/>
    <w:rsid w:val="0090352D"/>
    <w:rsid w:val="009047B5"/>
    <w:rsid w:val="00905169"/>
    <w:rsid w:val="0090711F"/>
    <w:rsid w:val="00907412"/>
    <w:rsid w:val="009100B7"/>
    <w:rsid w:val="00912E59"/>
    <w:rsid w:val="00912F70"/>
    <w:rsid w:val="009141EC"/>
    <w:rsid w:val="00914457"/>
    <w:rsid w:val="00915D24"/>
    <w:rsid w:val="00917731"/>
    <w:rsid w:val="00920C00"/>
    <w:rsid w:val="0092137D"/>
    <w:rsid w:val="00921DAC"/>
    <w:rsid w:val="00922471"/>
    <w:rsid w:val="0092407E"/>
    <w:rsid w:val="00924088"/>
    <w:rsid w:val="00926ED0"/>
    <w:rsid w:val="00931F9B"/>
    <w:rsid w:val="009321F1"/>
    <w:rsid w:val="00932844"/>
    <w:rsid w:val="00932AF1"/>
    <w:rsid w:val="00934A17"/>
    <w:rsid w:val="009369E7"/>
    <w:rsid w:val="00940F20"/>
    <w:rsid w:val="0094295D"/>
    <w:rsid w:val="00943603"/>
    <w:rsid w:val="00944A92"/>
    <w:rsid w:val="00944AD5"/>
    <w:rsid w:val="0094764B"/>
    <w:rsid w:val="009477F3"/>
    <w:rsid w:val="009528FB"/>
    <w:rsid w:val="00952CEC"/>
    <w:rsid w:val="00953612"/>
    <w:rsid w:val="0095376E"/>
    <w:rsid w:val="009539A0"/>
    <w:rsid w:val="00953DDF"/>
    <w:rsid w:val="0095459B"/>
    <w:rsid w:val="00954F19"/>
    <w:rsid w:val="00955000"/>
    <w:rsid w:val="00955860"/>
    <w:rsid w:val="00955C25"/>
    <w:rsid w:val="00956217"/>
    <w:rsid w:val="00961261"/>
    <w:rsid w:val="00963F1E"/>
    <w:rsid w:val="00964FA0"/>
    <w:rsid w:val="0096505C"/>
    <w:rsid w:val="00966E81"/>
    <w:rsid w:val="009701FB"/>
    <w:rsid w:val="009704B5"/>
    <w:rsid w:val="009711D0"/>
    <w:rsid w:val="00972C63"/>
    <w:rsid w:val="0097383C"/>
    <w:rsid w:val="00974B18"/>
    <w:rsid w:val="009752AE"/>
    <w:rsid w:val="00977868"/>
    <w:rsid w:val="00980867"/>
    <w:rsid w:val="009812CC"/>
    <w:rsid w:val="00981541"/>
    <w:rsid w:val="00981D37"/>
    <w:rsid w:val="00981F47"/>
    <w:rsid w:val="0098419B"/>
    <w:rsid w:val="00986808"/>
    <w:rsid w:val="00987114"/>
    <w:rsid w:val="00987C3F"/>
    <w:rsid w:val="009905AB"/>
    <w:rsid w:val="00990950"/>
    <w:rsid w:val="0099185D"/>
    <w:rsid w:val="00991E09"/>
    <w:rsid w:val="00992102"/>
    <w:rsid w:val="009938E8"/>
    <w:rsid w:val="009939BA"/>
    <w:rsid w:val="0099429A"/>
    <w:rsid w:val="009958C1"/>
    <w:rsid w:val="009A10A9"/>
    <w:rsid w:val="009A2E13"/>
    <w:rsid w:val="009A4769"/>
    <w:rsid w:val="009A72EA"/>
    <w:rsid w:val="009B07C7"/>
    <w:rsid w:val="009B0847"/>
    <w:rsid w:val="009B15A7"/>
    <w:rsid w:val="009B160D"/>
    <w:rsid w:val="009B6B4D"/>
    <w:rsid w:val="009B7BAC"/>
    <w:rsid w:val="009C06C9"/>
    <w:rsid w:val="009C211D"/>
    <w:rsid w:val="009C4AEC"/>
    <w:rsid w:val="009D041C"/>
    <w:rsid w:val="009D04D4"/>
    <w:rsid w:val="009D05CE"/>
    <w:rsid w:val="009D22DE"/>
    <w:rsid w:val="009D22E2"/>
    <w:rsid w:val="009D4D39"/>
    <w:rsid w:val="009D4FCB"/>
    <w:rsid w:val="009D73FD"/>
    <w:rsid w:val="009D7D02"/>
    <w:rsid w:val="009D7E1D"/>
    <w:rsid w:val="009E110C"/>
    <w:rsid w:val="009E19E5"/>
    <w:rsid w:val="009E1D37"/>
    <w:rsid w:val="009E2505"/>
    <w:rsid w:val="009E2981"/>
    <w:rsid w:val="009E2A97"/>
    <w:rsid w:val="009E4A32"/>
    <w:rsid w:val="009E6279"/>
    <w:rsid w:val="009F0A3D"/>
    <w:rsid w:val="009F15E5"/>
    <w:rsid w:val="009F48F8"/>
    <w:rsid w:val="009F5205"/>
    <w:rsid w:val="009F58A8"/>
    <w:rsid w:val="009F64F3"/>
    <w:rsid w:val="00A001BE"/>
    <w:rsid w:val="00A00908"/>
    <w:rsid w:val="00A00A95"/>
    <w:rsid w:val="00A00CD8"/>
    <w:rsid w:val="00A00FB2"/>
    <w:rsid w:val="00A01704"/>
    <w:rsid w:val="00A02873"/>
    <w:rsid w:val="00A02874"/>
    <w:rsid w:val="00A04320"/>
    <w:rsid w:val="00A053E0"/>
    <w:rsid w:val="00A12645"/>
    <w:rsid w:val="00A133B4"/>
    <w:rsid w:val="00A1391A"/>
    <w:rsid w:val="00A143C4"/>
    <w:rsid w:val="00A14969"/>
    <w:rsid w:val="00A16FF8"/>
    <w:rsid w:val="00A224C7"/>
    <w:rsid w:val="00A2428C"/>
    <w:rsid w:val="00A246FC"/>
    <w:rsid w:val="00A26E62"/>
    <w:rsid w:val="00A27D5F"/>
    <w:rsid w:val="00A314BB"/>
    <w:rsid w:val="00A326CD"/>
    <w:rsid w:val="00A32855"/>
    <w:rsid w:val="00A335CC"/>
    <w:rsid w:val="00A335F0"/>
    <w:rsid w:val="00A33EC2"/>
    <w:rsid w:val="00A341A9"/>
    <w:rsid w:val="00A359D3"/>
    <w:rsid w:val="00A35E13"/>
    <w:rsid w:val="00A36645"/>
    <w:rsid w:val="00A369A6"/>
    <w:rsid w:val="00A374F4"/>
    <w:rsid w:val="00A41233"/>
    <w:rsid w:val="00A41FB2"/>
    <w:rsid w:val="00A42157"/>
    <w:rsid w:val="00A4627B"/>
    <w:rsid w:val="00A47A1A"/>
    <w:rsid w:val="00A507AB"/>
    <w:rsid w:val="00A518B7"/>
    <w:rsid w:val="00A52005"/>
    <w:rsid w:val="00A52C37"/>
    <w:rsid w:val="00A52DF6"/>
    <w:rsid w:val="00A534D4"/>
    <w:rsid w:val="00A54577"/>
    <w:rsid w:val="00A5632E"/>
    <w:rsid w:val="00A57071"/>
    <w:rsid w:val="00A571B4"/>
    <w:rsid w:val="00A6002C"/>
    <w:rsid w:val="00A61B79"/>
    <w:rsid w:val="00A63C53"/>
    <w:rsid w:val="00A65BAD"/>
    <w:rsid w:val="00A66243"/>
    <w:rsid w:val="00A70AD0"/>
    <w:rsid w:val="00A70FDE"/>
    <w:rsid w:val="00A734A6"/>
    <w:rsid w:val="00A748BB"/>
    <w:rsid w:val="00A74A51"/>
    <w:rsid w:val="00A777A9"/>
    <w:rsid w:val="00A80382"/>
    <w:rsid w:val="00A803AD"/>
    <w:rsid w:val="00A803BB"/>
    <w:rsid w:val="00A836E0"/>
    <w:rsid w:val="00A83FC8"/>
    <w:rsid w:val="00A84AA6"/>
    <w:rsid w:val="00A84C74"/>
    <w:rsid w:val="00A862F8"/>
    <w:rsid w:val="00A8662C"/>
    <w:rsid w:val="00A86C60"/>
    <w:rsid w:val="00A905A1"/>
    <w:rsid w:val="00A9110E"/>
    <w:rsid w:val="00A91CC2"/>
    <w:rsid w:val="00A9281D"/>
    <w:rsid w:val="00A92942"/>
    <w:rsid w:val="00A9331E"/>
    <w:rsid w:val="00A94C05"/>
    <w:rsid w:val="00A94E1E"/>
    <w:rsid w:val="00A950DF"/>
    <w:rsid w:val="00A9590D"/>
    <w:rsid w:val="00A96111"/>
    <w:rsid w:val="00A965A7"/>
    <w:rsid w:val="00A96E60"/>
    <w:rsid w:val="00AA0493"/>
    <w:rsid w:val="00AA0B26"/>
    <w:rsid w:val="00AA1417"/>
    <w:rsid w:val="00AA156B"/>
    <w:rsid w:val="00AA1CBB"/>
    <w:rsid w:val="00AA28D5"/>
    <w:rsid w:val="00AA40C0"/>
    <w:rsid w:val="00AA41F7"/>
    <w:rsid w:val="00AA6D72"/>
    <w:rsid w:val="00AB053A"/>
    <w:rsid w:val="00AB21E6"/>
    <w:rsid w:val="00AB28E1"/>
    <w:rsid w:val="00AB3B97"/>
    <w:rsid w:val="00AB4075"/>
    <w:rsid w:val="00AB4ADA"/>
    <w:rsid w:val="00AC026C"/>
    <w:rsid w:val="00AC2388"/>
    <w:rsid w:val="00AC476E"/>
    <w:rsid w:val="00AC6593"/>
    <w:rsid w:val="00AC6D75"/>
    <w:rsid w:val="00AD0373"/>
    <w:rsid w:val="00AD06BB"/>
    <w:rsid w:val="00AD1497"/>
    <w:rsid w:val="00AD2EAF"/>
    <w:rsid w:val="00AD33C2"/>
    <w:rsid w:val="00AD37C0"/>
    <w:rsid w:val="00AD74C6"/>
    <w:rsid w:val="00AE00E6"/>
    <w:rsid w:val="00AE02DC"/>
    <w:rsid w:val="00AE3497"/>
    <w:rsid w:val="00AE6410"/>
    <w:rsid w:val="00AF0A4A"/>
    <w:rsid w:val="00AF26E5"/>
    <w:rsid w:val="00AF3DAC"/>
    <w:rsid w:val="00AF40C0"/>
    <w:rsid w:val="00AF4CB6"/>
    <w:rsid w:val="00AF67F9"/>
    <w:rsid w:val="00B00DAC"/>
    <w:rsid w:val="00B012DE"/>
    <w:rsid w:val="00B0165F"/>
    <w:rsid w:val="00B022AF"/>
    <w:rsid w:val="00B03025"/>
    <w:rsid w:val="00B03107"/>
    <w:rsid w:val="00B037F1"/>
    <w:rsid w:val="00B04F1D"/>
    <w:rsid w:val="00B05274"/>
    <w:rsid w:val="00B07446"/>
    <w:rsid w:val="00B0782C"/>
    <w:rsid w:val="00B11BED"/>
    <w:rsid w:val="00B12D65"/>
    <w:rsid w:val="00B12F10"/>
    <w:rsid w:val="00B137B5"/>
    <w:rsid w:val="00B15310"/>
    <w:rsid w:val="00B156D6"/>
    <w:rsid w:val="00B15832"/>
    <w:rsid w:val="00B159D9"/>
    <w:rsid w:val="00B1622F"/>
    <w:rsid w:val="00B1641D"/>
    <w:rsid w:val="00B16501"/>
    <w:rsid w:val="00B2073F"/>
    <w:rsid w:val="00B20A8E"/>
    <w:rsid w:val="00B21787"/>
    <w:rsid w:val="00B21E90"/>
    <w:rsid w:val="00B22A52"/>
    <w:rsid w:val="00B254C3"/>
    <w:rsid w:val="00B318A8"/>
    <w:rsid w:val="00B31FAB"/>
    <w:rsid w:val="00B32444"/>
    <w:rsid w:val="00B35B9C"/>
    <w:rsid w:val="00B375C3"/>
    <w:rsid w:val="00B4143B"/>
    <w:rsid w:val="00B421F5"/>
    <w:rsid w:val="00B4295A"/>
    <w:rsid w:val="00B43199"/>
    <w:rsid w:val="00B434FD"/>
    <w:rsid w:val="00B43E2C"/>
    <w:rsid w:val="00B4446E"/>
    <w:rsid w:val="00B462A7"/>
    <w:rsid w:val="00B463C6"/>
    <w:rsid w:val="00B46C3E"/>
    <w:rsid w:val="00B46D65"/>
    <w:rsid w:val="00B47D72"/>
    <w:rsid w:val="00B521BA"/>
    <w:rsid w:val="00B54186"/>
    <w:rsid w:val="00B55358"/>
    <w:rsid w:val="00B564F8"/>
    <w:rsid w:val="00B5759C"/>
    <w:rsid w:val="00B57963"/>
    <w:rsid w:val="00B609CE"/>
    <w:rsid w:val="00B612E2"/>
    <w:rsid w:val="00B61580"/>
    <w:rsid w:val="00B628EC"/>
    <w:rsid w:val="00B62FF0"/>
    <w:rsid w:val="00B667FC"/>
    <w:rsid w:val="00B66EC3"/>
    <w:rsid w:val="00B67623"/>
    <w:rsid w:val="00B701FB"/>
    <w:rsid w:val="00B70AA0"/>
    <w:rsid w:val="00B7218F"/>
    <w:rsid w:val="00B74187"/>
    <w:rsid w:val="00B74698"/>
    <w:rsid w:val="00B746D9"/>
    <w:rsid w:val="00B74950"/>
    <w:rsid w:val="00B77C1D"/>
    <w:rsid w:val="00B8278F"/>
    <w:rsid w:val="00B830B3"/>
    <w:rsid w:val="00B83AE8"/>
    <w:rsid w:val="00B8633D"/>
    <w:rsid w:val="00B87A00"/>
    <w:rsid w:val="00B901E1"/>
    <w:rsid w:val="00B90D18"/>
    <w:rsid w:val="00B91119"/>
    <w:rsid w:val="00B929AF"/>
    <w:rsid w:val="00B93B74"/>
    <w:rsid w:val="00B94059"/>
    <w:rsid w:val="00B95354"/>
    <w:rsid w:val="00B96159"/>
    <w:rsid w:val="00BA015D"/>
    <w:rsid w:val="00BA0B5D"/>
    <w:rsid w:val="00BA1073"/>
    <w:rsid w:val="00BB0687"/>
    <w:rsid w:val="00BB0D43"/>
    <w:rsid w:val="00BB14B6"/>
    <w:rsid w:val="00BB167D"/>
    <w:rsid w:val="00BB3022"/>
    <w:rsid w:val="00BB4B87"/>
    <w:rsid w:val="00BB52FB"/>
    <w:rsid w:val="00BB5ECE"/>
    <w:rsid w:val="00BB72FC"/>
    <w:rsid w:val="00BB758D"/>
    <w:rsid w:val="00BC0CA8"/>
    <w:rsid w:val="00BC5DCC"/>
    <w:rsid w:val="00BC757B"/>
    <w:rsid w:val="00BD0E1B"/>
    <w:rsid w:val="00BD286A"/>
    <w:rsid w:val="00BD34A3"/>
    <w:rsid w:val="00BD3CD6"/>
    <w:rsid w:val="00BD4547"/>
    <w:rsid w:val="00BD6AE9"/>
    <w:rsid w:val="00BD6D11"/>
    <w:rsid w:val="00BD762A"/>
    <w:rsid w:val="00BE0EE7"/>
    <w:rsid w:val="00BE1DEE"/>
    <w:rsid w:val="00BE26BA"/>
    <w:rsid w:val="00BE382F"/>
    <w:rsid w:val="00BE46FC"/>
    <w:rsid w:val="00BE7F4E"/>
    <w:rsid w:val="00BF037C"/>
    <w:rsid w:val="00BF07B8"/>
    <w:rsid w:val="00BF1E38"/>
    <w:rsid w:val="00BF2D40"/>
    <w:rsid w:val="00BF2EC3"/>
    <w:rsid w:val="00BF2FD4"/>
    <w:rsid w:val="00BF41E9"/>
    <w:rsid w:val="00BF4732"/>
    <w:rsid w:val="00BF4CB9"/>
    <w:rsid w:val="00BF7138"/>
    <w:rsid w:val="00BF7449"/>
    <w:rsid w:val="00C03D55"/>
    <w:rsid w:val="00C046AA"/>
    <w:rsid w:val="00C06D70"/>
    <w:rsid w:val="00C06DD0"/>
    <w:rsid w:val="00C07088"/>
    <w:rsid w:val="00C0733A"/>
    <w:rsid w:val="00C07B8A"/>
    <w:rsid w:val="00C07DA6"/>
    <w:rsid w:val="00C109CB"/>
    <w:rsid w:val="00C1170A"/>
    <w:rsid w:val="00C122EF"/>
    <w:rsid w:val="00C142FB"/>
    <w:rsid w:val="00C1562B"/>
    <w:rsid w:val="00C16402"/>
    <w:rsid w:val="00C16461"/>
    <w:rsid w:val="00C16C59"/>
    <w:rsid w:val="00C1794F"/>
    <w:rsid w:val="00C21D03"/>
    <w:rsid w:val="00C2230D"/>
    <w:rsid w:val="00C22AFE"/>
    <w:rsid w:val="00C22CDD"/>
    <w:rsid w:val="00C22D6F"/>
    <w:rsid w:val="00C22EE8"/>
    <w:rsid w:val="00C23879"/>
    <w:rsid w:val="00C257B3"/>
    <w:rsid w:val="00C26AFB"/>
    <w:rsid w:val="00C27E94"/>
    <w:rsid w:val="00C30096"/>
    <w:rsid w:val="00C3165D"/>
    <w:rsid w:val="00C32C07"/>
    <w:rsid w:val="00C33593"/>
    <w:rsid w:val="00C33E79"/>
    <w:rsid w:val="00C343ED"/>
    <w:rsid w:val="00C34A54"/>
    <w:rsid w:val="00C34C43"/>
    <w:rsid w:val="00C35BAD"/>
    <w:rsid w:val="00C365F2"/>
    <w:rsid w:val="00C40154"/>
    <w:rsid w:val="00C41074"/>
    <w:rsid w:val="00C414E6"/>
    <w:rsid w:val="00C41BE1"/>
    <w:rsid w:val="00C42665"/>
    <w:rsid w:val="00C42734"/>
    <w:rsid w:val="00C43A46"/>
    <w:rsid w:val="00C43A74"/>
    <w:rsid w:val="00C441B4"/>
    <w:rsid w:val="00C464AB"/>
    <w:rsid w:val="00C500F7"/>
    <w:rsid w:val="00C51F3E"/>
    <w:rsid w:val="00C52C7E"/>
    <w:rsid w:val="00C53121"/>
    <w:rsid w:val="00C53124"/>
    <w:rsid w:val="00C5330D"/>
    <w:rsid w:val="00C537A7"/>
    <w:rsid w:val="00C54678"/>
    <w:rsid w:val="00C5523B"/>
    <w:rsid w:val="00C5657F"/>
    <w:rsid w:val="00C620D5"/>
    <w:rsid w:val="00C627DE"/>
    <w:rsid w:val="00C669D4"/>
    <w:rsid w:val="00C67AAD"/>
    <w:rsid w:val="00C71A58"/>
    <w:rsid w:val="00C730AE"/>
    <w:rsid w:val="00C73299"/>
    <w:rsid w:val="00C74D81"/>
    <w:rsid w:val="00C74F7A"/>
    <w:rsid w:val="00C75CDD"/>
    <w:rsid w:val="00C77380"/>
    <w:rsid w:val="00C77459"/>
    <w:rsid w:val="00C804EC"/>
    <w:rsid w:val="00C81BF6"/>
    <w:rsid w:val="00C8239A"/>
    <w:rsid w:val="00C82ED4"/>
    <w:rsid w:val="00C84728"/>
    <w:rsid w:val="00C85E05"/>
    <w:rsid w:val="00C90106"/>
    <w:rsid w:val="00C91F8B"/>
    <w:rsid w:val="00C9230E"/>
    <w:rsid w:val="00C931D9"/>
    <w:rsid w:val="00C9462E"/>
    <w:rsid w:val="00C95489"/>
    <w:rsid w:val="00C95D2D"/>
    <w:rsid w:val="00CA2632"/>
    <w:rsid w:val="00CA2ED0"/>
    <w:rsid w:val="00CA5C41"/>
    <w:rsid w:val="00CA6FBB"/>
    <w:rsid w:val="00CA6FEA"/>
    <w:rsid w:val="00CA7880"/>
    <w:rsid w:val="00CB042E"/>
    <w:rsid w:val="00CB0D3B"/>
    <w:rsid w:val="00CB0EC8"/>
    <w:rsid w:val="00CB2448"/>
    <w:rsid w:val="00CB36E1"/>
    <w:rsid w:val="00CB43E1"/>
    <w:rsid w:val="00CB4B16"/>
    <w:rsid w:val="00CB50E6"/>
    <w:rsid w:val="00CB5803"/>
    <w:rsid w:val="00CB70B3"/>
    <w:rsid w:val="00CB7389"/>
    <w:rsid w:val="00CC01B4"/>
    <w:rsid w:val="00CC0DFD"/>
    <w:rsid w:val="00CC1307"/>
    <w:rsid w:val="00CC2A93"/>
    <w:rsid w:val="00CC2A9A"/>
    <w:rsid w:val="00CC3B32"/>
    <w:rsid w:val="00CC40CA"/>
    <w:rsid w:val="00CC4860"/>
    <w:rsid w:val="00CC543D"/>
    <w:rsid w:val="00CC5B27"/>
    <w:rsid w:val="00CD0B05"/>
    <w:rsid w:val="00CD174F"/>
    <w:rsid w:val="00CD1CDD"/>
    <w:rsid w:val="00CD27CD"/>
    <w:rsid w:val="00CD448C"/>
    <w:rsid w:val="00CD5646"/>
    <w:rsid w:val="00CD68EB"/>
    <w:rsid w:val="00CD7330"/>
    <w:rsid w:val="00CD7FAC"/>
    <w:rsid w:val="00CE0587"/>
    <w:rsid w:val="00CE2916"/>
    <w:rsid w:val="00CE3560"/>
    <w:rsid w:val="00CE3E33"/>
    <w:rsid w:val="00CE41A8"/>
    <w:rsid w:val="00CE4DD7"/>
    <w:rsid w:val="00CE5836"/>
    <w:rsid w:val="00CF051D"/>
    <w:rsid w:val="00CF0AC5"/>
    <w:rsid w:val="00CF0F60"/>
    <w:rsid w:val="00CF142B"/>
    <w:rsid w:val="00CF1990"/>
    <w:rsid w:val="00CF27BE"/>
    <w:rsid w:val="00CF3254"/>
    <w:rsid w:val="00CF624E"/>
    <w:rsid w:val="00D02119"/>
    <w:rsid w:val="00D0211F"/>
    <w:rsid w:val="00D0223D"/>
    <w:rsid w:val="00D05389"/>
    <w:rsid w:val="00D106C1"/>
    <w:rsid w:val="00D1179E"/>
    <w:rsid w:val="00D12AC0"/>
    <w:rsid w:val="00D12C10"/>
    <w:rsid w:val="00D12C8E"/>
    <w:rsid w:val="00D12F1A"/>
    <w:rsid w:val="00D1400B"/>
    <w:rsid w:val="00D1448E"/>
    <w:rsid w:val="00D145DD"/>
    <w:rsid w:val="00D14BDA"/>
    <w:rsid w:val="00D16883"/>
    <w:rsid w:val="00D16A90"/>
    <w:rsid w:val="00D17055"/>
    <w:rsid w:val="00D2035C"/>
    <w:rsid w:val="00D21580"/>
    <w:rsid w:val="00D24EB8"/>
    <w:rsid w:val="00D253A6"/>
    <w:rsid w:val="00D26EA6"/>
    <w:rsid w:val="00D27037"/>
    <w:rsid w:val="00D27773"/>
    <w:rsid w:val="00D300DC"/>
    <w:rsid w:val="00D30413"/>
    <w:rsid w:val="00D318F5"/>
    <w:rsid w:val="00D32209"/>
    <w:rsid w:val="00D32C4D"/>
    <w:rsid w:val="00D365DF"/>
    <w:rsid w:val="00D40089"/>
    <w:rsid w:val="00D41DD4"/>
    <w:rsid w:val="00D427BD"/>
    <w:rsid w:val="00D42E91"/>
    <w:rsid w:val="00D43300"/>
    <w:rsid w:val="00D45786"/>
    <w:rsid w:val="00D468DF"/>
    <w:rsid w:val="00D46C20"/>
    <w:rsid w:val="00D47570"/>
    <w:rsid w:val="00D5295F"/>
    <w:rsid w:val="00D52D3A"/>
    <w:rsid w:val="00D53C36"/>
    <w:rsid w:val="00D54702"/>
    <w:rsid w:val="00D547C4"/>
    <w:rsid w:val="00D5618A"/>
    <w:rsid w:val="00D5644A"/>
    <w:rsid w:val="00D574A6"/>
    <w:rsid w:val="00D666C4"/>
    <w:rsid w:val="00D6714C"/>
    <w:rsid w:val="00D74074"/>
    <w:rsid w:val="00D74409"/>
    <w:rsid w:val="00D74F86"/>
    <w:rsid w:val="00D80E5B"/>
    <w:rsid w:val="00D810A8"/>
    <w:rsid w:val="00D81B87"/>
    <w:rsid w:val="00D81D8C"/>
    <w:rsid w:val="00D833C6"/>
    <w:rsid w:val="00D8402B"/>
    <w:rsid w:val="00D84272"/>
    <w:rsid w:val="00D84FA6"/>
    <w:rsid w:val="00D8523B"/>
    <w:rsid w:val="00D86F75"/>
    <w:rsid w:val="00D91169"/>
    <w:rsid w:val="00D9170E"/>
    <w:rsid w:val="00D91869"/>
    <w:rsid w:val="00D93146"/>
    <w:rsid w:val="00D93BE5"/>
    <w:rsid w:val="00D94601"/>
    <w:rsid w:val="00D96E2C"/>
    <w:rsid w:val="00D973D2"/>
    <w:rsid w:val="00DA0095"/>
    <w:rsid w:val="00DA03E0"/>
    <w:rsid w:val="00DA04EB"/>
    <w:rsid w:val="00DA18C3"/>
    <w:rsid w:val="00DA1CDF"/>
    <w:rsid w:val="00DA690C"/>
    <w:rsid w:val="00DB0566"/>
    <w:rsid w:val="00DB0ADE"/>
    <w:rsid w:val="00DB1285"/>
    <w:rsid w:val="00DB14A3"/>
    <w:rsid w:val="00DB182A"/>
    <w:rsid w:val="00DB18F5"/>
    <w:rsid w:val="00DB4045"/>
    <w:rsid w:val="00DB48CA"/>
    <w:rsid w:val="00DB5181"/>
    <w:rsid w:val="00DC0606"/>
    <w:rsid w:val="00DC18A0"/>
    <w:rsid w:val="00DC2A0C"/>
    <w:rsid w:val="00DC2CF2"/>
    <w:rsid w:val="00DC386E"/>
    <w:rsid w:val="00DD0A89"/>
    <w:rsid w:val="00DD11AE"/>
    <w:rsid w:val="00DD1EB2"/>
    <w:rsid w:val="00DD529F"/>
    <w:rsid w:val="00DD5B28"/>
    <w:rsid w:val="00DD61B2"/>
    <w:rsid w:val="00DD70F7"/>
    <w:rsid w:val="00DD7A4F"/>
    <w:rsid w:val="00DE014A"/>
    <w:rsid w:val="00DE095A"/>
    <w:rsid w:val="00DE216C"/>
    <w:rsid w:val="00DE3919"/>
    <w:rsid w:val="00DE5BCE"/>
    <w:rsid w:val="00DE7ABE"/>
    <w:rsid w:val="00DF10AF"/>
    <w:rsid w:val="00DF38EE"/>
    <w:rsid w:val="00DF6C6D"/>
    <w:rsid w:val="00E034B4"/>
    <w:rsid w:val="00E034C5"/>
    <w:rsid w:val="00E03789"/>
    <w:rsid w:val="00E0398C"/>
    <w:rsid w:val="00E03A60"/>
    <w:rsid w:val="00E03E09"/>
    <w:rsid w:val="00E0514E"/>
    <w:rsid w:val="00E069D8"/>
    <w:rsid w:val="00E108FC"/>
    <w:rsid w:val="00E10CB6"/>
    <w:rsid w:val="00E116D1"/>
    <w:rsid w:val="00E16F72"/>
    <w:rsid w:val="00E206CB"/>
    <w:rsid w:val="00E2177B"/>
    <w:rsid w:val="00E22DBC"/>
    <w:rsid w:val="00E230F0"/>
    <w:rsid w:val="00E236E7"/>
    <w:rsid w:val="00E23920"/>
    <w:rsid w:val="00E24820"/>
    <w:rsid w:val="00E24A84"/>
    <w:rsid w:val="00E25144"/>
    <w:rsid w:val="00E25BDC"/>
    <w:rsid w:val="00E274C9"/>
    <w:rsid w:val="00E32F1E"/>
    <w:rsid w:val="00E35F2A"/>
    <w:rsid w:val="00E35F46"/>
    <w:rsid w:val="00E37196"/>
    <w:rsid w:val="00E37788"/>
    <w:rsid w:val="00E410EF"/>
    <w:rsid w:val="00E42861"/>
    <w:rsid w:val="00E44808"/>
    <w:rsid w:val="00E44CBC"/>
    <w:rsid w:val="00E46377"/>
    <w:rsid w:val="00E46A7E"/>
    <w:rsid w:val="00E473FD"/>
    <w:rsid w:val="00E47624"/>
    <w:rsid w:val="00E54563"/>
    <w:rsid w:val="00E545CC"/>
    <w:rsid w:val="00E54872"/>
    <w:rsid w:val="00E56576"/>
    <w:rsid w:val="00E5787E"/>
    <w:rsid w:val="00E57F0C"/>
    <w:rsid w:val="00E618B0"/>
    <w:rsid w:val="00E62736"/>
    <w:rsid w:val="00E62D34"/>
    <w:rsid w:val="00E631C0"/>
    <w:rsid w:val="00E63CFA"/>
    <w:rsid w:val="00E66EBB"/>
    <w:rsid w:val="00E67EBE"/>
    <w:rsid w:val="00E70C6A"/>
    <w:rsid w:val="00E70DAC"/>
    <w:rsid w:val="00E74268"/>
    <w:rsid w:val="00E7427E"/>
    <w:rsid w:val="00E743A2"/>
    <w:rsid w:val="00E76F04"/>
    <w:rsid w:val="00E811F5"/>
    <w:rsid w:val="00E81E6F"/>
    <w:rsid w:val="00E821FA"/>
    <w:rsid w:val="00E82BE2"/>
    <w:rsid w:val="00E8325C"/>
    <w:rsid w:val="00E84C30"/>
    <w:rsid w:val="00E86451"/>
    <w:rsid w:val="00E865FD"/>
    <w:rsid w:val="00E8758E"/>
    <w:rsid w:val="00E9016A"/>
    <w:rsid w:val="00E90A4D"/>
    <w:rsid w:val="00E90B04"/>
    <w:rsid w:val="00E91621"/>
    <w:rsid w:val="00E934A7"/>
    <w:rsid w:val="00E94410"/>
    <w:rsid w:val="00E950D7"/>
    <w:rsid w:val="00E95497"/>
    <w:rsid w:val="00E95F54"/>
    <w:rsid w:val="00E96DCE"/>
    <w:rsid w:val="00E9707B"/>
    <w:rsid w:val="00E97497"/>
    <w:rsid w:val="00E9760A"/>
    <w:rsid w:val="00EA068A"/>
    <w:rsid w:val="00EA1791"/>
    <w:rsid w:val="00EA272B"/>
    <w:rsid w:val="00EA2922"/>
    <w:rsid w:val="00EA4CFC"/>
    <w:rsid w:val="00EA7F10"/>
    <w:rsid w:val="00EB0686"/>
    <w:rsid w:val="00EB0EF1"/>
    <w:rsid w:val="00EB1B56"/>
    <w:rsid w:val="00EB4976"/>
    <w:rsid w:val="00EB6E98"/>
    <w:rsid w:val="00EB7E9A"/>
    <w:rsid w:val="00EC0F7D"/>
    <w:rsid w:val="00EC1AC8"/>
    <w:rsid w:val="00EC1B15"/>
    <w:rsid w:val="00EC232C"/>
    <w:rsid w:val="00EC24E6"/>
    <w:rsid w:val="00EC35A3"/>
    <w:rsid w:val="00EC4118"/>
    <w:rsid w:val="00EC64F0"/>
    <w:rsid w:val="00EC68F0"/>
    <w:rsid w:val="00EC6FED"/>
    <w:rsid w:val="00EC7913"/>
    <w:rsid w:val="00ED0D00"/>
    <w:rsid w:val="00ED1008"/>
    <w:rsid w:val="00ED1B38"/>
    <w:rsid w:val="00ED1EC6"/>
    <w:rsid w:val="00ED2017"/>
    <w:rsid w:val="00ED32FE"/>
    <w:rsid w:val="00ED4276"/>
    <w:rsid w:val="00ED52D3"/>
    <w:rsid w:val="00ED7988"/>
    <w:rsid w:val="00EE1462"/>
    <w:rsid w:val="00EE1E83"/>
    <w:rsid w:val="00EE3A16"/>
    <w:rsid w:val="00EE5EF1"/>
    <w:rsid w:val="00EE6447"/>
    <w:rsid w:val="00EE647E"/>
    <w:rsid w:val="00EE68DD"/>
    <w:rsid w:val="00EE6F5E"/>
    <w:rsid w:val="00EE7284"/>
    <w:rsid w:val="00EE7860"/>
    <w:rsid w:val="00EF0010"/>
    <w:rsid w:val="00EF05A6"/>
    <w:rsid w:val="00EF06FD"/>
    <w:rsid w:val="00EF315E"/>
    <w:rsid w:val="00EF4C54"/>
    <w:rsid w:val="00EF5233"/>
    <w:rsid w:val="00EF5627"/>
    <w:rsid w:val="00EF6837"/>
    <w:rsid w:val="00EF6905"/>
    <w:rsid w:val="00EF6F9D"/>
    <w:rsid w:val="00EF769F"/>
    <w:rsid w:val="00EF7E2D"/>
    <w:rsid w:val="00EF7F14"/>
    <w:rsid w:val="00F0017F"/>
    <w:rsid w:val="00F00731"/>
    <w:rsid w:val="00F01354"/>
    <w:rsid w:val="00F02542"/>
    <w:rsid w:val="00F03280"/>
    <w:rsid w:val="00F054A2"/>
    <w:rsid w:val="00F05BE9"/>
    <w:rsid w:val="00F07378"/>
    <w:rsid w:val="00F076A4"/>
    <w:rsid w:val="00F16C8D"/>
    <w:rsid w:val="00F2112C"/>
    <w:rsid w:val="00F24EA2"/>
    <w:rsid w:val="00F2507D"/>
    <w:rsid w:val="00F273C8"/>
    <w:rsid w:val="00F275D5"/>
    <w:rsid w:val="00F27EDC"/>
    <w:rsid w:val="00F30565"/>
    <w:rsid w:val="00F3079A"/>
    <w:rsid w:val="00F30FE5"/>
    <w:rsid w:val="00F31ACA"/>
    <w:rsid w:val="00F32968"/>
    <w:rsid w:val="00F344BD"/>
    <w:rsid w:val="00F35E6E"/>
    <w:rsid w:val="00F35F4A"/>
    <w:rsid w:val="00F36D61"/>
    <w:rsid w:val="00F378A7"/>
    <w:rsid w:val="00F405B9"/>
    <w:rsid w:val="00F4102D"/>
    <w:rsid w:val="00F44503"/>
    <w:rsid w:val="00F451FE"/>
    <w:rsid w:val="00F452AB"/>
    <w:rsid w:val="00F45408"/>
    <w:rsid w:val="00F46CD8"/>
    <w:rsid w:val="00F541BC"/>
    <w:rsid w:val="00F553C8"/>
    <w:rsid w:val="00F563E1"/>
    <w:rsid w:val="00F57778"/>
    <w:rsid w:val="00F604C7"/>
    <w:rsid w:val="00F634AF"/>
    <w:rsid w:val="00F64CF6"/>
    <w:rsid w:val="00F6526D"/>
    <w:rsid w:val="00F67139"/>
    <w:rsid w:val="00F71EEA"/>
    <w:rsid w:val="00F73D25"/>
    <w:rsid w:val="00F74029"/>
    <w:rsid w:val="00F74088"/>
    <w:rsid w:val="00F75D4A"/>
    <w:rsid w:val="00F76649"/>
    <w:rsid w:val="00F7722C"/>
    <w:rsid w:val="00F7787B"/>
    <w:rsid w:val="00F77EA9"/>
    <w:rsid w:val="00F81CF2"/>
    <w:rsid w:val="00F825F5"/>
    <w:rsid w:val="00F835F2"/>
    <w:rsid w:val="00F85DE5"/>
    <w:rsid w:val="00F861EA"/>
    <w:rsid w:val="00F872A3"/>
    <w:rsid w:val="00F90CE9"/>
    <w:rsid w:val="00F9281B"/>
    <w:rsid w:val="00F93E5D"/>
    <w:rsid w:val="00F947F1"/>
    <w:rsid w:val="00F96352"/>
    <w:rsid w:val="00F965C6"/>
    <w:rsid w:val="00FA06E1"/>
    <w:rsid w:val="00FA21D5"/>
    <w:rsid w:val="00FA3186"/>
    <w:rsid w:val="00FA55EE"/>
    <w:rsid w:val="00FA5916"/>
    <w:rsid w:val="00FA6E08"/>
    <w:rsid w:val="00FA7FA3"/>
    <w:rsid w:val="00FB1BC5"/>
    <w:rsid w:val="00FB1F34"/>
    <w:rsid w:val="00FB4966"/>
    <w:rsid w:val="00FB546D"/>
    <w:rsid w:val="00FB5BB2"/>
    <w:rsid w:val="00FC30CD"/>
    <w:rsid w:val="00FD197F"/>
    <w:rsid w:val="00FD2B3F"/>
    <w:rsid w:val="00FD359E"/>
    <w:rsid w:val="00FD5221"/>
    <w:rsid w:val="00FD5D1A"/>
    <w:rsid w:val="00FD7B45"/>
    <w:rsid w:val="00FE04C3"/>
    <w:rsid w:val="00FE4BFF"/>
    <w:rsid w:val="00FE5CB1"/>
    <w:rsid w:val="00FE5F9A"/>
    <w:rsid w:val="00FE6D2B"/>
    <w:rsid w:val="00FE6DFC"/>
    <w:rsid w:val="00FE7864"/>
    <w:rsid w:val="00FE79C3"/>
    <w:rsid w:val="00FF02F8"/>
    <w:rsid w:val="00FF0309"/>
    <w:rsid w:val="00FF1BCB"/>
    <w:rsid w:val="00FF2602"/>
    <w:rsid w:val="00FF36E1"/>
    <w:rsid w:val="00FF4B6E"/>
    <w:rsid w:val="00FF5847"/>
    <w:rsid w:val="00FF6127"/>
    <w:rsid w:val="00FF6750"/>
    <w:rsid w:val="00FF6D62"/>
    <w:rsid w:val="00FF7BEB"/>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n">
    <w:name w:val="Normal"/>
    <w:qFormat/>
    <w:rsid w:val="00981541"/>
    <w:pPr>
      <w:spacing w:line="360" w:lineRule="auto"/>
      <w:jc w:val="both"/>
    </w:pPr>
    <w:rPr>
      <w:rFonts w:ascii="Times New Roman" w:hAnsi="Times New Roman"/>
      <w:sz w:val="24"/>
      <w:lang w:eastAsia="en-US"/>
    </w:rPr>
  </w:style>
  <w:style w:type="paragraph" w:styleId="Nadpis1">
    <w:name w:val="heading 1"/>
    <w:basedOn w:val="Normln"/>
    <w:next w:val="Normln"/>
    <w:link w:val="Nadpis1Char"/>
    <w:uiPriority w:val="99"/>
    <w:qFormat/>
    <w:rsid w:val="003B2A24"/>
    <w:pPr>
      <w:keepNext/>
      <w:keepLines/>
      <w:spacing w:before="360"/>
      <w:outlineLvl w:val="0"/>
    </w:pPr>
    <w:rPr>
      <w:rFonts w:eastAsia="Times New Roman"/>
      <w:b/>
      <w:bCs/>
      <w:sz w:val="40"/>
      <w:szCs w:val="28"/>
    </w:rPr>
  </w:style>
  <w:style w:type="paragraph" w:styleId="Nadpis2">
    <w:name w:val="heading 2"/>
    <w:basedOn w:val="Normln"/>
    <w:next w:val="Normln"/>
    <w:link w:val="Nadpis2Char"/>
    <w:uiPriority w:val="99"/>
    <w:qFormat/>
    <w:rsid w:val="003B2A24"/>
    <w:pPr>
      <w:keepNext/>
      <w:keepLines/>
      <w:spacing w:before="200"/>
      <w:outlineLvl w:val="1"/>
    </w:pPr>
    <w:rPr>
      <w:rFonts w:eastAsia="Times New Roman"/>
      <w:b/>
      <w:bCs/>
      <w:sz w:val="32"/>
      <w:szCs w:val="26"/>
    </w:rPr>
  </w:style>
  <w:style w:type="paragraph" w:styleId="Nadpis3">
    <w:name w:val="heading 3"/>
    <w:basedOn w:val="Normln"/>
    <w:next w:val="Normln"/>
    <w:link w:val="Nadpis3Char"/>
    <w:uiPriority w:val="99"/>
    <w:qFormat/>
    <w:rsid w:val="003B2A24"/>
    <w:pPr>
      <w:keepNext/>
      <w:keepLines/>
      <w:spacing w:before="80"/>
      <w:outlineLvl w:val="2"/>
    </w:pPr>
    <w:rPr>
      <w:rFonts w:eastAsia="Times New Roman"/>
      <w:b/>
      <w:bCs/>
      <w:sz w:val="28"/>
    </w:rPr>
  </w:style>
  <w:style w:type="paragraph" w:styleId="Nadpis4">
    <w:name w:val="heading 4"/>
    <w:basedOn w:val="Normln"/>
    <w:next w:val="Normln"/>
    <w:link w:val="Nadpis4Char"/>
    <w:uiPriority w:val="99"/>
    <w:qFormat/>
    <w:rsid w:val="00F076A4"/>
    <w:pPr>
      <w:keepNext/>
      <w:keepLines/>
      <w:spacing w:before="200" w:line="240" w:lineRule="auto"/>
      <w:jc w:val="left"/>
      <w:outlineLvl w:val="3"/>
    </w:pPr>
    <w:rPr>
      <w:rFonts w:eastAsia="Times New Roman"/>
      <w:bCs/>
      <w:iCs/>
      <w:sz w:val="22"/>
    </w:rPr>
  </w:style>
  <w:style w:type="paragraph" w:styleId="Nadpis5">
    <w:name w:val="heading 5"/>
    <w:basedOn w:val="Normln"/>
    <w:next w:val="Normln"/>
    <w:link w:val="Nadpis5Char"/>
    <w:uiPriority w:val="99"/>
    <w:qFormat/>
    <w:rsid w:val="00964FA0"/>
    <w:pPr>
      <w:keepNext/>
      <w:keepLines/>
      <w:spacing w:before="200"/>
      <w:jc w:val="left"/>
      <w:outlineLvl w:val="4"/>
    </w:pPr>
    <w:rPr>
      <w:rFonts w:eastAsia="Times New Roman"/>
      <w:b/>
      <w:sz w:val="22"/>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3B2A24"/>
    <w:rPr>
      <w:rFonts w:ascii="Times New Roman" w:hAnsi="Times New Roman" w:cs="Times New Roman"/>
      <w:b/>
      <w:bCs/>
      <w:sz w:val="28"/>
      <w:szCs w:val="28"/>
    </w:rPr>
  </w:style>
  <w:style w:type="character" w:customStyle="1" w:styleId="Nadpis2Char">
    <w:name w:val="Nadpis 2 Char"/>
    <w:basedOn w:val="Standardnpsmoodstavce"/>
    <w:link w:val="Nadpis2"/>
    <w:uiPriority w:val="99"/>
    <w:locked/>
    <w:rsid w:val="003B2A24"/>
    <w:rPr>
      <w:rFonts w:ascii="Times New Roman" w:hAnsi="Times New Roman" w:cs="Times New Roman"/>
      <w:b/>
      <w:bCs/>
      <w:sz w:val="26"/>
      <w:szCs w:val="26"/>
    </w:rPr>
  </w:style>
  <w:style w:type="character" w:customStyle="1" w:styleId="Nadpis3Char">
    <w:name w:val="Nadpis 3 Char"/>
    <w:basedOn w:val="Standardnpsmoodstavce"/>
    <w:link w:val="Nadpis3"/>
    <w:uiPriority w:val="99"/>
    <w:locked/>
    <w:rsid w:val="003B2A24"/>
    <w:rPr>
      <w:rFonts w:ascii="Times New Roman" w:hAnsi="Times New Roman" w:cs="Times New Roman"/>
      <w:b/>
      <w:bCs/>
      <w:sz w:val="28"/>
    </w:rPr>
  </w:style>
  <w:style w:type="character" w:customStyle="1" w:styleId="Nadpis4Char">
    <w:name w:val="Nadpis 4 Char"/>
    <w:basedOn w:val="Standardnpsmoodstavce"/>
    <w:link w:val="Nadpis4"/>
    <w:uiPriority w:val="99"/>
    <w:locked/>
    <w:rsid w:val="00F076A4"/>
    <w:rPr>
      <w:rFonts w:ascii="Times New Roman" w:hAnsi="Times New Roman" w:cs="Times New Roman"/>
      <w:bCs/>
      <w:iCs/>
    </w:rPr>
  </w:style>
  <w:style w:type="character" w:customStyle="1" w:styleId="Nadpis5Char">
    <w:name w:val="Nadpis 5 Char"/>
    <w:basedOn w:val="Standardnpsmoodstavce"/>
    <w:link w:val="Nadpis5"/>
    <w:uiPriority w:val="99"/>
    <w:locked/>
    <w:rsid w:val="00964FA0"/>
    <w:rPr>
      <w:rFonts w:ascii="Times New Roman" w:hAnsi="Times New Roman" w:cs="Times New Roman"/>
      <w:b/>
      <w:lang w:eastAsia="cs-CZ"/>
    </w:rPr>
  </w:style>
  <w:style w:type="character" w:styleId="Hypertextovodkaz">
    <w:name w:val="Hyperlink"/>
    <w:basedOn w:val="Standardnpsmoodstavce"/>
    <w:uiPriority w:val="99"/>
    <w:rsid w:val="006E036D"/>
    <w:rPr>
      <w:rFonts w:cs="Times New Roman"/>
      <w:color w:val="0000FF"/>
      <w:u w:val="single"/>
    </w:rPr>
  </w:style>
  <w:style w:type="paragraph" w:styleId="Nadpisobsahu">
    <w:name w:val="TOC Heading"/>
    <w:basedOn w:val="Nadpis1"/>
    <w:next w:val="Normln"/>
    <w:uiPriority w:val="99"/>
    <w:qFormat/>
    <w:rsid w:val="00393C5B"/>
    <w:pPr>
      <w:spacing w:line="276" w:lineRule="auto"/>
      <w:outlineLvl w:val="9"/>
    </w:pPr>
    <w:rPr>
      <w:rFonts w:ascii="Cambria" w:hAnsi="Cambria"/>
      <w:color w:val="365F91"/>
      <w:sz w:val="28"/>
    </w:rPr>
  </w:style>
  <w:style w:type="paragraph" w:styleId="Obsah1">
    <w:name w:val="toc 1"/>
    <w:basedOn w:val="Normln"/>
    <w:next w:val="Normln"/>
    <w:autoRedefine/>
    <w:uiPriority w:val="99"/>
    <w:rsid w:val="00393C5B"/>
    <w:pPr>
      <w:spacing w:after="100"/>
    </w:pPr>
  </w:style>
  <w:style w:type="paragraph" w:styleId="Textbubliny">
    <w:name w:val="Balloon Text"/>
    <w:basedOn w:val="Normln"/>
    <w:link w:val="TextbublinyChar"/>
    <w:uiPriority w:val="99"/>
    <w:semiHidden/>
    <w:rsid w:val="00393C5B"/>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393C5B"/>
    <w:rPr>
      <w:rFonts w:ascii="Tahoma" w:hAnsi="Tahoma" w:cs="Tahoma"/>
      <w:sz w:val="16"/>
      <w:szCs w:val="16"/>
    </w:rPr>
  </w:style>
  <w:style w:type="paragraph" w:styleId="Odstavecseseznamem">
    <w:name w:val="List Paragraph"/>
    <w:basedOn w:val="Normln"/>
    <w:uiPriority w:val="99"/>
    <w:qFormat/>
    <w:rsid w:val="00391FDD"/>
    <w:pPr>
      <w:ind w:left="720"/>
      <w:contextualSpacing/>
    </w:pPr>
  </w:style>
  <w:style w:type="paragraph" w:styleId="Obsah2">
    <w:name w:val="toc 2"/>
    <w:basedOn w:val="Normln"/>
    <w:next w:val="Normln"/>
    <w:autoRedefine/>
    <w:uiPriority w:val="99"/>
    <w:rsid w:val="00D14BDA"/>
    <w:pPr>
      <w:spacing w:after="100"/>
      <w:ind w:left="240"/>
    </w:pPr>
  </w:style>
  <w:style w:type="paragraph" w:styleId="Zhlav">
    <w:name w:val="header"/>
    <w:basedOn w:val="Normln"/>
    <w:link w:val="ZhlavChar"/>
    <w:uiPriority w:val="99"/>
    <w:semiHidden/>
    <w:rsid w:val="003772DB"/>
    <w:pPr>
      <w:tabs>
        <w:tab w:val="center" w:pos="4536"/>
        <w:tab w:val="right" w:pos="9072"/>
      </w:tabs>
      <w:spacing w:line="240" w:lineRule="auto"/>
    </w:pPr>
  </w:style>
  <w:style w:type="character" w:customStyle="1" w:styleId="ZhlavChar">
    <w:name w:val="Záhlaví Char"/>
    <w:basedOn w:val="Standardnpsmoodstavce"/>
    <w:link w:val="Zhlav"/>
    <w:uiPriority w:val="99"/>
    <w:semiHidden/>
    <w:locked/>
    <w:rsid w:val="003772DB"/>
    <w:rPr>
      <w:rFonts w:ascii="Times New Roman" w:hAnsi="Times New Roman" w:cs="Times New Roman"/>
      <w:sz w:val="24"/>
    </w:rPr>
  </w:style>
  <w:style w:type="paragraph" w:styleId="Zpat">
    <w:name w:val="footer"/>
    <w:basedOn w:val="Normln"/>
    <w:link w:val="ZpatChar"/>
    <w:uiPriority w:val="99"/>
    <w:rsid w:val="003772DB"/>
    <w:pPr>
      <w:tabs>
        <w:tab w:val="center" w:pos="4536"/>
        <w:tab w:val="right" w:pos="9072"/>
      </w:tabs>
      <w:spacing w:line="240" w:lineRule="auto"/>
    </w:pPr>
  </w:style>
  <w:style w:type="character" w:customStyle="1" w:styleId="ZpatChar">
    <w:name w:val="Zápatí Char"/>
    <w:basedOn w:val="Standardnpsmoodstavce"/>
    <w:link w:val="Zpat"/>
    <w:uiPriority w:val="99"/>
    <w:locked/>
    <w:rsid w:val="003772DB"/>
    <w:rPr>
      <w:rFonts w:ascii="Times New Roman" w:hAnsi="Times New Roman" w:cs="Times New Roman"/>
      <w:sz w:val="24"/>
    </w:rPr>
  </w:style>
  <w:style w:type="character" w:customStyle="1" w:styleId="apple-style-span">
    <w:name w:val="apple-style-span"/>
    <w:basedOn w:val="Standardnpsmoodstavce"/>
    <w:uiPriority w:val="99"/>
    <w:rsid w:val="00881393"/>
    <w:rPr>
      <w:rFonts w:cs="Times New Roman"/>
    </w:rPr>
  </w:style>
  <w:style w:type="paragraph" w:styleId="Bibliografie">
    <w:name w:val="Bibliography"/>
    <w:basedOn w:val="Normln"/>
    <w:next w:val="Normln"/>
    <w:uiPriority w:val="99"/>
    <w:rsid w:val="006367A6"/>
  </w:style>
  <w:style w:type="paragraph" w:styleId="Normlnweb">
    <w:name w:val="Normal (Web)"/>
    <w:basedOn w:val="Normln"/>
    <w:uiPriority w:val="99"/>
    <w:rsid w:val="00ED1B38"/>
    <w:pPr>
      <w:spacing w:before="100" w:beforeAutospacing="1" w:after="100" w:afterAutospacing="1" w:line="240" w:lineRule="auto"/>
      <w:jc w:val="left"/>
    </w:pPr>
    <w:rPr>
      <w:rFonts w:eastAsia="Times New Roman"/>
      <w:szCs w:val="24"/>
      <w:lang w:eastAsia="cs-CZ"/>
    </w:rPr>
  </w:style>
  <w:style w:type="paragraph" w:styleId="Bezmezer">
    <w:name w:val="No Spacing"/>
    <w:uiPriority w:val="99"/>
    <w:qFormat/>
    <w:rsid w:val="009141EC"/>
    <w:pPr>
      <w:spacing w:line="360" w:lineRule="auto"/>
      <w:jc w:val="both"/>
    </w:pPr>
    <w:rPr>
      <w:rFonts w:ascii="Times New Roman" w:hAnsi="Times New Roman"/>
      <w:i/>
      <w:sz w:val="24"/>
      <w:lang w:eastAsia="en-US"/>
    </w:rPr>
  </w:style>
  <w:style w:type="paragraph" w:styleId="Obsah3">
    <w:name w:val="toc 3"/>
    <w:basedOn w:val="Normln"/>
    <w:next w:val="Normln"/>
    <w:autoRedefine/>
    <w:uiPriority w:val="99"/>
    <w:rsid w:val="00CB70B3"/>
    <w:pPr>
      <w:spacing w:after="100"/>
      <w:ind w:left="480"/>
    </w:pPr>
  </w:style>
  <w:style w:type="character" w:customStyle="1" w:styleId="pdf">
    <w:name w:val="pdf"/>
    <w:basedOn w:val="Standardnpsmoodstavce"/>
    <w:uiPriority w:val="99"/>
    <w:rsid w:val="00EF05A6"/>
    <w:rPr>
      <w:rFonts w:cs="Times New Roman"/>
    </w:rPr>
  </w:style>
  <w:style w:type="character" w:customStyle="1" w:styleId="arrow">
    <w:name w:val="arrow"/>
    <w:basedOn w:val="Standardnpsmoodstavce"/>
    <w:uiPriority w:val="99"/>
    <w:rsid w:val="00FF36E1"/>
    <w:rPr>
      <w:rFonts w:cs="Times New Roman"/>
    </w:rPr>
  </w:style>
  <w:style w:type="character" w:customStyle="1" w:styleId="apple-converted-space">
    <w:name w:val="apple-converted-space"/>
    <w:basedOn w:val="Standardnpsmoodstavce"/>
    <w:uiPriority w:val="99"/>
    <w:rsid w:val="00B16501"/>
    <w:rPr>
      <w:rFonts w:cs="Times New Roman"/>
    </w:rPr>
  </w:style>
  <w:style w:type="character" w:styleId="Sledovanodkaz">
    <w:name w:val="FollowedHyperlink"/>
    <w:basedOn w:val="Standardnpsmoodstavce"/>
    <w:uiPriority w:val="99"/>
    <w:semiHidden/>
    <w:rsid w:val="00DD7A4F"/>
    <w:rPr>
      <w:rFonts w:cs="Times New Roman"/>
      <w:color w:val="800080"/>
      <w:u w:val="single"/>
    </w:rPr>
  </w:style>
  <w:style w:type="character" w:styleId="Zvraznn">
    <w:name w:val="Emphasis"/>
    <w:basedOn w:val="Standardnpsmoodstavce"/>
    <w:uiPriority w:val="99"/>
    <w:qFormat/>
    <w:rsid w:val="00201107"/>
    <w:rPr>
      <w:rFonts w:cs="Times New Roman"/>
      <w:i/>
      <w:iCs/>
    </w:rPr>
  </w:style>
  <w:style w:type="character" w:styleId="Siln">
    <w:name w:val="Strong"/>
    <w:basedOn w:val="Standardnpsmoodstavce"/>
    <w:uiPriority w:val="99"/>
    <w:qFormat/>
    <w:rsid w:val="00201107"/>
    <w:rPr>
      <w:rFonts w:cs="Times New Roman"/>
      <w:b/>
      <w:bCs/>
    </w:rPr>
  </w:style>
  <w:style w:type="paragraph" w:styleId="Textpoznpodarou">
    <w:name w:val="footnote text"/>
    <w:basedOn w:val="Normln"/>
    <w:link w:val="TextpoznpodarouChar"/>
    <w:uiPriority w:val="99"/>
    <w:rsid w:val="00E03A60"/>
    <w:pPr>
      <w:spacing w:line="240" w:lineRule="auto"/>
    </w:pPr>
    <w:rPr>
      <w:sz w:val="20"/>
      <w:szCs w:val="20"/>
    </w:rPr>
  </w:style>
  <w:style w:type="character" w:customStyle="1" w:styleId="TextpoznpodarouChar">
    <w:name w:val="Text pozn. pod čarou Char"/>
    <w:basedOn w:val="Standardnpsmoodstavce"/>
    <w:link w:val="Textpoznpodarou"/>
    <w:uiPriority w:val="99"/>
    <w:locked/>
    <w:rsid w:val="00E03A60"/>
    <w:rPr>
      <w:rFonts w:ascii="Times New Roman" w:hAnsi="Times New Roman" w:cs="Times New Roman"/>
      <w:sz w:val="20"/>
      <w:szCs w:val="20"/>
    </w:rPr>
  </w:style>
  <w:style w:type="character" w:styleId="Znakapoznpodarou">
    <w:name w:val="footnote reference"/>
    <w:basedOn w:val="Standardnpsmoodstavce"/>
    <w:uiPriority w:val="99"/>
    <w:semiHidden/>
    <w:rsid w:val="00E03A60"/>
    <w:rPr>
      <w:rFonts w:cs="Times New Roman"/>
      <w:vertAlign w:val="superscript"/>
    </w:rPr>
  </w:style>
  <w:style w:type="paragraph" w:styleId="Textvysvtlivek">
    <w:name w:val="endnote text"/>
    <w:basedOn w:val="Normln"/>
    <w:link w:val="TextvysvtlivekChar"/>
    <w:uiPriority w:val="99"/>
    <w:semiHidden/>
    <w:rsid w:val="00E03A60"/>
    <w:pPr>
      <w:spacing w:line="240" w:lineRule="auto"/>
    </w:pPr>
    <w:rPr>
      <w:sz w:val="20"/>
      <w:szCs w:val="20"/>
    </w:rPr>
  </w:style>
  <w:style w:type="character" w:customStyle="1" w:styleId="TextvysvtlivekChar">
    <w:name w:val="Text vysvětlivek Char"/>
    <w:basedOn w:val="Standardnpsmoodstavce"/>
    <w:link w:val="Textvysvtlivek"/>
    <w:uiPriority w:val="99"/>
    <w:semiHidden/>
    <w:locked/>
    <w:rsid w:val="00E03A60"/>
    <w:rPr>
      <w:rFonts w:ascii="Times New Roman" w:hAnsi="Times New Roman" w:cs="Times New Roman"/>
      <w:sz w:val="20"/>
      <w:szCs w:val="20"/>
    </w:rPr>
  </w:style>
  <w:style w:type="character" w:styleId="Odkaznavysvtlivky">
    <w:name w:val="endnote reference"/>
    <w:basedOn w:val="Standardnpsmoodstavce"/>
    <w:uiPriority w:val="99"/>
    <w:semiHidden/>
    <w:rsid w:val="00E03A60"/>
    <w:rPr>
      <w:rFonts w:cs="Times New Roman"/>
      <w:vertAlign w:val="superscript"/>
    </w:rPr>
  </w:style>
  <w:style w:type="paragraph" w:styleId="Hlavikaobsahu">
    <w:name w:val="toa heading"/>
    <w:basedOn w:val="Normln"/>
    <w:next w:val="Normln"/>
    <w:uiPriority w:val="99"/>
    <w:semiHidden/>
    <w:rsid w:val="000F0B9A"/>
    <w:pPr>
      <w:spacing w:before="120"/>
    </w:pPr>
    <w:rPr>
      <w:rFonts w:ascii="Cambria" w:eastAsia="Times New Roman" w:hAnsi="Cambria"/>
      <w:b/>
      <w:bCs/>
      <w:szCs w:val="24"/>
    </w:rPr>
  </w:style>
  <w:style w:type="paragraph" w:styleId="Seznamcitac">
    <w:name w:val="table of authorities"/>
    <w:basedOn w:val="Normln"/>
    <w:next w:val="Normln"/>
    <w:uiPriority w:val="99"/>
    <w:semiHidden/>
    <w:rsid w:val="000F0B9A"/>
    <w:pPr>
      <w:ind w:left="240" w:hanging="240"/>
    </w:pPr>
  </w:style>
  <w:style w:type="paragraph" w:customStyle="1" w:styleId="NormalCentered">
    <w:name w:val="Normal Centered"/>
    <w:basedOn w:val="Normln"/>
    <w:uiPriority w:val="99"/>
    <w:rsid w:val="00800B30"/>
    <w:pPr>
      <w:spacing w:before="120" w:after="120" w:line="240" w:lineRule="auto"/>
      <w:jc w:val="center"/>
    </w:pPr>
    <w:rPr>
      <w:rFonts w:eastAsia="Times New Roman"/>
      <w:szCs w:val="24"/>
      <w:lang w:eastAsia="en-GB"/>
    </w:rPr>
  </w:style>
  <w:style w:type="table" w:styleId="Mkatabulky">
    <w:name w:val="Table Grid"/>
    <w:basedOn w:val="Normlntabulka"/>
    <w:uiPriority w:val="99"/>
    <w:rsid w:val="00800B30"/>
    <w:pPr>
      <w:spacing w:after="240"/>
      <w:jc w:val="both"/>
    </w:pPr>
    <w:rPr>
      <w:rFonts w:ascii="Tms Rmn" w:eastAsia="Times New Roman" w:hAnsi="Tms Rm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liminairetype">
    <w:name w:val="Préliminaire type"/>
    <w:basedOn w:val="Normln"/>
    <w:next w:val="Normln"/>
    <w:uiPriority w:val="99"/>
    <w:rsid w:val="00827B68"/>
    <w:pPr>
      <w:spacing w:before="360" w:line="240" w:lineRule="auto"/>
      <w:jc w:val="center"/>
    </w:pPr>
    <w:rPr>
      <w:rFonts w:eastAsia="Times New Roman"/>
      <w:b/>
      <w:szCs w:val="20"/>
      <w:lang w:eastAsia="en-GB"/>
    </w:rPr>
  </w:style>
  <w:style w:type="paragraph" w:customStyle="1" w:styleId="externalclass9015b86d913f4aeeb124c00a12335c81">
    <w:name w:val="externalclass9015b86d913f4aeeb124c00a12335c81"/>
    <w:basedOn w:val="Normln"/>
    <w:uiPriority w:val="99"/>
    <w:rsid w:val="00CF142B"/>
    <w:pPr>
      <w:numPr>
        <w:numId w:val="3"/>
      </w:numPr>
      <w:spacing w:before="100" w:beforeAutospacing="1" w:after="100" w:afterAutospacing="1" w:line="240" w:lineRule="auto"/>
    </w:pPr>
    <w:rPr>
      <w:rFonts w:eastAsia="Arial Unicode MS"/>
      <w:szCs w:val="24"/>
      <w:lang w:eastAsia="cs-CZ"/>
    </w:rPr>
  </w:style>
  <w:style w:type="paragraph" w:customStyle="1" w:styleId="Text1">
    <w:name w:val="Text 1"/>
    <w:basedOn w:val="Normln"/>
    <w:uiPriority w:val="99"/>
    <w:rsid w:val="002B0BD4"/>
    <w:pPr>
      <w:spacing w:before="120" w:after="120" w:line="240" w:lineRule="auto"/>
      <w:ind w:left="850"/>
    </w:pPr>
    <w:rPr>
      <w:rFonts w:eastAsia="Times New Roman"/>
      <w:szCs w:val="20"/>
      <w:lang w:eastAsia="zh-CN"/>
    </w:rPr>
  </w:style>
  <w:style w:type="paragraph" w:customStyle="1" w:styleId="Titulekprce">
    <w:name w:val="Titulek práce"/>
    <w:basedOn w:val="Normln"/>
    <w:next w:val="Normln"/>
    <w:uiPriority w:val="99"/>
    <w:rsid w:val="00335852"/>
    <w:pPr>
      <w:spacing w:line="240" w:lineRule="auto"/>
      <w:jc w:val="center"/>
    </w:pPr>
    <w:rPr>
      <w:spacing w:val="100"/>
      <w:sz w:val="28"/>
      <w:szCs w:val="28"/>
    </w:rPr>
  </w:style>
  <w:style w:type="character" w:customStyle="1" w:styleId="normal">
    <w:name w:val="normal"/>
    <w:basedOn w:val="Standardnpsmoodstavce"/>
    <w:uiPriority w:val="99"/>
    <w:rsid w:val="00D810A8"/>
    <w:rPr>
      <w:rFonts w:cs="Times New Roman"/>
    </w:rPr>
  </w:style>
  <w:style w:type="paragraph" w:styleId="Zkladntext">
    <w:name w:val="Body Text"/>
    <w:basedOn w:val="Normln"/>
    <w:link w:val="ZkladntextChar"/>
    <w:uiPriority w:val="99"/>
    <w:rsid w:val="00B1622F"/>
    <w:rPr>
      <w:rFonts w:eastAsia="Times New Roman"/>
      <w:szCs w:val="24"/>
      <w:lang w:eastAsia="cs-CZ"/>
    </w:rPr>
  </w:style>
  <w:style w:type="character" w:customStyle="1" w:styleId="ZkladntextChar">
    <w:name w:val="Základní text Char"/>
    <w:basedOn w:val="Standardnpsmoodstavce"/>
    <w:link w:val="Zkladntext"/>
    <w:uiPriority w:val="99"/>
    <w:locked/>
    <w:rsid w:val="00B1622F"/>
    <w:rPr>
      <w:rFonts w:ascii="Times New Roman" w:hAnsi="Times New Roman" w:cs="Times New Roman"/>
      <w:sz w:val="24"/>
      <w:szCs w:val="24"/>
      <w:lang w:eastAsia="cs-CZ"/>
    </w:rPr>
  </w:style>
  <w:style w:type="paragraph" w:customStyle="1" w:styleId="Nadpis">
    <w:name w:val="Nadpis"/>
    <w:basedOn w:val="Normln"/>
    <w:next w:val="Normln"/>
    <w:uiPriority w:val="99"/>
    <w:rsid w:val="00870EB2"/>
    <w:pPr>
      <w:spacing w:after="300"/>
      <w:jc w:val="left"/>
    </w:pPr>
    <w:rPr>
      <w:b/>
      <w:sz w:val="28"/>
    </w:rPr>
  </w:style>
  <w:style w:type="paragraph" w:styleId="Obsah4">
    <w:name w:val="toc 4"/>
    <w:basedOn w:val="Normln"/>
    <w:next w:val="Normln"/>
    <w:autoRedefine/>
    <w:uiPriority w:val="99"/>
    <w:rsid w:val="001B5F61"/>
    <w:pPr>
      <w:spacing w:after="100"/>
      <w:ind w:left="720"/>
    </w:pPr>
  </w:style>
  <w:style w:type="paragraph" w:styleId="Rejstk1">
    <w:name w:val="index 1"/>
    <w:basedOn w:val="Normln"/>
    <w:next w:val="Normln"/>
    <w:autoRedefine/>
    <w:uiPriority w:val="99"/>
    <w:semiHidden/>
    <w:rsid w:val="001B5F61"/>
    <w:pPr>
      <w:spacing w:line="240" w:lineRule="auto"/>
      <w:ind w:left="240" w:hanging="240"/>
    </w:pPr>
  </w:style>
  <w:style w:type="paragraph" w:styleId="Seznamobrzk">
    <w:name w:val="table of figures"/>
    <w:aliases w:val="Seznam tabulek"/>
    <w:basedOn w:val="Normln"/>
    <w:next w:val="Normln"/>
    <w:uiPriority w:val="99"/>
    <w:rsid w:val="001B5F61"/>
  </w:style>
  <w:style w:type="character" w:styleId="Odkazjemn">
    <w:name w:val="Subtle Reference"/>
    <w:basedOn w:val="Standardnpsmoodstavce"/>
    <w:uiPriority w:val="99"/>
    <w:qFormat/>
    <w:rsid w:val="00964FA0"/>
    <w:rPr>
      <w:rFonts w:cs="Times New Roman"/>
      <w:sz w:val="18"/>
    </w:rPr>
  </w:style>
  <w:style w:type="paragraph" w:styleId="Citaceintenzivn">
    <w:name w:val="Intense Quote"/>
    <w:basedOn w:val="Normln"/>
    <w:next w:val="Normln"/>
    <w:link w:val="CitaceintenzivnChar"/>
    <w:uiPriority w:val="99"/>
    <w:qFormat/>
    <w:rsid w:val="00A518B7"/>
    <w:pPr>
      <w:pBdr>
        <w:bottom w:val="single" w:sz="4" w:space="4" w:color="4F81BD"/>
      </w:pBdr>
      <w:spacing w:before="80" w:after="160"/>
      <w:ind w:left="936" w:right="936"/>
      <w:jc w:val="left"/>
    </w:pPr>
    <w:rPr>
      <w:bCs/>
      <w:iCs/>
      <w:sz w:val="18"/>
    </w:rPr>
  </w:style>
  <w:style w:type="character" w:customStyle="1" w:styleId="CitaceintenzivnChar">
    <w:name w:val="Citace – intenzivní Char"/>
    <w:basedOn w:val="Standardnpsmoodstavce"/>
    <w:link w:val="Citaceintenzivn"/>
    <w:uiPriority w:val="99"/>
    <w:locked/>
    <w:rsid w:val="00A518B7"/>
    <w:rPr>
      <w:rFonts w:ascii="Times New Roman" w:hAnsi="Times New Roman" w:cs="Times New Roman"/>
      <w:bCs/>
      <w:iCs/>
      <w:sz w:val="18"/>
    </w:rPr>
  </w:style>
  <w:style w:type="paragraph" w:styleId="Rejstk7">
    <w:name w:val="index 7"/>
    <w:basedOn w:val="Normln"/>
    <w:next w:val="Normln"/>
    <w:autoRedefine/>
    <w:uiPriority w:val="99"/>
    <w:semiHidden/>
    <w:rsid w:val="000B1D07"/>
    <w:pPr>
      <w:spacing w:line="240" w:lineRule="auto"/>
      <w:ind w:left="1680" w:hanging="240"/>
    </w:pPr>
  </w:style>
  <w:style w:type="paragraph" w:styleId="Obsah9">
    <w:name w:val="toc 9"/>
    <w:basedOn w:val="Normln"/>
    <w:next w:val="Normln"/>
    <w:autoRedefine/>
    <w:uiPriority w:val="99"/>
    <w:semiHidden/>
    <w:rsid w:val="00CC1307"/>
    <w:pPr>
      <w:spacing w:after="100"/>
      <w:ind w:left="1920"/>
    </w:pPr>
  </w:style>
  <w:style w:type="paragraph" w:styleId="Podtitul">
    <w:name w:val="Subtitle"/>
    <w:basedOn w:val="Normln"/>
    <w:next w:val="Normln"/>
    <w:link w:val="PodtitulChar"/>
    <w:uiPriority w:val="99"/>
    <w:qFormat/>
    <w:rsid w:val="00363E51"/>
    <w:pPr>
      <w:numPr>
        <w:ilvl w:val="1"/>
      </w:numPr>
      <w:spacing w:line="240" w:lineRule="auto"/>
    </w:pPr>
    <w:rPr>
      <w:rFonts w:eastAsia="Times New Roman"/>
      <w:iCs/>
      <w:spacing w:val="15"/>
      <w:sz w:val="20"/>
      <w:szCs w:val="24"/>
    </w:rPr>
  </w:style>
  <w:style w:type="character" w:customStyle="1" w:styleId="PodtitulChar">
    <w:name w:val="Podtitul Char"/>
    <w:basedOn w:val="Standardnpsmoodstavce"/>
    <w:link w:val="Podtitul"/>
    <w:uiPriority w:val="99"/>
    <w:locked/>
    <w:rsid w:val="00363E51"/>
    <w:rPr>
      <w:rFonts w:ascii="Times New Roman" w:hAnsi="Times New Roman" w:cs="Times New Roman"/>
      <w:iCs/>
      <w:spacing w:val="15"/>
      <w:sz w:val="24"/>
      <w:szCs w:val="24"/>
    </w:rPr>
  </w:style>
  <w:style w:type="character" w:styleId="Zdraznnintenzivn">
    <w:name w:val="Intense Emphasis"/>
    <w:basedOn w:val="Standardnpsmoodstavce"/>
    <w:uiPriority w:val="99"/>
    <w:qFormat/>
    <w:rsid w:val="000C03C4"/>
    <w:rPr>
      <w:rFonts w:cs="Times New Roman"/>
      <w:b/>
      <w:bCs/>
      <w:i/>
      <w:iCs/>
      <w:color w:val="4F81BD"/>
    </w:rPr>
  </w:style>
  <w:style w:type="character" w:styleId="Odkaznakoment">
    <w:name w:val="annotation reference"/>
    <w:basedOn w:val="Standardnpsmoodstavce"/>
    <w:uiPriority w:val="99"/>
    <w:semiHidden/>
    <w:rsid w:val="00A80382"/>
    <w:rPr>
      <w:rFonts w:cs="Times New Roman"/>
      <w:sz w:val="16"/>
      <w:szCs w:val="16"/>
    </w:rPr>
  </w:style>
  <w:style w:type="paragraph" w:styleId="Textkomente">
    <w:name w:val="annotation text"/>
    <w:basedOn w:val="Normln"/>
    <w:link w:val="TextkomenteChar"/>
    <w:uiPriority w:val="99"/>
    <w:semiHidden/>
    <w:rsid w:val="00A80382"/>
    <w:pPr>
      <w:spacing w:line="240" w:lineRule="auto"/>
    </w:pPr>
    <w:rPr>
      <w:sz w:val="20"/>
      <w:szCs w:val="20"/>
    </w:rPr>
  </w:style>
  <w:style w:type="character" w:customStyle="1" w:styleId="TextkomenteChar">
    <w:name w:val="Text komentáře Char"/>
    <w:basedOn w:val="Standardnpsmoodstavce"/>
    <w:link w:val="Textkomente"/>
    <w:uiPriority w:val="99"/>
    <w:semiHidden/>
    <w:locked/>
    <w:rsid w:val="00A80382"/>
    <w:rPr>
      <w:rFonts w:ascii="Times New Roman" w:hAnsi="Times New Roman" w:cs="Times New Roman"/>
      <w:sz w:val="20"/>
      <w:szCs w:val="20"/>
    </w:rPr>
  </w:style>
  <w:style w:type="paragraph" w:styleId="Rozvrendokumentu">
    <w:name w:val="Document Map"/>
    <w:basedOn w:val="Normln"/>
    <w:link w:val="RozvrendokumentuChar"/>
    <w:uiPriority w:val="99"/>
    <w:semiHidden/>
    <w:rsid w:val="00CD174F"/>
    <w:pPr>
      <w:spacing w:line="240" w:lineRule="auto"/>
    </w:pPr>
    <w:rPr>
      <w:rFonts w:ascii="Tahoma" w:hAnsi="Tahoma" w:cs="Tahoma"/>
      <w:sz w:val="16"/>
      <w:szCs w:val="16"/>
    </w:rPr>
  </w:style>
  <w:style w:type="character" w:customStyle="1" w:styleId="RozvrendokumentuChar">
    <w:name w:val="Rozvržení dokumentu Char"/>
    <w:basedOn w:val="Standardnpsmoodstavce"/>
    <w:link w:val="Rozvrendokumentu"/>
    <w:uiPriority w:val="99"/>
    <w:semiHidden/>
    <w:locked/>
    <w:rsid w:val="00CD174F"/>
    <w:rPr>
      <w:rFonts w:ascii="Tahoma" w:hAnsi="Tahoma" w:cs="Tahoma"/>
      <w:sz w:val="16"/>
      <w:szCs w:val="16"/>
    </w:rPr>
  </w:style>
  <w:style w:type="paragraph" w:styleId="Revize">
    <w:name w:val="Revision"/>
    <w:hidden/>
    <w:uiPriority w:val="99"/>
    <w:semiHidden/>
    <w:rsid w:val="00BF1E38"/>
    <w:rPr>
      <w:rFonts w:ascii="Times New Roman" w:hAnsi="Times New Roman"/>
      <w:sz w:val="24"/>
      <w:lang w:eastAsia="en-US"/>
    </w:rPr>
  </w:style>
  <w:style w:type="paragraph" w:styleId="Pedmtkomente">
    <w:name w:val="annotation subject"/>
    <w:basedOn w:val="Textkomente"/>
    <w:next w:val="Textkomente"/>
    <w:link w:val="PedmtkomenteChar"/>
    <w:uiPriority w:val="99"/>
    <w:semiHidden/>
    <w:rsid w:val="00BF1E38"/>
    <w:rPr>
      <w:b/>
      <w:bCs/>
    </w:rPr>
  </w:style>
  <w:style w:type="character" w:customStyle="1" w:styleId="PedmtkomenteChar">
    <w:name w:val="Předmět komentáře Char"/>
    <w:basedOn w:val="TextkomenteChar"/>
    <w:link w:val="Pedmtkomente"/>
    <w:uiPriority w:val="99"/>
    <w:semiHidden/>
    <w:locked/>
    <w:rsid w:val="00BF1E38"/>
    <w:rPr>
      <w:b/>
      <w:bCs/>
    </w:rPr>
  </w:style>
</w:styles>
</file>

<file path=word/webSettings.xml><?xml version="1.0" encoding="utf-8"?>
<w:webSettings xmlns:r="http://schemas.openxmlformats.org/officeDocument/2006/relationships" xmlns:w="http://schemas.openxmlformats.org/wordprocessingml/2006/main">
  <w:divs>
    <w:div w:id="1569413132">
      <w:marLeft w:val="0"/>
      <w:marRight w:val="0"/>
      <w:marTop w:val="0"/>
      <w:marBottom w:val="0"/>
      <w:divBdr>
        <w:top w:val="none" w:sz="0" w:space="0" w:color="auto"/>
        <w:left w:val="none" w:sz="0" w:space="0" w:color="auto"/>
        <w:bottom w:val="none" w:sz="0" w:space="0" w:color="auto"/>
        <w:right w:val="none" w:sz="0" w:space="0" w:color="auto"/>
      </w:divBdr>
    </w:div>
    <w:div w:id="1569413135">
      <w:marLeft w:val="0"/>
      <w:marRight w:val="0"/>
      <w:marTop w:val="0"/>
      <w:marBottom w:val="0"/>
      <w:divBdr>
        <w:top w:val="none" w:sz="0" w:space="0" w:color="auto"/>
        <w:left w:val="none" w:sz="0" w:space="0" w:color="auto"/>
        <w:bottom w:val="none" w:sz="0" w:space="0" w:color="auto"/>
        <w:right w:val="none" w:sz="0" w:space="0" w:color="auto"/>
      </w:divBdr>
      <w:divsChild>
        <w:div w:id="1569413134">
          <w:marLeft w:val="0"/>
          <w:marRight w:val="0"/>
          <w:marTop w:val="0"/>
          <w:marBottom w:val="0"/>
          <w:divBdr>
            <w:top w:val="none" w:sz="0" w:space="0" w:color="auto"/>
            <w:left w:val="none" w:sz="0" w:space="0" w:color="auto"/>
            <w:bottom w:val="none" w:sz="0" w:space="0" w:color="auto"/>
            <w:right w:val="none" w:sz="0" w:space="0" w:color="auto"/>
          </w:divBdr>
        </w:div>
        <w:div w:id="1569413142">
          <w:marLeft w:val="0"/>
          <w:marRight w:val="0"/>
          <w:marTop w:val="0"/>
          <w:marBottom w:val="0"/>
          <w:divBdr>
            <w:top w:val="none" w:sz="0" w:space="0" w:color="auto"/>
            <w:left w:val="none" w:sz="0" w:space="0" w:color="auto"/>
            <w:bottom w:val="none" w:sz="0" w:space="0" w:color="auto"/>
            <w:right w:val="none" w:sz="0" w:space="0" w:color="auto"/>
          </w:divBdr>
        </w:div>
        <w:div w:id="1569413164">
          <w:marLeft w:val="0"/>
          <w:marRight w:val="0"/>
          <w:marTop w:val="0"/>
          <w:marBottom w:val="0"/>
          <w:divBdr>
            <w:top w:val="none" w:sz="0" w:space="0" w:color="auto"/>
            <w:left w:val="none" w:sz="0" w:space="0" w:color="auto"/>
            <w:bottom w:val="none" w:sz="0" w:space="0" w:color="auto"/>
            <w:right w:val="none" w:sz="0" w:space="0" w:color="auto"/>
          </w:divBdr>
        </w:div>
        <w:div w:id="1569413170">
          <w:marLeft w:val="0"/>
          <w:marRight w:val="0"/>
          <w:marTop w:val="0"/>
          <w:marBottom w:val="0"/>
          <w:divBdr>
            <w:top w:val="none" w:sz="0" w:space="0" w:color="auto"/>
            <w:left w:val="none" w:sz="0" w:space="0" w:color="auto"/>
            <w:bottom w:val="none" w:sz="0" w:space="0" w:color="auto"/>
            <w:right w:val="none" w:sz="0" w:space="0" w:color="auto"/>
          </w:divBdr>
        </w:div>
      </w:divsChild>
    </w:div>
    <w:div w:id="1569413137">
      <w:marLeft w:val="0"/>
      <w:marRight w:val="0"/>
      <w:marTop w:val="0"/>
      <w:marBottom w:val="0"/>
      <w:divBdr>
        <w:top w:val="none" w:sz="0" w:space="0" w:color="auto"/>
        <w:left w:val="none" w:sz="0" w:space="0" w:color="auto"/>
        <w:bottom w:val="none" w:sz="0" w:space="0" w:color="auto"/>
        <w:right w:val="none" w:sz="0" w:space="0" w:color="auto"/>
      </w:divBdr>
    </w:div>
    <w:div w:id="1569413138">
      <w:marLeft w:val="0"/>
      <w:marRight w:val="0"/>
      <w:marTop w:val="0"/>
      <w:marBottom w:val="0"/>
      <w:divBdr>
        <w:top w:val="none" w:sz="0" w:space="0" w:color="auto"/>
        <w:left w:val="none" w:sz="0" w:space="0" w:color="auto"/>
        <w:bottom w:val="none" w:sz="0" w:space="0" w:color="auto"/>
        <w:right w:val="none" w:sz="0" w:space="0" w:color="auto"/>
      </w:divBdr>
      <w:divsChild>
        <w:div w:id="1569413155">
          <w:marLeft w:val="0"/>
          <w:marRight w:val="0"/>
          <w:marTop w:val="0"/>
          <w:marBottom w:val="0"/>
          <w:divBdr>
            <w:top w:val="none" w:sz="0" w:space="0" w:color="auto"/>
            <w:left w:val="none" w:sz="0" w:space="0" w:color="auto"/>
            <w:bottom w:val="none" w:sz="0" w:space="0" w:color="auto"/>
            <w:right w:val="none" w:sz="0" w:space="0" w:color="auto"/>
          </w:divBdr>
        </w:div>
        <w:div w:id="1569413159">
          <w:marLeft w:val="0"/>
          <w:marRight w:val="0"/>
          <w:marTop w:val="0"/>
          <w:marBottom w:val="0"/>
          <w:divBdr>
            <w:top w:val="none" w:sz="0" w:space="0" w:color="auto"/>
            <w:left w:val="none" w:sz="0" w:space="0" w:color="auto"/>
            <w:bottom w:val="none" w:sz="0" w:space="0" w:color="auto"/>
            <w:right w:val="none" w:sz="0" w:space="0" w:color="auto"/>
          </w:divBdr>
        </w:div>
        <w:div w:id="1569413209">
          <w:marLeft w:val="0"/>
          <w:marRight w:val="0"/>
          <w:marTop w:val="0"/>
          <w:marBottom w:val="0"/>
          <w:divBdr>
            <w:top w:val="none" w:sz="0" w:space="0" w:color="auto"/>
            <w:left w:val="none" w:sz="0" w:space="0" w:color="auto"/>
            <w:bottom w:val="none" w:sz="0" w:space="0" w:color="auto"/>
            <w:right w:val="none" w:sz="0" w:space="0" w:color="auto"/>
          </w:divBdr>
        </w:div>
      </w:divsChild>
    </w:div>
    <w:div w:id="1569413140">
      <w:marLeft w:val="0"/>
      <w:marRight w:val="0"/>
      <w:marTop w:val="0"/>
      <w:marBottom w:val="0"/>
      <w:divBdr>
        <w:top w:val="none" w:sz="0" w:space="0" w:color="auto"/>
        <w:left w:val="none" w:sz="0" w:space="0" w:color="auto"/>
        <w:bottom w:val="none" w:sz="0" w:space="0" w:color="auto"/>
        <w:right w:val="none" w:sz="0" w:space="0" w:color="auto"/>
      </w:divBdr>
    </w:div>
    <w:div w:id="1569413143">
      <w:marLeft w:val="0"/>
      <w:marRight w:val="0"/>
      <w:marTop w:val="0"/>
      <w:marBottom w:val="0"/>
      <w:divBdr>
        <w:top w:val="none" w:sz="0" w:space="0" w:color="auto"/>
        <w:left w:val="none" w:sz="0" w:space="0" w:color="auto"/>
        <w:bottom w:val="none" w:sz="0" w:space="0" w:color="auto"/>
        <w:right w:val="none" w:sz="0" w:space="0" w:color="auto"/>
      </w:divBdr>
    </w:div>
    <w:div w:id="1569413147">
      <w:marLeft w:val="0"/>
      <w:marRight w:val="0"/>
      <w:marTop w:val="0"/>
      <w:marBottom w:val="0"/>
      <w:divBdr>
        <w:top w:val="none" w:sz="0" w:space="0" w:color="auto"/>
        <w:left w:val="none" w:sz="0" w:space="0" w:color="auto"/>
        <w:bottom w:val="none" w:sz="0" w:space="0" w:color="auto"/>
        <w:right w:val="none" w:sz="0" w:space="0" w:color="auto"/>
      </w:divBdr>
    </w:div>
    <w:div w:id="1569413150">
      <w:marLeft w:val="0"/>
      <w:marRight w:val="0"/>
      <w:marTop w:val="0"/>
      <w:marBottom w:val="0"/>
      <w:divBdr>
        <w:top w:val="none" w:sz="0" w:space="0" w:color="auto"/>
        <w:left w:val="none" w:sz="0" w:space="0" w:color="auto"/>
        <w:bottom w:val="none" w:sz="0" w:space="0" w:color="auto"/>
        <w:right w:val="none" w:sz="0" w:space="0" w:color="auto"/>
      </w:divBdr>
    </w:div>
    <w:div w:id="1569413153">
      <w:marLeft w:val="0"/>
      <w:marRight w:val="0"/>
      <w:marTop w:val="0"/>
      <w:marBottom w:val="0"/>
      <w:divBdr>
        <w:top w:val="none" w:sz="0" w:space="0" w:color="auto"/>
        <w:left w:val="none" w:sz="0" w:space="0" w:color="auto"/>
        <w:bottom w:val="none" w:sz="0" w:space="0" w:color="auto"/>
        <w:right w:val="none" w:sz="0" w:space="0" w:color="auto"/>
      </w:divBdr>
    </w:div>
    <w:div w:id="1569413154">
      <w:marLeft w:val="0"/>
      <w:marRight w:val="0"/>
      <w:marTop w:val="0"/>
      <w:marBottom w:val="0"/>
      <w:divBdr>
        <w:top w:val="none" w:sz="0" w:space="0" w:color="auto"/>
        <w:left w:val="none" w:sz="0" w:space="0" w:color="auto"/>
        <w:bottom w:val="none" w:sz="0" w:space="0" w:color="auto"/>
        <w:right w:val="none" w:sz="0" w:space="0" w:color="auto"/>
      </w:divBdr>
      <w:divsChild>
        <w:div w:id="1569413151">
          <w:marLeft w:val="0"/>
          <w:marRight w:val="0"/>
          <w:marTop w:val="0"/>
          <w:marBottom w:val="0"/>
          <w:divBdr>
            <w:top w:val="none" w:sz="0" w:space="0" w:color="auto"/>
            <w:left w:val="none" w:sz="0" w:space="0" w:color="auto"/>
            <w:bottom w:val="none" w:sz="0" w:space="0" w:color="auto"/>
            <w:right w:val="none" w:sz="0" w:space="0" w:color="auto"/>
          </w:divBdr>
        </w:div>
        <w:div w:id="1569413163">
          <w:marLeft w:val="0"/>
          <w:marRight w:val="0"/>
          <w:marTop w:val="0"/>
          <w:marBottom w:val="0"/>
          <w:divBdr>
            <w:top w:val="none" w:sz="0" w:space="0" w:color="auto"/>
            <w:left w:val="none" w:sz="0" w:space="0" w:color="auto"/>
            <w:bottom w:val="none" w:sz="0" w:space="0" w:color="auto"/>
            <w:right w:val="none" w:sz="0" w:space="0" w:color="auto"/>
          </w:divBdr>
        </w:div>
      </w:divsChild>
    </w:div>
    <w:div w:id="1569413156">
      <w:marLeft w:val="0"/>
      <w:marRight w:val="0"/>
      <w:marTop w:val="0"/>
      <w:marBottom w:val="0"/>
      <w:divBdr>
        <w:top w:val="none" w:sz="0" w:space="0" w:color="auto"/>
        <w:left w:val="none" w:sz="0" w:space="0" w:color="auto"/>
        <w:bottom w:val="none" w:sz="0" w:space="0" w:color="auto"/>
        <w:right w:val="none" w:sz="0" w:space="0" w:color="auto"/>
      </w:divBdr>
      <w:divsChild>
        <w:div w:id="1569413139">
          <w:marLeft w:val="0"/>
          <w:marRight w:val="0"/>
          <w:marTop w:val="0"/>
          <w:marBottom w:val="0"/>
          <w:divBdr>
            <w:top w:val="none" w:sz="0" w:space="0" w:color="auto"/>
            <w:left w:val="none" w:sz="0" w:space="0" w:color="auto"/>
            <w:bottom w:val="none" w:sz="0" w:space="0" w:color="auto"/>
            <w:right w:val="none" w:sz="0" w:space="0" w:color="auto"/>
          </w:divBdr>
        </w:div>
        <w:div w:id="1569413183">
          <w:marLeft w:val="0"/>
          <w:marRight w:val="0"/>
          <w:marTop w:val="0"/>
          <w:marBottom w:val="0"/>
          <w:divBdr>
            <w:top w:val="none" w:sz="0" w:space="0" w:color="auto"/>
            <w:left w:val="none" w:sz="0" w:space="0" w:color="auto"/>
            <w:bottom w:val="none" w:sz="0" w:space="0" w:color="auto"/>
            <w:right w:val="none" w:sz="0" w:space="0" w:color="auto"/>
          </w:divBdr>
        </w:div>
        <w:div w:id="1569413190">
          <w:marLeft w:val="0"/>
          <w:marRight w:val="0"/>
          <w:marTop w:val="0"/>
          <w:marBottom w:val="0"/>
          <w:divBdr>
            <w:top w:val="none" w:sz="0" w:space="0" w:color="auto"/>
            <w:left w:val="none" w:sz="0" w:space="0" w:color="auto"/>
            <w:bottom w:val="none" w:sz="0" w:space="0" w:color="auto"/>
            <w:right w:val="none" w:sz="0" w:space="0" w:color="auto"/>
          </w:divBdr>
        </w:div>
        <w:div w:id="1569413207">
          <w:marLeft w:val="0"/>
          <w:marRight w:val="0"/>
          <w:marTop w:val="0"/>
          <w:marBottom w:val="0"/>
          <w:divBdr>
            <w:top w:val="none" w:sz="0" w:space="0" w:color="auto"/>
            <w:left w:val="none" w:sz="0" w:space="0" w:color="auto"/>
            <w:bottom w:val="none" w:sz="0" w:space="0" w:color="auto"/>
            <w:right w:val="none" w:sz="0" w:space="0" w:color="auto"/>
          </w:divBdr>
        </w:div>
      </w:divsChild>
    </w:div>
    <w:div w:id="1569413157">
      <w:marLeft w:val="0"/>
      <w:marRight w:val="0"/>
      <w:marTop w:val="0"/>
      <w:marBottom w:val="0"/>
      <w:divBdr>
        <w:top w:val="none" w:sz="0" w:space="0" w:color="auto"/>
        <w:left w:val="none" w:sz="0" w:space="0" w:color="auto"/>
        <w:bottom w:val="none" w:sz="0" w:space="0" w:color="auto"/>
        <w:right w:val="none" w:sz="0" w:space="0" w:color="auto"/>
      </w:divBdr>
      <w:divsChild>
        <w:div w:id="1569413144">
          <w:marLeft w:val="0"/>
          <w:marRight w:val="0"/>
          <w:marTop w:val="0"/>
          <w:marBottom w:val="0"/>
          <w:divBdr>
            <w:top w:val="none" w:sz="0" w:space="0" w:color="auto"/>
            <w:left w:val="none" w:sz="0" w:space="0" w:color="auto"/>
            <w:bottom w:val="none" w:sz="0" w:space="0" w:color="auto"/>
            <w:right w:val="none" w:sz="0" w:space="0" w:color="auto"/>
          </w:divBdr>
          <w:divsChild>
            <w:div w:id="1569413208">
              <w:marLeft w:val="0"/>
              <w:marRight w:val="0"/>
              <w:marTop w:val="0"/>
              <w:marBottom w:val="0"/>
              <w:divBdr>
                <w:top w:val="none" w:sz="0" w:space="0" w:color="auto"/>
                <w:left w:val="none" w:sz="0" w:space="0" w:color="auto"/>
                <w:bottom w:val="none" w:sz="0" w:space="0" w:color="auto"/>
                <w:right w:val="none" w:sz="0" w:space="0" w:color="auto"/>
              </w:divBdr>
            </w:div>
          </w:divsChild>
        </w:div>
        <w:div w:id="1569413152">
          <w:marLeft w:val="0"/>
          <w:marRight w:val="0"/>
          <w:marTop w:val="0"/>
          <w:marBottom w:val="0"/>
          <w:divBdr>
            <w:top w:val="none" w:sz="0" w:space="0" w:color="auto"/>
            <w:left w:val="none" w:sz="0" w:space="0" w:color="auto"/>
            <w:bottom w:val="none" w:sz="0" w:space="0" w:color="auto"/>
            <w:right w:val="none" w:sz="0" w:space="0" w:color="auto"/>
          </w:divBdr>
          <w:divsChild>
            <w:div w:id="1569413133">
              <w:marLeft w:val="0"/>
              <w:marRight w:val="0"/>
              <w:marTop w:val="0"/>
              <w:marBottom w:val="0"/>
              <w:divBdr>
                <w:top w:val="none" w:sz="0" w:space="0" w:color="auto"/>
                <w:left w:val="none" w:sz="0" w:space="0" w:color="auto"/>
                <w:bottom w:val="none" w:sz="0" w:space="0" w:color="auto"/>
                <w:right w:val="none" w:sz="0" w:space="0" w:color="auto"/>
              </w:divBdr>
              <w:divsChild>
                <w:div w:id="1569413178">
                  <w:marLeft w:val="0"/>
                  <w:marRight w:val="0"/>
                  <w:marTop w:val="0"/>
                  <w:marBottom w:val="0"/>
                  <w:divBdr>
                    <w:top w:val="none" w:sz="0" w:space="0" w:color="auto"/>
                    <w:left w:val="none" w:sz="0" w:space="0" w:color="auto"/>
                    <w:bottom w:val="none" w:sz="0" w:space="0" w:color="auto"/>
                    <w:right w:val="none" w:sz="0" w:space="0" w:color="auto"/>
                  </w:divBdr>
                </w:div>
                <w:div w:id="1569413179">
                  <w:marLeft w:val="0"/>
                  <w:marRight w:val="0"/>
                  <w:marTop w:val="0"/>
                  <w:marBottom w:val="0"/>
                  <w:divBdr>
                    <w:top w:val="none" w:sz="0" w:space="0" w:color="auto"/>
                    <w:left w:val="none" w:sz="0" w:space="0" w:color="auto"/>
                    <w:bottom w:val="none" w:sz="0" w:space="0" w:color="auto"/>
                    <w:right w:val="none" w:sz="0" w:space="0" w:color="auto"/>
                  </w:divBdr>
                </w:div>
                <w:div w:id="1569413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413160">
      <w:marLeft w:val="0"/>
      <w:marRight w:val="0"/>
      <w:marTop w:val="0"/>
      <w:marBottom w:val="0"/>
      <w:divBdr>
        <w:top w:val="none" w:sz="0" w:space="0" w:color="auto"/>
        <w:left w:val="none" w:sz="0" w:space="0" w:color="auto"/>
        <w:bottom w:val="none" w:sz="0" w:space="0" w:color="auto"/>
        <w:right w:val="none" w:sz="0" w:space="0" w:color="auto"/>
      </w:divBdr>
    </w:div>
    <w:div w:id="1569413161">
      <w:marLeft w:val="0"/>
      <w:marRight w:val="0"/>
      <w:marTop w:val="0"/>
      <w:marBottom w:val="0"/>
      <w:divBdr>
        <w:top w:val="none" w:sz="0" w:space="0" w:color="auto"/>
        <w:left w:val="none" w:sz="0" w:space="0" w:color="auto"/>
        <w:bottom w:val="none" w:sz="0" w:space="0" w:color="auto"/>
        <w:right w:val="none" w:sz="0" w:space="0" w:color="auto"/>
      </w:divBdr>
    </w:div>
    <w:div w:id="1569413165">
      <w:marLeft w:val="0"/>
      <w:marRight w:val="0"/>
      <w:marTop w:val="0"/>
      <w:marBottom w:val="0"/>
      <w:divBdr>
        <w:top w:val="none" w:sz="0" w:space="0" w:color="auto"/>
        <w:left w:val="none" w:sz="0" w:space="0" w:color="auto"/>
        <w:bottom w:val="none" w:sz="0" w:space="0" w:color="auto"/>
        <w:right w:val="none" w:sz="0" w:space="0" w:color="auto"/>
      </w:divBdr>
      <w:divsChild>
        <w:div w:id="1569413212">
          <w:marLeft w:val="150"/>
          <w:marRight w:val="150"/>
          <w:marTop w:val="150"/>
          <w:marBottom w:val="0"/>
          <w:divBdr>
            <w:top w:val="none" w:sz="0" w:space="0" w:color="auto"/>
            <w:left w:val="none" w:sz="0" w:space="0" w:color="auto"/>
            <w:bottom w:val="none" w:sz="0" w:space="0" w:color="auto"/>
            <w:right w:val="none" w:sz="0" w:space="0" w:color="auto"/>
          </w:divBdr>
          <w:divsChild>
            <w:div w:id="1569413146">
              <w:marLeft w:val="0"/>
              <w:marRight w:val="0"/>
              <w:marTop w:val="0"/>
              <w:marBottom w:val="0"/>
              <w:divBdr>
                <w:top w:val="none" w:sz="0" w:space="0" w:color="auto"/>
                <w:left w:val="none" w:sz="0" w:space="0" w:color="auto"/>
                <w:bottom w:val="none" w:sz="0" w:space="0" w:color="auto"/>
                <w:right w:val="none" w:sz="0" w:space="0" w:color="auto"/>
              </w:divBdr>
            </w:div>
          </w:divsChild>
        </w:div>
        <w:div w:id="1569413217">
          <w:marLeft w:val="150"/>
          <w:marRight w:val="150"/>
          <w:marTop w:val="150"/>
          <w:marBottom w:val="150"/>
          <w:divBdr>
            <w:top w:val="none" w:sz="0" w:space="0" w:color="auto"/>
            <w:left w:val="none" w:sz="0" w:space="0" w:color="auto"/>
            <w:bottom w:val="none" w:sz="0" w:space="0" w:color="auto"/>
            <w:right w:val="none" w:sz="0" w:space="0" w:color="auto"/>
          </w:divBdr>
        </w:div>
      </w:divsChild>
    </w:div>
    <w:div w:id="1569413166">
      <w:marLeft w:val="0"/>
      <w:marRight w:val="0"/>
      <w:marTop w:val="0"/>
      <w:marBottom w:val="0"/>
      <w:divBdr>
        <w:top w:val="none" w:sz="0" w:space="0" w:color="auto"/>
        <w:left w:val="none" w:sz="0" w:space="0" w:color="auto"/>
        <w:bottom w:val="none" w:sz="0" w:space="0" w:color="auto"/>
        <w:right w:val="none" w:sz="0" w:space="0" w:color="auto"/>
      </w:divBdr>
    </w:div>
    <w:div w:id="1569413167">
      <w:marLeft w:val="0"/>
      <w:marRight w:val="0"/>
      <w:marTop w:val="0"/>
      <w:marBottom w:val="0"/>
      <w:divBdr>
        <w:top w:val="none" w:sz="0" w:space="0" w:color="auto"/>
        <w:left w:val="none" w:sz="0" w:space="0" w:color="auto"/>
        <w:bottom w:val="none" w:sz="0" w:space="0" w:color="auto"/>
        <w:right w:val="none" w:sz="0" w:space="0" w:color="auto"/>
      </w:divBdr>
    </w:div>
    <w:div w:id="1569413168">
      <w:marLeft w:val="0"/>
      <w:marRight w:val="0"/>
      <w:marTop w:val="0"/>
      <w:marBottom w:val="0"/>
      <w:divBdr>
        <w:top w:val="none" w:sz="0" w:space="0" w:color="auto"/>
        <w:left w:val="none" w:sz="0" w:space="0" w:color="auto"/>
        <w:bottom w:val="none" w:sz="0" w:space="0" w:color="auto"/>
        <w:right w:val="none" w:sz="0" w:space="0" w:color="auto"/>
      </w:divBdr>
    </w:div>
    <w:div w:id="1569413169">
      <w:marLeft w:val="0"/>
      <w:marRight w:val="0"/>
      <w:marTop w:val="0"/>
      <w:marBottom w:val="0"/>
      <w:divBdr>
        <w:top w:val="none" w:sz="0" w:space="0" w:color="auto"/>
        <w:left w:val="none" w:sz="0" w:space="0" w:color="auto"/>
        <w:bottom w:val="none" w:sz="0" w:space="0" w:color="auto"/>
        <w:right w:val="none" w:sz="0" w:space="0" w:color="auto"/>
      </w:divBdr>
    </w:div>
    <w:div w:id="1569413171">
      <w:marLeft w:val="0"/>
      <w:marRight w:val="0"/>
      <w:marTop w:val="0"/>
      <w:marBottom w:val="0"/>
      <w:divBdr>
        <w:top w:val="none" w:sz="0" w:space="0" w:color="auto"/>
        <w:left w:val="none" w:sz="0" w:space="0" w:color="auto"/>
        <w:bottom w:val="none" w:sz="0" w:space="0" w:color="auto"/>
        <w:right w:val="none" w:sz="0" w:space="0" w:color="auto"/>
      </w:divBdr>
    </w:div>
    <w:div w:id="1569413172">
      <w:marLeft w:val="0"/>
      <w:marRight w:val="0"/>
      <w:marTop w:val="0"/>
      <w:marBottom w:val="0"/>
      <w:divBdr>
        <w:top w:val="none" w:sz="0" w:space="0" w:color="auto"/>
        <w:left w:val="none" w:sz="0" w:space="0" w:color="auto"/>
        <w:bottom w:val="none" w:sz="0" w:space="0" w:color="auto"/>
        <w:right w:val="none" w:sz="0" w:space="0" w:color="auto"/>
      </w:divBdr>
      <w:divsChild>
        <w:div w:id="1569413149">
          <w:marLeft w:val="150"/>
          <w:marRight w:val="150"/>
          <w:marTop w:val="150"/>
          <w:marBottom w:val="150"/>
          <w:divBdr>
            <w:top w:val="none" w:sz="0" w:space="0" w:color="auto"/>
            <w:left w:val="none" w:sz="0" w:space="0" w:color="auto"/>
            <w:bottom w:val="none" w:sz="0" w:space="0" w:color="auto"/>
            <w:right w:val="none" w:sz="0" w:space="0" w:color="auto"/>
          </w:divBdr>
        </w:div>
        <w:div w:id="1569413182">
          <w:marLeft w:val="150"/>
          <w:marRight w:val="150"/>
          <w:marTop w:val="150"/>
          <w:marBottom w:val="0"/>
          <w:divBdr>
            <w:top w:val="none" w:sz="0" w:space="0" w:color="auto"/>
            <w:left w:val="none" w:sz="0" w:space="0" w:color="auto"/>
            <w:bottom w:val="none" w:sz="0" w:space="0" w:color="auto"/>
            <w:right w:val="none" w:sz="0" w:space="0" w:color="auto"/>
          </w:divBdr>
          <w:divsChild>
            <w:div w:id="1569413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413173">
      <w:marLeft w:val="0"/>
      <w:marRight w:val="0"/>
      <w:marTop w:val="0"/>
      <w:marBottom w:val="0"/>
      <w:divBdr>
        <w:top w:val="none" w:sz="0" w:space="0" w:color="auto"/>
        <w:left w:val="none" w:sz="0" w:space="0" w:color="auto"/>
        <w:bottom w:val="none" w:sz="0" w:space="0" w:color="auto"/>
        <w:right w:val="none" w:sz="0" w:space="0" w:color="auto"/>
      </w:divBdr>
    </w:div>
    <w:div w:id="1569413175">
      <w:marLeft w:val="0"/>
      <w:marRight w:val="0"/>
      <w:marTop w:val="0"/>
      <w:marBottom w:val="0"/>
      <w:divBdr>
        <w:top w:val="none" w:sz="0" w:space="0" w:color="auto"/>
        <w:left w:val="none" w:sz="0" w:space="0" w:color="auto"/>
        <w:bottom w:val="none" w:sz="0" w:space="0" w:color="auto"/>
        <w:right w:val="none" w:sz="0" w:space="0" w:color="auto"/>
      </w:divBdr>
    </w:div>
    <w:div w:id="1569413177">
      <w:marLeft w:val="0"/>
      <w:marRight w:val="0"/>
      <w:marTop w:val="0"/>
      <w:marBottom w:val="0"/>
      <w:divBdr>
        <w:top w:val="none" w:sz="0" w:space="0" w:color="auto"/>
        <w:left w:val="none" w:sz="0" w:space="0" w:color="auto"/>
        <w:bottom w:val="none" w:sz="0" w:space="0" w:color="auto"/>
        <w:right w:val="none" w:sz="0" w:space="0" w:color="auto"/>
      </w:divBdr>
    </w:div>
    <w:div w:id="1569413180">
      <w:marLeft w:val="0"/>
      <w:marRight w:val="0"/>
      <w:marTop w:val="0"/>
      <w:marBottom w:val="0"/>
      <w:divBdr>
        <w:top w:val="none" w:sz="0" w:space="0" w:color="auto"/>
        <w:left w:val="none" w:sz="0" w:space="0" w:color="auto"/>
        <w:bottom w:val="none" w:sz="0" w:space="0" w:color="auto"/>
        <w:right w:val="none" w:sz="0" w:space="0" w:color="auto"/>
      </w:divBdr>
    </w:div>
    <w:div w:id="1569413181">
      <w:marLeft w:val="0"/>
      <w:marRight w:val="0"/>
      <w:marTop w:val="0"/>
      <w:marBottom w:val="0"/>
      <w:divBdr>
        <w:top w:val="none" w:sz="0" w:space="0" w:color="auto"/>
        <w:left w:val="none" w:sz="0" w:space="0" w:color="auto"/>
        <w:bottom w:val="none" w:sz="0" w:space="0" w:color="auto"/>
        <w:right w:val="none" w:sz="0" w:space="0" w:color="auto"/>
      </w:divBdr>
    </w:div>
    <w:div w:id="1569413185">
      <w:marLeft w:val="0"/>
      <w:marRight w:val="0"/>
      <w:marTop w:val="0"/>
      <w:marBottom w:val="0"/>
      <w:divBdr>
        <w:top w:val="none" w:sz="0" w:space="0" w:color="auto"/>
        <w:left w:val="none" w:sz="0" w:space="0" w:color="auto"/>
        <w:bottom w:val="none" w:sz="0" w:space="0" w:color="auto"/>
        <w:right w:val="none" w:sz="0" w:space="0" w:color="auto"/>
      </w:divBdr>
    </w:div>
    <w:div w:id="1569413186">
      <w:marLeft w:val="0"/>
      <w:marRight w:val="0"/>
      <w:marTop w:val="0"/>
      <w:marBottom w:val="0"/>
      <w:divBdr>
        <w:top w:val="none" w:sz="0" w:space="0" w:color="auto"/>
        <w:left w:val="none" w:sz="0" w:space="0" w:color="auto"/>
        <w:bottom w:val="none" w:sz="0" w:space="0" w:color="auto"/>
        <w:right w:val="none" w:sz="0" w:space="0" w:color="auto"/>
      </w:divBdr>
    </w:div>
    <w:div w:id="1569413187">
      <w:marLeft w:val="0"/>
      <w:marRight w:val="0"/>
      <w:marTop w:val="0"/>
      <w:marBottom w:val="0"/>
      <w:divBdr>
        <w:top w:val="none" w:sz="0" w:space="0" w:color="auto"/>
        <w:left w:val="none" w:sz="0" w:space="0" w:color="auto"/>
        <w:bottom w:val="none" w:sz="0" w:space="0" w:color="auto"/>
        <w:right w:val="none" w:sz="0" w:space="0" w:color="auto"/>
      </w:divBdr>
    </w:div>
    <w:div w:id="1569413188">
      <w:marLeft w:val="0"/>
      <w:marRight w:val="0"/>
      <w:marTop w:val="0"/>
      <w:marBottom w:val="0"/>
      <w:divBdr>
        <w:top w:val="none" w:sz="0" w:space="0" w:color="auto"/>
        <w:left w:val="none" w:sz="0" w:space="0" w:color="auto"/>
        <w:bottom w:val="none" w:sz="0" w:space="0" w:color="auto"/>
        <w:right w:val="none" w:sz="0" w:space="0" w:color="auto"/>
      </w:divBdr>
      <w:divsChild>
        <w:div w:id="1569413136">
          <w:marLeft w:val="0"/>
          <w:marRight w:val="0"/>
          <w:marTop w:val="0"/>
          <w:marBottom w:val="0"/>
          <w:divBdr>
            <w:top w:val="none" w:sz="0" w:space="0" w:color="auto"/>
            <w:left w:val="none" w:sz="0" w:space="0" w:color="auto"/>
            <w:bottom w:val="none" w:sz="0" w:space="0" w:color="auto"/>
            <w:right w:val="none" w:sz="0" w:space="0" w:color="auto"/>
          </w:divBdr>
        </w:div>
        <w:div w:id="1569413158">
          <w:marLeft w:val="0"/>
          <w:marRight w:val="0"/>
          <w:marTop w:val="0"/>
          <w:marBottom w:val="0"/>
          <w:divBdr>
            <w:top w:val="none" w:sz="0" w:space="0" w:color="auto"/>
            <w:left w:val="none" w:sz="0" w:space="0" w:color="auto"/>
            <w:bottom w:val="none" w:sz="0" w:space="0" w:color="auto"/>
            <w:right w:val="none" w:sz="0" w:space="0" w:color="auto"/>
          </w:divBdr>
        </w:div>
        <w:div w:id="1569413184">
          <w:marLeft w:val="0"/>
          <w:marRight w:val="0"/>
          <w:marTop w:val="0"/>
          <w:marBottom w:val="0"/>
          <w:divBdr>
            <w:top w:val="none" w:sz="0" w:space="0" w:color="auto"/>
            <w:left w:val="none" w:sz="0" w:space="0" w:color="auto"/>
            <w:bottom w:val="none" w:sz="0" w:space="0" w:color="auto"/>
            <w:right w:val="none" w:sz="0" w:space="0" w:color="auto"/>
          </w:divBdr>
        </w:div>
      </w:divsChild>
    </w:div>
    <w:div w:id="1569413189">
      <w:marLeft w:val="0"/>
      <w:marRight w:val="0"/>
      <w:marTop w:val="0"/>
      <w:marBottom w:val="0"/>
      <w:divBdr>
        <w:top w:val="none" w:sz="0" w:space="0" w:color="auto"/>
        <w:left w:val="none" w:sz="0" w:space="0" w:color="auto"/>
        <w:bottom w:val="none" w:sz="0" w:space="0" w:color="auto"/>
        <w:right w:val="none" w:sz="0" w:space="0" w:color="auto"/>
      </w:divBdr>
    </w:div>
    <w:div w:id="1569413191">
      <w:marLeft w:val="0"/>
      <w:marRight w:val="0"/>
      <w:marTop w:val="0"/>
      <w:marBottom w:val="0"/>
      <w:divBdr>
        <w:top w:val="none" w:sz="0" w:space="0" w:color="auto"/>
        <w:left w:val="none" w:sz="0" w:space="0" w:color="auto"/>
        <w:bottom w:val="none" w:sz="0" w:space="0" w:color="auto"/>
        <w:right w:val="none" w:sz="0" w:space="0" w:color="auto"/>
      </w:divBdr>
    </w:div>
    <w:div w:id="1569413192">
      <w:marLeft w:val="0"/>
      <w:marRight w:val="0"/>
      <w:marTop w:val="0"/>
      <w:marBottom w:val="0"/>
      <w:divBdr>
        <w:top w:val="none" w:sz="0" w:space="0" w:color="auto"/>
        <w:left w:val="none" w:sz="0" w:space="0" w:color="auto"/>
        <w:bottom w:val="none" w:sz="0" w:space="0" w:color="auto"/>
        <w:right w:val="none" w:sz="0" w:space="0" w:color="auto"/>
      </w:divBdr>
    </w:div>
    <w:div w:id="1569413193">
      <w:marLeft w:val="0"/>
      <w:marRight w:val="0"/>
      <w:marTop w:val="0"/>
      <w:marBottom w:val="0"/>
      <w:divBdr>
        <w:top w:val="none" w:sz="0" w:space="0" w:color="auto"/>
        <w:left w:val="none" w:sz="0" w:space="0" w:color="auto"/>
        <w:bottom w:val="none" w:sz="0" w:space="0" w:color="auto"/>
        <w:right w:val="none" w:sz="0" w:space="0" w:color="auto"/>
      </w:divBdr>
      <w:divsChild>
        <w:div w:id="1569413141">
          <w:marLeft w:val="150"/>
          <w:marRight w:val="150"/>
          <w:marTop w:val="150"/>
          <w:marBottom w:val="150"/>
          <w:divBdr>
            <w:top w:val="none" w:sz="0" w:space="0" w:color="auto"/>
            <w:left w:val="none" w:sz="0" w:space="0" w:color="auto"/>
            <w:bottom w:val="none" w:sz="0" w:space="0" w:color="auto"/>
            <w:right w:val="none" w:sz="0" w:space="0" w:color="auto"/>
          </w:divBdr>
        </w:div>
        <w:div w:id="1569413148">
          <w:marLeft w:val="150"/>
          <w:marRight w:val="150"/>
          <w:marTop w:val="150"/>
          <w:marBottom w:val="0"/>
          <w:divBdr>
            <w:top w:val="none" w:sz="0" w:space="0" w:color="auto"/>
            <w:left w:val="none" w:sz="0" w:space="0" w:color="auto"/>
            <w:bottom w:val="none" w:sz="0" w:space="0" w:color="auto"/>
            <w:right w:val="none" w:sz="0" w:space="0" w:color="auto"/>
          </w:divBdr>
          <w:divsChild>
            <w:div w:id="1569413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413194">
      <w:marLeft w:val="0"/>
      <w:marRight w:val="0"/>
      <w:marTop w:val="0"/>
      <w:marBottom w:val="0"/>
      <w:divBdr>
        <w:top w:val="none" w:sz="0" w:space="0" w:color="auto"/>
        <w:left w:val="none" w:sz="0" w:space="0" w:color="auto"/>
        <w:bottom w:val="none" w:sz="0" w:space="0" w:color="auto"/>
        <w:right w:val="none" w:sz="0" w:space="0" w:color="auto"/>
      </w:divBdr>
    </w:div>
    <w:div w:id="1569413195">
      <w:marLeft w:val="0"/>
      <w:marRight w:val="0"/>
      <w:marTop w:val="0"/>
      <w:marBottom w:val="0"/>
      <w:divBdr>
        <w:top w:val="none" w:sz="0" w:space="0" w:color="auto"/>
        <w:left w:val="none" w:sz="0" w:space="0" w:color="auto"/>
        <w:bottom w:val="none" w:sz="0" w:space="0" w:color="auto"/>
        <w:right w:val="none" w:sz="0" w:space="0" w:color="auto"/>
      </w:divBdr>
    </w:div>
    <w:div w:id="1569413196">
      <w:marLeft w:val="0"/>
      <w:marRight w:val="0"/>
      <w:marTop w:val="0"/>
      <w:marBottom w:val="0"/>
      <w:divBdr>
        <w:top w:val="none" w:sz="0" w:space="0" w:color="auto"/>
        <w:left w:val="none" w:sz="0" w:space="0" w:color="auto"/>
        <w:bottom w:val="none" w:sz="0" w:space="0" w:color="auto"/>
        <w:right w:val="none" w:sz="0" w:space="0" w:color="auto"/>
      </w:divBdr>
    </w:div>
    <w:div w:id="1569413198">
      <w:marLeft w:val="0"/>
      <w:marRight w:val="0"/>
      <w:marTop w:val="0"/>
      <w:marBottom w:val="0"/>
      <w:divBdr>
        <w:top w:val="none" w:sz="0" w:space="0" w:color="auto"/>
        <w:left w:val="none" w:sz="0" w:space="0" w:color="auto"/>
        <w:bottom w:val="none" w:sz="0" w:space="0" w:color="auto"/>
        <w:right w:val="none" w:sz="0" w:space="0" w:color="auto"/>
      </w:divBdr>
      <w:divsChild>
        <w:div w:id="1569413162">
          <w:marLeft w:val="0"/>
          <w:marRight w:val="0"/>
          <w:marTop w:val="0"/>
          <w:marBottom w:val="0"/>
          <w:divBdr>
            <w:top w:val="none" w:sz="0" w:space="0" w:color="auto"/>
            <w:left w:val="none" w:sz="0" w:space="0" w:color="auto"/>
            <w:bottom w:val="none" w:sz="0" w:space="0" w:color="auto"/>
            <w:right w:val="none" w:sz="0" w:space="0" w:color="auto"/>
          </w:divBdr>
        </w:div>
        <w:div w:id="1569413202">
          <w:marLeft w:val="0"/>
          <w:marRight w:val="0"/>
          <w:marTop w:val="0"/>
          <w:marBottom w:val="0"/>
          <w:divBdr>
            <w:top w:val="none" w:sz="0" w:space="0" w:color="auto"/>
            <w:left w:val="none" w:sz="0" w:space="0" w:color="auto"/>
            <w:bottom w:val="none" w:sz="0" w:space="0" w:color="auto"/>
            <w:right w:val="none" w:sz="0" w:space="0" w:color="auto"/>
          </w:divBdr>
        </w:div>
        <w:div w:id="1569413205">
          <w:marLeft w:val="0"/>
          <w:marRight w:val="0"/>
          <w:marTop w:val="0"/>
          <w:marBottom w:val="0"/>
          <w:divBdr>
            <w:top w:val="none" w:sz="0" w:space="0" w:color="auto"/>
            <w:left w:val="none" w:sz="0" w:space="0" w:color="auto"/>
            <w:bottom w:val="none" w:sz="0" w:space="0" w:color="auto"/>
            <w:right w:val="none" w:sz="0" w:space="0" w:color="auto"/>
          </w:divBdr>
        </w:div>
      </w:divsChild>
    </w:div>
    <w:div w:id="1569413200">
      <w:marLeft w:val="0"/>
      <w:marRight w:val="0"/>
      <w:marTop w:val="0"/>
      <w:marBottom w:val="0"/>
      <w:divBdr>
        <w:top w:val="none" w:sz="0" w:space="0" w:color="auto"/>
        <w:left w:val="none" w:sz="0" w:space="0" w:color="auto"/>
        <w:bottom w:val="none" w:sz="0" w:space="0" w:color="auto"/>
        <w:right w:val="none" w:sz="0" w:space="0" w:color="auto"/>
      </w:divBdr>
      <w:divsChild>
        <w:div w:id="1569413199">
          <w:marLeft w:val="0"/>
          <w:marRight w:val="0"/>
          <w:marTop w:val="0"/>
          <w:marBottom w:val="0"/>
          <w:divBdr>
            <w:top w:val="none" w:sz="0" w:space="0" w:color="auto"/>
            <w:left w:val="none" w:sz="0" w:space="0" w:color="auto"/>
            <w:bottom w:val="none" w:sz="0" w:space="0" w:color="auto"/>
            <w:right w:val="none" w:sz="0" w:space="0" w:color="auto"/>
          </w:divBdr>
        </w:div>
        <w:div w:id="1569413203">
          <w:marLeft w:val="0"/>
          <w:marRight w:val="0"/>
          <w:marTop w:val="0"/>
          <w:marBottom w:val="0"/>
          <w:divBdr>
            <w:top w:val="none" w:sz="0" w:space="0" w:color="auto"/>
            <w:left w:val="none" w:sz="0" w:space="0" w:color="auto"/>
            <w:bottom w:val="none" w:sz="0" w:space="0" w:color="auto"/>
            <w:right w:val="none" w:sz="0" w:space="0" w:color="auto"/>
          </w:divBdr>
        </w:div>
        <w:div w:id="1569413210">
          <w:marLeft w:val="0"/>
          <w:marRight w:val="0"/>
          <w:marTop w:val="0"/>
          <w:marBottom w:val="0"/>
          <w:divBdr>
            <w:top w:val="none" w:sz="0" w:space="0" w:color="auto"/>
            <w:left w:val="none" w:sz="0" w:space="0" w:color="auto"/>
            <w:bottom w:val="none" w:sz="0" w:space="0" w:color="auto"/>
            <w:right w:val="none" w:sz="0" w:space="0" w:color="auto"/>
          </w:divBdr>
        </w:div>
        <w:div w:id="1569413215">
          <w:marLeft w:val="0"/>
          <w:marRight w:val="0"/>
          <w:marTop w:val="0"/>
          <w:marBottom w:val="0"/>
          <w:divBdr>
            <w:top w:val="none" w:sz="0" w:space="0" w:color="auto"/>
            <w:left w:val="none" w:sz="0" w:space="0" w:color="auto"/>
            <w:bottom w:val="none" w:sz="0" w:space="0" w:color="auto"/>
            <w:right w:val="none" w:sz="0" w:space="0" w:color="auto"/>
          </w:divBdr>
        </w:div>
      </w:divsChild>
    </w:div>
    <w:div w:id="1569413201">
      <w:marLeft w:val="0"/>
      <w:marRight w:val="0"/>
      <w:marTop w:val="0"/>
      <w:marBottom w:val="0"/>
      <w:divBdr>
        <w:top w:val="none" w:sz="0" w:space="0" w:color="auto"/>
        <w:left w:val="none" w:sz="0" w:space="0" w:color="auto"/>
        <w:bottom w:val="none" w:sz="0" w:space="0" w:color="auto"/>
        <w:right w:val="none" w:sz="0" w:space="0" w:color="auto"/>
      </w:divBdr>
    </w:div>
    <w:div w:id="1569413204">
      <w:marLeft w:val="0"/>
      <w:marRight w:val="0"/>
      <w:marTop w:val="0"/>
      <w:marBottom w:val="0"/>
      <w:divBdr>
        <w:top w:val="none" w:sz="0" w:space="0" w:color="auto"/>
        <w:left w:val="none" w:sz="0" w:space="0" w:color="auto"/>
        <w:bottom w:val="none" w:sz="0" w:space="0" w:color="auto"/>
        <w:right w:val="none" w:sz="0" w:space="0" w:color="auto"/>
      </w:divBdr>
    </w:div>
    <w:div w:id="1569413206">
      <w:marLeft w:val="0"/>
      <w:marRight w:val="0"/>
      <w:marTop w:val="0"/>
      <w:marBottom w:val="0"/>
      <w:divBdr>
        <w:top w:val="none" w:sz="0" w:space="0" w:color="auto"/>
        <w:left w:val="none" w:sz="0" w:space="0" w:color="auto"/>
        <w:bottom w:val="none" w:sz="0" w:space="0" w:color="auto"/>
        <w:right w:val="none" w:sz="0" w:space="0" w:color="auto"/>
      </w:divBdr>
    </w:div>
    <w:div w:id="1569413211">
      <w:marLeft w:val="0"/>
      <w:marRight w:val="0"/>
      <w:marTop w:val="0"/>
      <w:marBottom w:val="0"/>
      <w:divBdr>
        <w:top w:val="none" w:sz="0" w:space="0" w:color="auto"/>
        <w:left w:val="none" w:sz="0" w:space="0" w:color="auto"/>
        <w:bottom w:val="none" w:sz="0" w:space="0" w:color="auto"/>
        <w:right w:val="none" w:sz="0" w:space="0" w:color="auto"/>
      </w:divBdr>
    </w:div>
    <w:div w:id="1569413214">
      <w:marLeft w:val="0"/>
      <w:marRight w:val="0"/>
      <w:marTop w:val="0"/>
      <w:marBottom w:val="0"/>
      <w:divBdr>
        <w:top w:val="none" w:sz="0" w:space="0" w:color="auto"/>
        <w:left w:val="none" w:sz="0" w:space="0" w:color="auto"/>
        <w:bottom w:val="none" w:sz="0" w:space="0" w:color="auto"/>
        <w:right w:val="none" w:sz="0" w:space="0" w:color="auto"/>
      </w:divBdr>
    </w:div>
    <w:div w:id="1569413216">
      <w:marLeft w:val="0"/>
      <w:marRight w:val="0"/>
      <w:marTop w:val="0"/>
      <w:marBottom w:val="0"/>
      <w:divBdr>
        <w:top w:val="none" w:sz="0" w:space="0" w:color="auto"/>
        <w:left w:val="none" w:sz="0" w:space="0" w:color="auto"/>
        <w:bottom w:val="none" w:sz="0" w:space="0" w:color="auto"/>
        <w:right w:val="none" w:sz="0" w:space="0" w:color="auto"/>
      </w:divBdr>
      <w:divsChild>
        <w:div w:id="1569413176">
          <w:marLeft w:val="0"/>
          <w:marRight w:val="0"/>
          <w:marTop w:val="0"/>
          <w:marBottom w:val="0"/>
          <w:divBdr>
            <w:top w:val="none" w:sz="0" w:space="0" w:color="auto"/>
            <w:left w:val="none" w:sz="0" w:space="0" w:color="auto"/>
            <w:bottom w:val="none" w:sz="0" w:space="0" w:color="auto"/>
            <w:right w:val="none" w:sz="0" w:space="0" w:color="auto"/>
          </w:divBdr>
        </w:div>
        <w:div w:id="1569413213">
          <w:marLeft w:val="0"/>
          <w:marRight w:val="0"/>
          <w:marTop w:val="0"/>
          <w:marBottom w:val="0"/>
          <w:divBdr>
            <w:top w:val="none" w:sz="0" w:space="0" w:color="auto"/>
            <w:left w:val="none" w:sz="0" w:space="0" w:color="auto"/>
            <w:bottom w:val="none" w:sz="0" w:space="0" w:color="auto"/>
            <w:right w:val="none" w:sz="0" w:space="0" w:color="auto"/>
          </w:divBdr>
        </w:div>
      </w:divsChild>
    </w:div>
    <w:div w:id="1569413218">
      <w:marLeft w:val="0"/>
      <w:marRight w:val="0"/>
      <w:marTop w:val="0"/>
      <w:marBottom w:val="0"/>
      <w:divBdr>
        <w:top w:val="none" w:sz="0" w:space="0" w:color="auto"/>
        <w:left w:val="none" w:sz="0" w:space="0" w:color="auto"/>
        <w:bottom w:val="none" w:sz="0" w:space="0" w:color="auto"/>
        <w:right w:val="none" w:sz="0" w:space="0" w:color="auto"/>
      </w:divBdr>
    </w:div>
    <w:div w:id="1569413219">
      <w:marLeft w:val="0"/>
      <w:marRight w:val="0"/>
      <w:marTop w:val="0"/>
      <w:marBottom w:val="0"/>
      <w:divBdr>
        <w:top w:val="none" w:sz="0" w:space="0" w:color="auto"/>
        <w:left w:val="none" w:sz="0" w:space="0" w:color="auto"/>
        <w:bottom w:val="none" w:sz="0" w:space="0" w:color="auto"/>
        <w:right w:val="none" w:sz="0" w:space="0" w:color="auto"/>
      </w:divBdr>
    </w:div>
    <w:div w:id="15694132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stat.si/pxweb/Database/Ekonomsko/Ekonomsko.asp" TargetMode="External"/><Relationship Id="rId18" Type="http://schemas.openxmlformats.org/officeDocument/2006/relationships/hyperlink" Target="http://www.stat.si/pxweb/Database/Ekonomsko/Ekonomsko.asp" TargetMode="External"/><Relationship Id="rId26" Type="http://schemas.openxmlformats.org/officeDocument/2006/relationships/hyperlink" Target="http://www.stat.si/pxweb/Database/Ekonomsko/Ekonomsko.asp"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stat.si/pxweb/Database/Ekonomsko/Ekonomsko.asp" TargetMode="External"/><Relationship Id="rId34" Type="http://schemas.openxmlformats.org/officeDocument/2006/relationships/hyperlink" Target="http://www.economicshelp.org/europe/costs-euro.html" TargetMode="Externa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hyperlink" Target="http://www.stat.si/pxweb/Database/Ekonomsko/Ekonomsko.asp" TargetMode="External"/><Relationship Id="rId25" Type="http://schemas.openxmlformats.org/officeDocument/2006/relationships/hyperlink" Target="http://www.stat.si/pxweb/Database/Ekonomsko/Ekonomsko.asp" TargetMode="External"/><Relationship Id="rId33" Type="http://schemas.openxmlformats.org/officeDocument/2006/relationships/hyperlink" Target="http://www.economicshelp.org/europe/benefits-euro.html"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stat.si/pxweb/Database/Ekonomsko/Ekonomsko.asp" TargetMode="External"/><Relationship Id="rId20" Type="http://schemas.openxmlformats.org/officeDocument/2006/relationships/hyperlink" Target="http://www.stat.si/pxweb/Database/Ekonomsko/Ekonomsko.asp" TargetMode="External"/><Relationship Id="rId29" Type="http://schemas.openxmlformats.org/officeDocument/2006/relationships/hyperlink" Target="http://www.stat.si/pxweb/Database/Ekonomsko/Ekonomsko.asp"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zavedenieura.cz/cps/rde/xchg/euro/xsl/euro_podmin_prijeti.html" TargetMode="External"/><Relationship Id="rId24" Type="http://schemas.openxmlformats.org/officeDocument/2006/relationships/hyperlink" Target="http://www.stat.si/pxweb/Database/Ekonomsko/Ekonomsko.asp" TargetMode="External"/><Relationship Id="rId32" Type="http://schemas.openxmlformats.org/officeDocument/2006/relationships/hyperlink" Target="http://www.economicshelp.org/europe/benefits-euro.html" TargetMode="External"/><Relationship Id="rId37"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stat.si/pxweb/Database/Ekonomsko/Ekonomsko.asp" TargetMode="External"/><Relationship Id="rId23" Type="http://schemas.openxmlformats.org/officeDocument/2006/relationships/hyperlink" Target="http://www.stat.si/pxweb/Database/Ekonomsko/Ekonomsko.asp" TargetMode="External"/><Relationship Id="rId28" Type="http://schemas.openxmlformats.org/officeDocument/2006/relationships/hyperlink" Target="http://www.stat.si/pxweb/Database/Ekonomsko/Ekonomsko.asp" TargetMode="External"/><Relationship Id="rId36" Type="http://schemas.openxmlformats.org/officeDocument/2006/relationships/hyperlink" Target="http://www.stat.si/eng/novice_poglej.asp?ID=469" TargetMode="External"/><Relationship Id="rId10" Type="http://schemas.openxmlformats.org/officeDocument/2006/relationships/image" Target="media/image4.png"/><Relationship Id="rId19" Type="http://schemas.openxmlformats.org/officeDocument/2006/relationships/image" Target="media/image7.png"/><Relationship Id="rId31" Type="http://schemas.openxmlformats.org/officeDocument/2006/relationships/hyperlink" Target="http://bankovnictvi.ihned.cz/c1-12349700-zavedeni-eura-a-jak-ho-nacasovat"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8.png"/><Relationship Id="rId27" Type="http://schemas.openxmlformats.org/officeDocument/2006/relationships/hyperlink" Target="http://www.stat.si/pxweb/Database/Ekonomsko/Ekonomsko.asp" TargetMode="External"/><Relationship Id="rId30" Type="http://schemas.openxmlformats.org/officeDocument/2006/relationships/hyperlink" Target="http://www.finance.cz/zpravy/finance/48714-clenstvi-v-unii-pomohlo-zahranicnimu-obchodu/" TargetMode="External"/><Relationship Id="rId35" Type="http://schemas.openxmlformats.org/officeDocument/2006/relationships/hyperlink" Target="http://www.ecb.int/pub/pdf/other/whypricestabilitycs.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economicshelp.org/europe/benefits-euro.html" TargetMode="External"/><Relationship Id="rId13" Type="http://schemas.openxmlformats.org/officeDocument/2006/relationships/hyperlink" Target="http://www.economicshelp.org/europe/benefits-euro.html" TargetMode="External"/><Relationship Id="rId18" Type="http://schemas.openxmlformats.org/officeDocument/2006/relationships/hyperlink" Target="http://www.ecb.int/pub/pdf/other/euroattenen2009en.pdf" TargetMode="External"/><Relationship Id="rId26" Type="http://schemas.openxmlformats.org/officeDocument/2006/relationships/hyperlink" Target="http://eur-lex.europa.eu/LexUriServ/LexUriServ.do?uri=COM:2007:0233:FIN:EN:HTML" TargetMode="External"/><Relationship Id="rId39" Type="http://schemas.openxmlformats.org/officeDocument/2006/relationships/hyperlink" Target="http://www.ecb.europa.eu/pub/pdf/conrep/cr2006en.pdf" TargetMode="External"/><Relationship Id="rId3" Type="http://schemas.openxmlformats.org/officeDocument/2006/relationships/hyperlink" Target="http://www.zavedenieura.cz/cps/rde/xchg/euro/xsl/euro_rozsir_eurozony.html" TargetMode="External"/><Relationship Id="rId21" Type="http://schemas.openxmlformats.org/officeDocument/2006/relationships/hyperlink" Target="http://www.ecb.europa.eu/pub/pdf/conrep/cr2004en.pdf" TargetMode="External"/><Relationship Id="rId34" Type="http://schemas.openxmlformats.org/officeDocument/2006/relationships/hyperlink" Target="http://eur-lex.europa.eu/LexUriServ/LexUriServ.do?uri=COM:2007:0233:FIN:EN:HTML" TargetMode="External"/><Relationship Id="rId7" Type="http://schemas.openxmlformats.org/officeDocument/2006/relationships/hyperlink" Target="http://www.finance.cz/zpravy/finance/48714-clenstvi-v-unii-pomohlo-zahranicnimu-obchodu/" TargetMode="External"/><Relationship Id="rId12" Type="http://schemas.openxmlformats.org/officeDocument/2006/relationships/hyperlink" Target="http://www.finance.cz/zpravy/finance/48714-clenstvi-v-unii-pomohlo-zahranicnimu-obchodu/" TargetMode="External"/><Relationship Id="rId17" Type="http://schemas.openxmlformats.org/officeDocument/2006/relationships/hyperlink" Target="http://bankovnictvi.ihned.cz/c1-12349700-zavedeni-eura-a-jak-ho-nacasovat" TargetMode="External"/><Relationship Id="rId25" Type="http://schemas.openxmlformats.org/officeDocument/2006/relationships/hyperlink" Target="http://www.ecb.europa.eu/pub/pdf/conrep/cr2004en.pdf" TargetMode="External"/><Relationship Id="rId33" Type="http://schemas.openxmlformats.org/officeDocument/2006/relationships/hyperlink" Target="http://www.ecb.europa.eu/pub/pdf/conrep/cr2004en.pdf" TargetMode="External"/><Relationship Id="rId38" Type="http://schemas.openxmlformats.org/officeDocument/2006/relationships/hyperlink" Target="http://eur-lex.europa.eu/LexUriServ/LexUriServ.do?uri=COM:2007:0233:FIN:EN:HTML" TargetMode="External"/><Relationship Id="rId2" Type="http://schemas.openxmlformats.org/officeDocument/2006/relationships/hyperlink" Target="http://www.zavedenieura.cz/cps/rde/xchg/euro/xsl/euro_eurozona.html" TargetMode="External"/><Relationship Id="rId16" Type="http://schemas.openxmlformats.org/officeDocument/2006/relationships/hyperlink" Target="http://www.economicshelp.org/europe/costs-euro.html" TargetMode="External"/><Relationship Id="rId20" Type="http://schemas.openxmlformats.org/officeDocument/2006/relationships/hyperlink" Target="http://eur-lex.europa.eu/LexUriServ/LexUriServ.do?uri=COM:2007:0233:FIN:EN:HTML" TargetMode="External"/><Relationship Id="rId29" Type="http://schemas.openxmlformats.org/officeDocument/2006/relationships/hyperlink" Target="http://www.ecb.europa.eu/pub/pdf/conrep/cr2004en.pdf" TargetMode="External"/><Relationship Id="rId1" Type="http://schemas.openxmlformats.org/officeDocument/2006/relationships/hyperlink" Target="http://www.zavedenieura.cz/cps/rde/xchg/euro/xsl/euro_eurozona.html" TargetMode="External"/><Relationship Id="rId6" Type="http://schemas.openxmlformats.org/officeDocument/2006/relationships/hyperlink" Target="http://www.zavedenieura.cz/cps/rde/xchg/euro/xsl/euro_podmin_prijeti.html" TargetMode="External"/><Relationship Id="rId11" Type="http://schemas.openxmlformats.org/officeDocument/2006/relationships/hyperlink" Target="http://www.economicshelp.org/europe/benefits-euro.html" TargetMode="External"/><Relationship Id="rId24" Type="http://schemas.openxmlformats.org/officeDocument/2006/relationships/hyperlink" Target="http://eur-lex.europa.eu/LexUriServ/LexUriServ.do?uri=COM:2007:0233:FIN:EN:HTML" TargetMode="External"/><Relationship Id="rId32" Type="http://schemas.openxmlformats.org/officeDocument/2006/relationships/hyperlink" Target="http://eur-lex.europa.eu/LexUriServ/LexUriServ.do?uri=COM:2007:0233:FIN:EN:HTML" TargetMode="External"/><Relationship Id="rId37" Type="http://schemas.openxmlformats.org/officeDocument/2006/relationships/hyperlink" Target="http://www.ecb.europa.eu/pub/pdf/conrep/cr2004en.pdf" TargetMode="External"/><Relationship Id="rId5" Type="http://schemas.openxmlformats.org/officeDocument/2006/relationships/hyperlink" Target="http://www.zavedenieura.cz/cps/rde/xchg/euro/xsl/euro_podmin_prijeti.html" TargetMode="External"/><Relationship Id="rId15" Type="http://schemas.openxmlformats.org/officeDocument/2006/relationships/hyperlink" Target="http://www.economicshelp.org/europe/benefits-euro.html" TargetMode="External"/><Relationship Id="rId23" Type="http://schemas.openxmlformats.org/officeDocument/2006/relationships/hyperlink" Target="http://www.ecb.europa.eu/pub/pdf/conrep/cr2004en.pdf" TargetMode="External"/><Relationship Id="rId28" Type="http://schemas.openxmlformats.org/officeDocument/2006/relationships/hyperlink" Target="http://eur-lex.europa.eu/LexUriServ/LexUriServ.do?uri=COM:2007:0233:FIN:EN:HTML" TargetMode="External"/><Relationship Id="rId36" Type="http://schemas.openxmlformats.org/officeDocument/2006/relationships/hyperlink" Target="http://eur-lex.europa.eu/LexUriServ/LexUriServ.do?uri=COM:2007:0233:FIN:EN:HTML" TargetMode="External"/><Relationship Id="rId10" Type="http://schemas.openxmlformats.org/officeDocument/2006/relationships/hyperlink" Target="http://www.economicshelp.org/europe/benefits-euro.html" TargetMode="External"/><Relationship Id="rId19" Type="http://schemas.openxmlformats.org/officeDocument/2006/relationships/hyperlink" Target="http://www.ecb.int/pub/pdf/other/euroattenen2009en.pdf" TargetMode="External"/><Relationship Id="rId31" Type="http://schemas.openxmlformats.org/officeDocument/2006/relationships/hyperlink" Target="http://www.stat.si/eng/novice_poglej.asp?ID=469" TargetMode="External"/><Relationship Id="rId4" Type="http://schemas.openxmlformats.org/officeDocument/2006/relationships/hyperlink" Target="http://www.zavedenieura.cz/cps/rde/xchg/euro/xsl/euro_rozsir_eurozony.html" TargetMode="External"/><Relationship Id="rId9" Type="http://schemas.openxmlformats.org/officeDocument/2006/relationships/hyperlink" Target="http://www.economicshelp.org/europe/benefits-euro.html" TargetMode="External"/><Relationship Id="rId14" Type="http://schemas.openxmlformats.org/officeDocument/2006/relationships/hyperlink" Target="http://www.economicshelp.org/europe/costs-euro.html" TargetMode="External"/><Relationship Id="rId22" Type="http://schemas.openxmlformats.org/officeDocument/2006/relationships/hyperlink" Target="http://eur-lex.europa.eu/LexUriServ/LexUriServ.do?uri=COM:2007:0233:FIN:EN:HTML" TargetMode="External"/><Relationship Id="rId27" Type="http://schemas.openxmlformats.org/officeDocument/2006/relationships/hyperlink" Target="http://www.ecb.europa.eu/pub/pdf/conrep/cr2006en.pdf" TargetMode="External"/><Relationship Id="rId30" Type="http://schemas.openxmlformats.org/officeDocument/2006/relationships/hyperlink" Target="http://www.stat.si/" TargetMode="External"/><Relationship Id="rId35" Type="http://schemas.openxmlformats.org/officeDocument/2006/relationships/hyperlink" Target="http://www.ecb.europa.eu/pub/pdf/conrep/cr2006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108</Pages>
  <Words>25774</Words>
  <Characters>152072</Characters>
  <Application>Microsoft Office Word</Application>
  <DocSecurity>0</DocSecurity>
  <Lines>1267</Lines>
  <Paragraphs>354</Paragraphs>
  <ScaleCrop>false</ScaleCrop>
  <Company>Hewlett-Packard</Company>
  <LinksUpToDate>false</LinksUpToDate>
  <CharactersWithSpaces>177492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Diplomová práce</dc:subject>
  <dc:creator>Bc. Lucie Vokáčová;Lucinka</dc:creator>
  <cp:keywords/>
  <dc:description/>
  <cp:lastModifiedBy>Lucinka</cp:lastModifiedBy>
  <cp:revision>5</cp:revision>
  <cp:lastPrinted>2011-01-06T12:42:00Z</cp:lastPrinted>
  <dcterms:created xsi:type="dcterms:W3CDTF">2011-01-05T21:25:00Z</dcterms:created>
  <dcterms:modified xsi:type="dcterms:W3CDTF">2011-01-09T18:45:00Z</dcterms:modified>
</cp:coreProperties>
</file>