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charts/chart10.xml" ContentType="application/vnd.openxmlformats-officedocument.drawingml.chart+xml"/>
  <Override PartName="/word/theme/themeOverride5.xml" ContentType="application/vnd.openxmlformats-officedocument.themeOverride+xml"/>
  <Override PartName="/word/diagrams/data3.xml" ContentType="application/vnd.openxmlformats-officedocument.drawingml.diagramData+xml"/>
  <Override PartName="/word/diagrams/colors5.xml" ContentType="application/vnd.openxmlformats-officedocument.drawingml.diagramColors+xml"/>
  <Override PartName="/word/theme/themeOverride15.xml" ContentType="application/vnd.openxmlformats-officedocument.themeOverride+xml"/>
  <Override PartName="/customXml/itemProps1.xml" ContentType="application/vnd.openxmlformats-officedocument.customXmlProperties+xml"/>
  <Override PartName="/word/diagrams/data1.xml" ContentType="application/vnd.openxmlformats-officedocument.drawingml.diagramData+xml"/>
  <Override PartName="/word/theme/themeOverride3.xml" ContentType="application/vnd.openxmlformats-officedocument.themeOverride+xml"/>
  <Override PartName="/word/diagrams/colors3.xml" ContentType="application/vnd.openxmlformats-officedocument.drawingml.diagramColors+xml"/>
  <Override PartName="/word/theme/themeOverride13.xml" ContentType="application/vnd.openxmlformats-officedocument.themeOverride+xml"/>
  <Override PartName="/word/diagrams/colors1.xml" ContentType="application/vnd.openxmlformats-officedocument.drawingml.diagramColors+xml"/>
  <Override PartName="/word/theme/themeOverride1.xml" ContentType="application/vnd.openxmlformats-officedocument.themeOverride+xml"/>
  <Override PartName="/word/theme/themeOverride1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diagrams/drawing4.xml" ContentType="application/vnd.ms-office.drawingml.diagramDrawing+xml"/>
  <Override PartName="/word/charts/chart19.xml" ContentType="application/vnd.openxmlformats-officedocument.drawingml.chart+xml"/>
  <Override PartName="/word/drawings/drawing4.xml" ContentType="application/vnd.openxmlformats-officedocument.drawingml.chartshapes+xml"/>
  <Override PartName="/word/charts/chart28.xml" ContentType="application/vnd.openxmlformats-officedocument.drawingml.chart+xml"/>
  <Override PartName="/word/diagrams/drawing2.xml" ContentType="application/vnd.ms-office.drawingml.diagramDrawing+xml"/>
  <Override PartName="/word/drawings/drawing2.xml" ContentType="application/vnd.openxmlformats-officedocument.drawingml.chartshapes+xml"/>
  <Override PartName="/word/charts/chart7.xml" ContentType="application/vnd.openxmlformats-officedocument.drawingml.chart+xml"/>
  <Override PartName="/word/charts/chart17.xml" ContentType="application/vnd.openxmlformats-officedocument.drawingml.chart+xml"/>
  <Override PartName="/word/charts/chart26.xml" ContentType="application/vnd.openxmlformats-officedocument.drawingml.chart+xml"/>
  <Override PartName="/word/charts/chart5.xml" ContentType="application/vnd.openxmlformats-officedocument.drawingml.chart+xml"/>
  <Override PartName="/word/diagrams/layout5.xml" ContentType="application/vnd.openxmlformats-officedocument.drawingml.diagramLayout+xml"/>
  <Override PartName="/word/charts/chart15.xml" ContentType="application/vnd.openxmlformats-officedocument.drawingml.chart+xml"/>
  <Override PartName="/word/charts/chart24.xml" ContentType="application/vnd.openxmlformats-officedocument.drawingml.chart+xml"/>
  <Override PartName="/word/footer1.xml" ContentType="application/vnd.openxmlformats-officedocument.wordprocessingml.footer+xml"/>
  <Default Extension="xlsx" ContentType="application/vnd.openxmlformats-officedocument.spreadsheetml.sheet"/>
  <Override PartName="/word/charts/chart3.xml" ContentType="application/vnd.openxmlformats-officedocument.drawingml.chart+xml"/>
  <Override PartName="/word/charts/chart13.xml" ContentType="application/vnd.openxmlformats-officedocument.drawingml.chart+xml"/>
  <Override PartName="/word/diagrams/layout3.xml" ContentType="application/vnd.openxmlformats-officedocument.drawingml.diagramLayout+xml"/>
  <Override PartName="/word/diagrams/quickStyle5.xml" ContentType="application/vnd.openxmlformats-officedocument.drawingml.diagramStyle+xml"/>
  <Override PartName="/word/theme/themeOverride8.xml" ContentType="application/vnd.openxmlformats-officedocument.themeOverride+xml"/>
  <Override PartName="/word/charts/chart22.xml" ContentType="application/vnd.openxmlformats-officedocument.drawingml.chart+xml"/>
  <Override PartName="/word/diagrams/layout1.xml" ContentType="application/vnd.openxmlformats-officedocument.drawingml.diagramLayout+xml"/>
  <Override PartName="/word/charts/chart1.xml" ContentType="application/vnd.openxmlformats-officedocument.drawingml.chart+xml"/>
  <Override PartName="/word/charts/chart11.xml" ContentType="application/vnd.openxmlformats-officedocument.drawingml.chart+xml"/>
  <Override PartName="/word/theme/themeOverride6.xml" ContentType="application/vnd.openxmlformats-officedocument.themeOverride+xml"/>
  <Override PartName="/word/diagrams/quickStyle3.xml" ContentType="application/vnd.openxmlformats-officedocument.drawingml.diagramStyle+xml"/>
  <Override PartName="/word/charts/chart20.xml" ContentType="application/vnd.openxmlformats-officedocument.drawingml.chart+xml"/>
  <Override PartName="/word/diagrams/quickStyle1.xml" ContentType="application/vnd.openxmlformats-officedocument.drawingml.diagramStyle+xml"/>
  <Default Extension="png" ContentType="image/png"/>
  <Override PartName="/word/theme/themeOverride4.xml" ContentType="application/vnd.openxmlformats-officedocument.themeOverride+xml"/>
  <Override PartName="/word/diagrams/data4.xml" ContentType="application/vnd.openxmlformats-officedocument.drawingml.diagramData+xml"/>
  <Override PartName="/word/diagrams/colors4.xml" ContentType="application/vnd.openxmlformats-officedocument.drawingml.diagramColors+xml"/>
  <Override PartName="/word/theme/themeOverride16.xml" ContentType="application/vnd.openxmlformats-officedocument.themeOverride+xml"/>
  <Override PartName="/word/diagrams/data2.xml" ContentType="application/vnd.openxmlformats-officedocument.drawingml.diagramData+xml"/>
  <Override PartName="/word/diagrams/colors2.xml" ContentType="application/vnd.openxmlformats-officedocument.drawingml.diagramColors+xml"/>
  <Override PartName="/word/theme/themeOverride2.xml" ContentType="application/vnd.openxmlformats-officedocument.themeOverride+xml"/>
  <Override PartName="/word/theme/themeOverride14.xml" ContentType="application/vnd.openxmlformats-officedocument.themeOverride+xml"/>
  <Default Extension="emf" ContentType="image/x-emf"/>
  <Override PartName="/word/diagrams/drawing5.xml" ContentType="application/vnd.ms-office.drawingml.diagramDrawing+xml"/>
  <Override PartName="/word/theme/themeOverride12.xml" ContentType="application/vnd.openxmlformats-officedocument.themeOverride+xml"/>
  <Override PartName="/word/numbering.xml" ContentType="application/vnd.openxmlformats-officedocument.wordprocessingml.numbering+xml"/>
  <Override PartName="/word/endnotes.xml" ContentType="application/vnd.openxmlformats-officedocument.wordprocessingml.endnotes+xml"/>
  <Override PartName="/word/drawings/drawing3.xml" ContentType="application/vnd.openxmlformats-officedocument.drawingml.chartshapes+xml"/>
  <Override PartName="/word/charts/chart8.xml" ContentType="application/vnd.openxmlformats-officedocument.drawingml.chart+xml"/>
  <Override PartName="/word/diagrams/drawing3.xml" ContentType="application/vnd.ms-office.drawingml.diagramDrawing+xml"/>
  <Override PartName="/word/theme/themeOverride10.xml" ContentType="application/vnd.openxmlformats-officedocument.themeOverride+xml"/>
  <Override PartName="/word/charts/chart2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rawings/drawing1.xml" ContentType="application/vnd.openxmlformats-officedocument.drawingml.chartshapes+xml"/>
  <Override PartName="/word/charts/chart6.xml" ContentType="application/vnd.openxmlformats-officedocument.drawingml.chart+xml"/>
  <Override PartName="/word/charts/chart18.xml" ContentType="application/vnd.openxmlformats-officedocument.drawingml.chart+xml"/>
  <Override PartName="/word/charts/chart27.xml" ContentType="application/vnd.openxmlformats-officedocument.drawingml.chart+xml"/>
  <Override PartName="/word/charts/chart4.xml" ContentType="application/vnd.openxmlformats-officedocument.drawingml.chart+xml"/>
  <Override PartName="/word/charts/chart16.xml" ContentType="application/vnd.openxmlformats-officedocument.drawingml.chart+xml"/>
  <Override PartName="/word/charts/chart2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14.xml" ContentType="application/vnd.openxmlformats-officedocument.drawingml.chart+xml"/>
  <Override PartName="/word/diagrams/layout4.xml" ContentType="application/vnd.openxmlformats-officedocument.drawingml.diagramLayout+xml"/>
  <Override PartName="/word/theme/themeOverride9.xml" ContentType="application/vnd.openxmlformats-officedocument.themeOverride+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2.xml" ContentType="application/vnd.openxmlformats-officedocument.drawingml.diagramLayout+xml"/>
  <Override PartName="/word/charts/chart12.xml" ContentType="application/vnd.openxmlformats-officedocument.drawingml.chart+xml"/>
  <Override PartName="/word/theme/themeOverride7.xml" ContentType="application/vnd.openxmlformats-officedocument.themeOverride+xml"/>
  <Override PartName="/word/diagrams/quickStyle4.xml" ContentType="application/vnd.openxmlformats-officedocument.drawingml.diagramStyle+xml"/>
  <Override PartName="/word/diagrams/data5.xml" ContentType="application/vnd.openxmlformats-officedocument.drawingml.diagramData+xml"/>
  <Override PartName="/word/charts/chart2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44D8" w:rsidRPr="007E3D67" w:rsidRDefault="00EF44D8" w:rsidP="00EF44D8">
      <w:pPr>
        <w:pStyle w:val="Nzevuniverzity"/>
        <w:keepNext/>
        <w:keepLines/>
        <w:pageBreakBefore/>
      </w:pPr>
      <w:bookmarkStart w:id="0" w:name="_Toc278920715"/>
      <w:r w:rsidRPr="007E3D67">
        <w:t>Technická univerzita v Liberci</w:t>
      </w:r>
    </w:p>
    <w:p w:rsidR="00EF44D8" w:rsidRPr="007E3D67" w:rsidRDefault="00EF44D8" w:rsidP="00EF44D8">
      <w:pPr>
        <w:pStyle w:val="Nzevuniverzity"/>
      </w:pPr>
      <w:r w:rsidRPr="007E3D67">
        <w:t>Ekonomická fakulta</w:t>
      </w:r>
    </w:p>
    <w:p w:rsidR="00EF44D8" w:rsidRPr="007E3D67" w:rsidRDefault="00EF44D8" w:rsidP="00EF44D8"/>
    <w:p w:rsidR="00EF44D8" w:rsidRPr="007E3D67" w:rsidRDefault="00EF44D8" w:rsidP="00EF44D8">
      <w:pPr>
        <w:pStyle w:val="Studijnobor"/>
      </w:pPr>
      <w:r w:rsidRPr="007E3D67">
        <w:t xml:space="preserve">Studijní program: </w:t>
      </w:r>
      <w:r w:rsidRPr="007E3D67">
        <w:tab/>
      </w:r>
      <w:r w:rsidRPr="007E3D67">
        <w:rPr>
          <w:b/>
          <w:bCs/>
        </w:rPr>
        <w:t>N 6208 – Ekonomika a management</w:t>
      </w:r>
    </w:p>
    <w:p w:rsidR="00EF44D8" w:rsidRPr="007E3D67" w:rsidRDefault="00EF44D8" w:rsidP="00EF44D8">
      <w:pPr>
        <w:pStyle w:val="Studijnobor"/>
      </w:pPr>
      <w:r w:rsidRPr="007E3D67">
        <w:t xml:space="preserve">Studijní obor: </w:t>
      </w:r>
      <w:r w:rsidRPr="007E3D67">
        <w:tab/>
      </w:r>
      <w:r w:rsidRPr="007E3D67">
        <w:tab/>
      </w:r>
      <w:r w:rsidRPr="007E3D67">
        <w:rPr>
          <w:b/>
          <w:bCs/>
        </w:rPr>
        <w:t>Podniková ekonomika</w:t>
      </w:r>
    </w:p>
    <w:p w:rsidR="00EF44D8" w:rsidRPr="007E3D67" w:rsidRDefault="00EF44D8" w:rsidP="00EF44D8">
      <w:r w:rsidRPr="007E3D67">
        <w:t xml:space="preserve"> </w:t>
      </w:r>
    </w:p>
    <w:p w:rsidR="00EF44D8" w:rsidRPr="007E3D67" w:rsidRDefault="00EF44D8" w:rsidP="00EF44D8"/>
    <w:p w:rsidR="00EF44D8" w:rsidRPr="007E3D67" w:rsidRDefault="00EF44D8" w:rsidP="00EF44D8">
      <w:pPr>
        <w:jc w:val="center"/>
      </w:pPr>
    </w:p>
    <w:p w:rsidR="00EF44D8" w:rsidRPr="007E3D67" w:rsidRDefault="00EF44D8" w:rsidP="00EF44D8">
      <w:pPr>
        <w:jc w:val="center"/>
      </w:pPr>
      <w:r w:rsidRPr="007E3D67">
        <w:rPr>
          <w:b/>
          <w:bCs/>
          <w:sz w:val="28"/>
          <w:szCs w:val="28"/>
        </w:rPr>
        <w:t>Analýza úspěchů hospodářské politiky při snižování následků americké hypoteční krize na českou ekonomiku</w:t>
      </w:r>
    </w:p>
    <w:p w:rsidR="00775EC7" w:rsidRPr="007E3D67" w:rsidRDefault="00EF44D8" w:rsidP="00EF44D8">
      <w:pPr>
        <w:jc w:val="center"/>
        <w:rPr>
          <w:b/>
          <w:bCs/>
          <w:sz w:val="28"/>
          <w:szCs w:val="28"/>
        </w:rPr>
      </w:pPr>
      <w:proofErr w:type="spellStart"/>
      <w:r w:rsidRPr="007E3D67">
        <w:rPr>
          <w:b/>
          <w:bCs/>
          <w:sz w:val="28"/>
          <w:szCs w:val="28"/>
        </w:rPr>
        <w:t>Analysis</w:t>
      </w:r>
      <w:proofErr w:type="spellEnd"/>
      <w:r w:rsidRPr="007E3D67">
        <w:rPr>
          <w:b/>
          <w:bCs/>
          <w:sz w:val="28"/>
          <w:szCs w:val="28"/>
        </w:rPr>
        <w:t xml:space="preserve"> </w:t>
      </w:r>
      <w:proofErr w:type="spellStart"/>
      <w:r w:rsidRPr="007E3D67">
        <w:rPr>
          <w:b/>
          <w:bCs/>
          <w:sz w:val="28"/>
          <w:szCs w:val="28"/>
        </w:rPr>
        <w:t>of</w:t>
      </w:r>
      <w:proofErr w:type="spellEnd"/>
      <w:r w:rsidRPr="007E3D67">
        <w:rPr>
          <w:b/>
          <w:bCs/>
          <w:sz w:val="28"/>
          <w:szCs w:val="28"/>
        </w:rPr>
        <w:t xml:space="preserve"> </w:t>
      </w:r>
      <w:proofErr w:type="spellStart"/>
      <w:r w:rsidRPr="007E3D67">
        <w:rPr>
          <w:b/>
          <w:bCs/>
          <w:sz w:val="28"/>
          <w:szCs w:val="28"/>
        </w:rPr>
        <w:t>Economic</w:t>
      </w:r>
      <w:proofErr w:type="spellEnd"/>
      <w:r w:rsidRPr="007E3D67">
        <w:rPr>
          <w:b/>
          <w:bCs/>
          <w:sz w:val="28"/>
          <w:szCs w:val="28"/>
        </w:rPr>
        <w:t xml:space="preserve"> </w:t>
      </w:r>
      <w:proofErr w:type="spellStart"/>
      <w:r w:rsidRPr="007E3D67">
        <w:rPr>
          <w:b/>
          <w:bCs/>
          <w:sz w:val="28"/>
          <w:szCs w:val="28"/>
        </w:rPr>
        <w:t>Policy</w:t>
      </w:r>
      <w:proofErr w:type="spellEnd"/>
      <w:r w:rsidRPr="007E3D67">
        <w:rPr>
          <w:b/>
          <w:bCs/>
          <w:sz w:val="28"/>
          <w:szCs w:val="28"/>
        </w:rPr>
        <w:t xml:space="preserve"> </w:t>
      </w:r>
      <w:proofErr w:type="spellStart"/>
      <w:r w:rsidRPr="007E3D67">
        <w:rPr>
          <w:b/>
          <w:bCs/>
          <w:sz w:val="28"/>
          <w:szCs w:val="28"/>
        </w:rPr>
        <w:t>Successes</w:t>
      </w:r>
      <w:proofErr w:type="spellEnd"/>
      <w:r w:rsidRPr="007E3D67">
        <w:rPr>
          <w:b/>
          <w:bCs/>
          <w:sz w:val="28"/>
          <w:szCs w:val="28"/>
        </w:rPr>
        <w:t xml:space="preserve"> in </w:t>
      </w:r>
      <w:proofErr w:type="spellStart"/>
      <w:r w:rsidRPr="007E3D67">
        <w:rPr>
          <w:b/>
          <w:bCs/>
          <w:sz w:val="28"/>
          <w:szCs w:val="28"/>
        </w:rPr>
        <w:t>Reducing</w:t>
      </w:r>
      <w:proofErr w:type="spellEnd"/>
      <w:r w:rsidRPr="007E3D67">
        <w:rPr>
          <w:b/>
          <w:bCs/>
          <w:sz w:val="28"/>
          <w:szCs w:val="28"/>
        </w:rPr>
        <w:t xml:space="preserve"> </w:t>
      </w:r>
      <w:proofErr w:type="spellStart"/>
      <w:r w:rsidRPr="007E3D67">
        <w:rPr>
          <w:b/>
          <w:bCs/>
          <w:sz w:val="28"/>
          <w:szCs w:val="28"/>
        </w:rPr>
        <w:t>the</w:t>
      </w:r>
      <w:proofErr w:type="spellEnd"/>
      <w:r w:rsidRPr="007E3D67">
        <w:rPr>
          <w:b/>
          <w:bCs/>
          <w:sz w:val="28"/>
          <w:szCs w:val="28"/>
        </w:rPr>
        <w:t xml:space="preserve"> </w:t>
      </w:r>
      <w:proofErr w:type="spellStart"/>
      <w:r w:rsidRPr="007E3D67">
        <w:rPr>
          <w:b/>
          <w:bCs/>
          <w:sz w:val="28"/>
          <w:szCs w:val="28"/>
        </w:rPr>
        <w:t>Effects</w:t>
      </w:r>
      <w:proofErr w:type="spellEnd"/>
      <w:r w:rsidRPr="007E3D67">
        <w:rPr>
          <w:b/>
          <w:bCs/>
          <w:sz w:val="28"/>
          <w:szCs w:val="28"/>
        </w:rPr>
        <w:t xml:space="preserve"> </w:t>
      </w:r>
      <w:proofErr w:type="spellStart"/>
      <w:r w:rsidRPr="007E3D67">
        <w:rPr>
          <w:b/>
          <w:bCs/>
          <w:sz w:val="28"/>
          <w:szCs w:val="28"/>
        </w:rPr>
        <w:t>of</w:t>
      </w:r>
      <w:proofErr w:type="spellEnd"/>
      <w:r w:rsidRPr="007E3D67">
        <w:rPr>
          <w:b/>
          <w:bCs/>
          <w:sz w:val="28"/>
          <w:szCs w:val="28"/>
        </w:rPr>
        <w:t xml:space="preserve"> </w:t>
      </w:r>
      <w:proofErr w:type="spellStart"/>
      <w:r w:rsidRPr="007E3D67">
        <w:rPr>
          <w:b/>
          <w:bCs/>
          <w:sz w:val="28"/>
          <w:szCs w:val="28"/>
        </w:rPr>
        <w:t>the</w:t>
      </w:r>
      <w:proofErr w:type="spellEnd"/>
      <w:r w:rsidRPr="007E3D67">
        <w:rPr>
          <w:b/>
          <w:bCs/>
          <w:sz w:val="28"/>
          <w:szCs w:val="28"/>
        </w:rPr>
        <w:t xml:space="preserve"> </w:t>
      </w:r>
    </w:p>
    <w:p w:rsidR="00EF44D8" w:rsidRPr="007E3D67" w:rsidRDefault="00EF44D8" w:rsidP="00EF44D8">
      <w:pPr>
        <w:jc w:val="center"/>
      </w:pPr>
      <w:r w:rsidRPr="007E3D67">
        <w:rPr>
          <w:b/>
          <w:bCs/>
          <w:sz w:val="28"/>
          <w:szCs w:val="28"/>
        </w:rPr>
        <w:t xml:space="preserve">U. S. </w:t>
      </w:r>
      <w:proofErr w:type="spellStart"/>
      <w:r w:rsidRPr="007E3D67">
        <w:rPr>
          <w:b/>
          <w:bCs/>
          <w:sz w:val="28"/>
          <w:szCs w:val="28"/>
        </w:rPr>
        <w:t>Mortgage</w:t>
      </w:r>
      <w:proofErr w:type="spellEnd"/>
      <w:r w:rsidRPr="007E3D67">
        <w:rPr>
          <w:b/>
          <w:bCs/>
          <w:sz w:val="28"/>
          <w:szCs w:val="28"/>
        </w:rPr>
        <w:t xml:space="preserve"> </w:t>
      </w:r>
      <w:proofErr w:type="spellStart"/>
      <w:r w:rsidRPr="007E3D67">
        <w:rPr>
          <w:b/>
          <w:bCs/>
          <w:sz w:val="28"/>
          <w:szCs w:val="28"/>
        </w:rPr>
        <w:t>Crisis</w:t>
      </w:r>
      <w:proofErr w:type="spellEnd"/>
      <w:r w:rsidRPr="007E3D67">
        <w:rPr>
          <w:b/>
          <w:bCs/>
          <w:sz w:val="28"/>
          <w:szCs w:val="28"/>
        </w:rPr>
        <w:t xml:space="preserve"> on </w:t>
      </w:r>
      <w:proofErr w:type="spellStart"/>
      <w:r w:rsidRPr="007E3D67">
        <w:rPr>
          <w:b/>
          <w:bCs/>
          <w:sz w:val="28"/>
          <w:szCs w:val="28"/>
        </w:rPr>
        <w:t>the</w:t>
      </w:r>
      <w:proofErr w:type="spellEnd"/>
      <w:r w:rsidRPr="007E3D67">
        <w:rPr>
          <w:b/>
          <w:bCs/>
          <w:sz w:val="28"/>
          <w:szCs w:val="28"/>
        </w:rPr>
        <w:t xml:space="preserve"> </w:t>
      </w:r>
      <w:proofErr w:type="spellStart"/>
      <w:r w:rsidRPr="007E3D67">
        <w:rPr>
          <w:b/>
          <w:bCs/>
          <w:sz w:val="28"/>
          <w:szCs w:val="28"/>
        </w:rPr>
        <w:t>Czech</w:t>
      </w:r>
      <w:proofErr w:type="spellEnd"/>
      <w:r w:rsidRPr="007E3D67">
        <w:rPr>
          <w:b/>
          <w:bCs/>
          <w:sz w:val="28"/>
          <w:szCs w:val="28"/>
        </w:rPr>
        <w:t xml:space="preserve"> </w:t>
      </w:r>
      <w:proofErr w:type="spellStart"/>
      <w:r w:rsidRPr="007E3D67">
        <w:rPr>
          <w:b/>
          <w:bCs/>
          <w:sz w:val="28"/>
          <w:szCs w:val="28"/>
        </w:rPr>
        <w:t>Economy</w:t>
      </w:r>
      <w:proofErr w:type="spellEnd"/>
    </w:p>
    <w:p w:rsidR="00EF44D8" w:rsidRPr="007E3D67" w:rsidRDefault="00EF44D8" w:rsidP="00EF44D8">
      <w:pPr>
        <w:pStyle w:val="Nzevuniverzity"/>
      </w:pPr>
      <w:r w:rsidRPr="007E3D67">
        <w:t xml:space="preserve">DP – PE – KEK 2011 </w:t>
      </w:r>
      <w:r w:rsidR="00313AEF" w:rsidRPr="00313AEF">
        <w:t>63</w:t>
      </w:r>
    </w:p>
    <w:p w:rsidR="00EF44D8" w:rsidRPr="007E3D67" w:rsidRDefault="00EF44D8" w:rsidP="00EF44D8">
      <w:pPr>
        <w:pStyle w:val="Nzevuniverzity"/>
        <w:rPr>
          <w:color w:val="FF0000"/>
        </w:rPr>
      </w:pPr>
      <w:r w:rsidRPr="007E3D67">
        <w:t>Bc. Marek Šípoš</w:t>
      </w:r>
      <w:r w:rsidRPr="007E3D67">
        <w:rPr>
          <w:color w:val="FF0000"/>
        </w:rPr>
        <w:t xml:space="preserve"> </w:t>
      </w:r>
    </w:p>
    <w:p w:rsidR="00EF44D8" w:rsidRPr="007E3D67" w:rsidRDefault="00EF44D8" w:rsidP="00EF44D8">
      <w:r w:rsidRPr="007E3D67">
        <w:t xml:space="preserve"> </w:t>
      </w:r>
    </w:p>
    <w:p w:rsidR="00EF44D8" w:rsidRPr="007E3D67" w:rsidRDefault="00EF44D8" w:rsidP="00EF44D8"/>
    <w:p w:rsidR="00EF44D8" w:rsidRPr="007E3D67" w:rsidRDefault="00EF44D8" w:rsidP="00EF44D8"/>
    <w:p w:rsidR="00EF44D8" w:rsidRPr="007E3D67" w:rsidRDefault="00EF44D8" w:rsidP="00EF44D8"/>
    <w:p w:rsidR="00EF44D8" w:rsidRPr="007E3D67" w:rsidRDefault="00EF44D8" w:rsidP="00EF44D8"/>
    <w:p w:rsidR="00EF44D8" w:rsidRPr="007E3D67" w:rsidRDefault="00EF44D8" w:rsidP="00EF44D8"/>
    <w:p w:rsidR="00EF44D8" w:rsidRPr="007E3D67" w:rsidRDefault="00EF44D8" w:rsidP="00EF44D8"/>
    <w:p w:rsidR="00EF44D8" w:rsidRPr="007E3D67" w:rsidRDefault="00EF44D8" w:rsidP="00EF44D8"/>
    <w:p w:rsidR="00EF44D8" w:rsidRPr="007E3D67" w:rsidRDefault="00EF44D8" w:rsidP="00EF44D8"/>
    <w:p w:rsidR="00EF44D8" w:rsidRPr="007E3D67" w:rsidRDefault="00EF44D8" w:rsidP="00EF44D8"/>
    <w:p w:rsidR="00EF44D8" w:rsidRPr="007E3D67" w:rsidRDefault="00EF44D8" w:rsidP="00EF44D8"/>
    <w:p w:rsidR="00EF44D8" w:rsidRPr="007E3D67" w:rsidRDefault="00EF44D8" w:rsidP="00EF44D8"/>
    <w:p w:rsidR="00EF44D8" w:rsidRPr="007E3D67" w:rsidRDefault="00EF44D8" w:rsidP="00EF44D8">
      <w:r w:rsidRPr="007E3D67">
        <w:t xml:space="preserve"> </w:t>
      </w:r>
    </w:p>
    <w:p w:rsidR="00EF44D8" w:rsidRPr="007E3D67" w:rsidRDefault="00EF44D8" w:rsidP="00EF44D8">
      <w:pPr>
        <w:pStyle w:val="Studijnobor"/>
      </w:pPr>
      <w:r w:rsidRPr="007E3D67">
        <w:t xml:space="preserve">Vedoucí práce: </w:t>
      </w:r>
      <w:r w:rsidRPr="007E3D67">
        <w:tab/>
        <w:t xml:space="preserve">Ing. Mgr. Marek Skála, </w:t>
      </w:r>
      <w:proofErr w:type="spellStart"/>
      <w:r w:rsidRPr="007E3D67">
        <w:t>Ph.D</w:t>
      </w:r>
      <w:proofErr w:type="spellEnd"/>
      <w:r w:rsidRPr="007E3D67">
        <w:t>., katedra ekonomie</w:t>
      </w:r>
    </w:p>
    <w:p w:rsidR="00EF44D8" w:rsidRPr="007E3D67" w:rsidRDefault="00EF44D8" w:rsidP="00EF44D8">
      <w:pPr>
        <w:pStyle w:val="Studijnobor"/>
        <w:ind w:left="2127" w:hanging="2127"/>
      </w:pPr>
      <w:r w:rsidRPr="007E3D67">
        <w:t xml:space="preserve">Konzultant: </w:t>
      </w:r>
      <w:r w:rsidRPr="007E3D67">
        <w:tab/>
        <w:t xml:space="preserve">RNDr. Luděk </w:t>
      </w:r>
      <w:proofErr w:type="spellStart"/>
      <w:r w:rsidRPr="007E3D67">
        <w:t>Niedermayer</w:t>
      </w:r>
      <w:proofErr w:type="spellEnd"/>
      <w:r w:rsidRPr="007E3D67">
        <w:t xml:space="preserve">., ředitel oddělení </w:t>
      </w:r>
      <w:proofErr w:type="spellStart"/>
      <w:r w:rsidRPr="007E3D67">
        <w:t>consultingu</w:t>
      </w:r>
      <w:proofErr w:type="spellEnd"/>
      <w:r w:rsidRPr="007E3D67">
        <w:t xml:space="preserve">, Deloitte </w:t>
      </w:r>
      <w:proofErr w:type="spellStart"/>
      <w:r w:rsidRPr="007E3D67">
        <w:t>Advisory</w:t>
      </w:r>
      <w:proofErr w:type="spellEnd"/>
      <w:r w:rsidRPr="007E3D67">
        <w:t xml:space="preserve"> s.r.o.</w:t>
      </w:r>
    </w:p>
    <w:p w:rsidR="00EF44D8" w:rsidRPr="007E3D67" w:rsidRDefault="00EF44D8" w:rsidP="00EF44D8">
      <w:pPr>
        <w:pStyle w:val="Studijnobor"/>
      </w:pPr>
    </w:p>
    <w:p w:rsidR="00EF44D8" w:rsidRPr="007E3D67" w:rsidRDefault="00EF44D8" w:rsidP="00EF44D8">
      <w:pPr>
        <w:pStyle w:val="Studijnobor"/>
      </w:pPr>
      <w:r w:rsidRPr="007E3D67">
        <w:t xml:space="preserve">Počet stran: </w:t>
      </w:r>
      <w:r w:rsidRPr="007E3D67">
        <w:tab/>
      </w:r>
      <w:r w:rsidRPr="007E3D67">
        <w:tab/>
      </w:r>
      <w:r w:rsidRPr="00225241">
        <w:t>10</w:t>
      </w:r>
      <w:r w:rsidR="00225241" w:rsidRPr="00225241">
        <w:t>0</w:t>
      </w:r>
      <w:r w:rsidRPr="007E3D67">
        <w:tab/>
      </w:r>
      <w:r w:rsidRPr="007E3D67">
        <w:tab/>
      </w:r>
      <w:r w:rsidRPr="007E3D67">
        <w:tab/>
      </w:r>
      <w:r w:rsidRPr="007E3D67">
        <w:tab/>
        <w:t>Počet příloh:</w:t>
      </w:r>
      <w:r w:rsidRPr="007E3D67">
        <w:tab/>
      </w:r>
      <w:r w:rsidRPr="007E3D67">
        <w:tab/>
      </w:r>
      <w:r w:rsidR="0061273D">
        <w:t>6</w:t>
      </w:r>
    </w:p>
    <w:p w:rsidR="00EF44D8" w:rsidRPr="007E3D67" w:rsidRDefault="00EF44D8" w:rsidP="00EF44D8">
      <w:pPr>
        <w:pStyle w:val="Studijnobor"/>
      </w:pPr>
    </w:p>
    <w:p w:rsidR="00EF44D8" w:rsidRPr="007E3D67" w:rsidRDefault="00EF44D8" w:rsidP="00EF44D8">
      <w:pPr>
        <w:pStyle w:val="Studijnobor"/>
      </w:pPr>
      <w:r w:rsidRPr="007E3D67">
        <w:t>Datum odevzdání:</w:t>
      </w:r>
      <w:r w:rsidRPr="007E3D67">
        <w:tab/>
        <w:t>4. ledna 2011</w:t>
      </w:r>
    </w:p>
    <w:p w:rsidR="00EF44D8" w:rsidRPr="007E3D67" w:rsidRDefault="00EF44D8" w:rsidP="00EF44D8">
      <w:pPr>
        <w:pStyle w:val="Bodytext"/>
      </w:pPr>
    </w:p>
    <w:p w:rsidR="0066604C" w:rsidRDefault="0066604C" w:rsidP="00EF44D8">
      <w:pPr>
        <w:keepNext/>
        <w:keepLines/>
        <w:pageBreakBefore/>
        <w:spacing w:after="300"/>
        <w:jc w:val="left"/>
        <w:rPr>
          <w:rFonts w:eastAsia="Calibri"/>
          <w:b/>
          <w:sz w:val="28"/>
          <w:szCs w:val="22"/>
        </w:rPr>
      </w:pPr>
    </w:p>
    <w:p w:rsidR="0066604C" w:rsidRDefault="0066604C">
      <w:pPr>
        <w:spacing w:line="240" w:lineRule="auto"/>
        <w:jc w:val="left"/>
        <w:rPr>
          <w:rFonts w:eastAsia="Calibri"/>
          <w:b/>
          <w:sz w:val="28"/>
          <w:szCs w:val="22"/>
        </w:rPr>
      </w:pPr>
      <w:r>
        <w:rPr>
          <w:rFonts w:eastAsia="Calibri"/>
          <w:b/>
          <w:sz w:val="28"/>
          <w:szCs w:val="22"/>
        </w:rPr>
        <w:br w:type="page"/>
      </w:r>
    </w:p>
    <w:p w:rsidR="00EF44D8" w:rsidRPr="007E3D67" w:rsidRDefault="00EF44D8" w:rsidP="00EF44D8">
      <w:pPr>
        <w:keepNext/>
        <w:keepLines/>
        <w:pageBreakBefore/>
        <w:spacing w:after="300"/>
        <w:jc w:val="left"/>
        <w:rPr>
          <w:rFonts w:eastAsia="Calibri"/>
          <w:b/>
          <w:sz w:val="28"/>
          <w:szCs w:val="22"/>
        </w:rPr>
      </w:pPr>
      <w:r w:rsidRPr="007E3D67">
        <w:rPr>
          <w:rFonts w:eastAsia="Calibri"/>
          <w:b/>
          <w:sz w:val="28"/>
          <w:szCs w:val="22"/>
        </w:rPr>
        <w:lastRenderedPageBreak/>
        <w:t>Prohlášení</w:t>
      </w:r>
    </w:p>
    <w:p w:rsidR="00EF44D8" w:rsidRPr="007E3D67" w:rsidRDefault="00EF44D8" w:rsidP="00EF44D8">
      <w:pPr>
        <w:spacing w:after="300"/>
        <w:rPr>
          <w:rFonts w:eastAsia="Calibri"/>
          <w:szCs w:val="22"/>
        </w:rPr>
      </w:pPr>
      <w:r w:rsidRPr="007E3D67">
        <w:rPr>
          <w:rFonts w:eastAsia="Calibri"/>
          <w:szCs w:val="22"/>
        </w:rPr>
        <w:t>Byl jsem seznámen s tím, že na mou diplomovou práci se plně vztahuje zákon č. 121/2000 Sb. o právu autorském, zejména § 60 – školní dílo.</w:t>
      </w:r>
    </w:p>
    <w:p w:rsidR="00EF44D8" w:rsidRPr="007E3D67" w:rsidRDefault="00EF44D8" w:rsidP="00EF44D8">
      <w:pPr>
        <w:spacing w:after="300"/>
        <w:rPr>
          <w:rFonts w:eastAsia="Calibri"/>
          <w:szCs w:val="22"/>
        </w:rPr>
      </w:pPr>
      <w:r w:rsidRPr="007E3D67">
        <w:rPr>
          <w:rFonts w:eastAsia="Calibri"/>
          <w:szCs w:val="22"/>
        </w:rPr>
        <w:t>Beru na vědomí, že Technická univerzita v Liberci (TUL) nezasahuje do mých autorských práv užitím mé diplomové práce pro vnitřní potřebu TUL.</w:t>
      </w:r>
    </w:p>
    <w:p w:rsidR="00EF44D8" w:rsidRPr="007E3D67" w:rsidRDefault="00EF44D8" w:rsidP="00EF44D8">
      <w:pPr>
        <w:spacing w:after="300"/>
        <w:rPr>
          <w:rFonts w:eastAsia="Calibri"/>
          <w:szCs w:val="22"/>
        </w:rPr>
      </w:pPr>
      <w:r w:rsidRPr="007E3D67">
        <w:rPr>
          <w:rFonts w:eastAsia="Calibri"/>
          <w:szCs w:val="22"/>
        </w:rPr>
        <w:t>Užiji-li diplomovou práci nebo poskytnu-li licenci k jejímu využití, jsem si vědom povinnosti informovat o této skutečnosti TUL; v tomto případě má TUL právo ode mne požadovat úhradu nákladů, které vynaložila na vytvoření díla, až do jejich skutečné výše.</w:t>
      </w:r>
    </w:p>
    <w:p w:rsidR="00EF44D8" w:rsidRPr="007E3D67" w:rsidRDefault="00EF44D8" w:rsidP="00EF44D8">
      <w:pPr>
        <w:spacing w:after="300"/>
        <w:rPr>
          <w:rFonts w:eastAsia="Calibri"/>
          <w:szCs w:val="22"/>
        </w:rPr>
      </w:pPr>
      <w:r w:rsidRPr="007E3D67">
        <w:rPr>
          <w:rFonts w:eastAsia="Calibri"/>
          <w:szCs w:val="22"/>
        </w:rPr>
        <w:t xml:space="preserve">Diplomovou práci jsem vypracoval samostatně s použitím uvedené literatury a na základě konzultací s vedoucím diplomové práce a konzultantem. </w:t>
      </w:r>
    </w:p>
    <w:p w:rsidR="00EF44D8" w:rsidRPr="007E3D67" w:rsidRDefault="00EF44D8" w:rsidP="00EF44D8">
      <w:pPr>
        <w:pStyle w:val="Bodytext"/>
        <w:jc w:val="left"/>
        <w:rPr>
          <w:rFonts w:eastAsiaTheme="majorEastAsia"/>
          <w:kern w:val="32"/>
          <w:szCs w:val="32"/>
        </w:rPr>
      </w:pPr>
    </w:p>
    <w:p w:rsidR="00EF44D8" w:rsidRPr="007E3D67" w:rsidRDefault="00EF44D8" w:rsidP="00EF44D8">
      <w:pPr>
        <w:keepNext/>
        <w:keepLines/>
        <w:pageBreakBefore/>
        <w:spacing w:after="300"/>
        <w:jc w:val="left"/>
        <w:rPr>
          <w:rFonts w:eastAsia="Calibri"/>
          <w:b/>
          <w:sz w:val="28"/>
          <w:szCs w:val="22"/>
        </w:rPr>
      </w:pPr>
      <w:r w:rsidRPr="007E3D67">
        <w:rPr>
          <w:rFonts w:eastAsia="Calibri"/>
          <w:b/>
          <w:sz w:val="28"/>
          <w:szCs w:val="22"/>
        </w:rPr>
        <w:lastRenderedPageBreak/>
        <w:t>Anotace</w:t>
      </w:r>
    </w:p>
    <w:p w:rsidR="00EF44D8" w:rsidRPr="007E3D67" w:rsidRDefault="00EF44D8" w:rsidP="00EF44D8">
      <w:pPr>
        <w:spacing w:after="300"/>
        <w:rPr>
          <w:rFonts w:eastAsia="Calibri"/>
          <w:szCs w:val="22"/>
        </w:rPr>
      </w:pPr>
      <w:r w:rsidRPr="007E3D67">
        <w:rPr>
          <w:rFonts w:eastAsia="Calibri"/>
          <w:szCs w:val="22"/>
        </w:rPr>
        <w:t xml:space="preserve">Tato práce si klade za cíl zanalyzovat úspěchy hospodářské politiky při snižování následků americké hypoteční krize na českou ekonomiku. V první kapitole práce jsou uvedeny teoretické podklady pro různé přístupy k hospodářské politice, nástroje, cíle a odlišné způsoby řešení této politiky. Druhá kapitola práce se zabývá americkou hypoteční krizí, co bylo jejími iniciátory, jaký měla průběh a jaké přinesla dopady na ekonomiku USA. Následující kapitola popisuje dopady této krize na českou ekonomiku, na finanční a reálný sektor. V poslední kapitole obsahové části práce je uveden popis, společně s analýzou, opatření tvůrců a realizátorů hospodářské politiky v ČR. Součástí práce je množství grafických prvků, které byly především ve formě grafů využity jako podpůrný faktický materiál argumentace o počátku, průběhu, dopadu sledovaných jevů. </w:t>
      </w:r>
    </w:p>
    <w:p w:rsidR="00EF44D8" w:rsidRPr="007E3D67" w:rsidRDefault="00EF44D8" w:rsidP="00EF44D8">
      <w:pPr>
        <w:spacing w:after="300"/>
        <w:rPr>
          <w:rFonts w:eastAsia="Calibri"/>
          <w:szCs w:val="22"/>
        </w:rPr>
      </w:pPr>
    </w:p>
    <w:p w:rsidR="00EF44D8" w:rsidRPr="007E3D67" w:rsidRDefault="00EF44D8" w:rsidP="00EF44D8">
      <w:pPr>
        <w:spacing w:after="300"/>
        <w:rPr>
          <w:rFonts w:eastAsia="Calibri"/>
          <w:szCs w:val="22"/>
        </w:rPr>
      </w:pPr>
    </w:p>
    <w:p w:rsidR="00EF44D8" w:rsidRPr="007E3D67" w:rsidRDefault="00EF44D8" w:rsidP="00EF44D8">
      <w:pPr>
        <w:spacing w:after="300"/>
        <w:jc w:val="left"/>
        <w:rPr>
          <w:rFonts w:eastAsia="Calibri"/>
          <w:b/>
          <w:sz w:val="28"/>
          <w:szCs w:val="22"/>
        </w:rPr>
      </w:pPr>
      <w:r w:rsidRPr="007E3D67">
        <w:rPr>
          <w:rFonts w:eastAsia="Calibri"/>
          <w:b/>
          <w:sz w:val="28"/>
          <w:szCs w:val="22"/>
        </w:rPr>
        <w:t>Klíčová slova</w:t>
      </w:r>
    </w:p>
    <w:p w:rsidR="00EF44D8" w:rsidRPr="007E3D67" w:rsidRDefault="00EF44D8" w:rsidP="00EF44D8">
      <w:pPr>
        <w:spacing w:after="300"/>
        <w:rPr>
          <w:rFonts w:eastAsia="Calibri"/>
          <w:szCs w:val="22"/>
        </w:rPr>
      </w:pPr>
      <w:r w:rsidRPr="007E3D67">
        <w:rPr>
          <w:rFonts w:eastAsia="Calibri"/>
          <w:szCs w:val="22"/>
        </w:rPr>
        <w:t xml:space="preserve">Hypoteční krize, hospodářská politika, Národní ekonomická rada vlády, Národní protikrizový plán, nástroje hospodářské politiky, nositelé hospodářské politiky, opatření hospodářské politiky, </w:t>
      </w:r>
      <w:proofErr w:type="spellStart"/>
      <w:r w:rsidRPr="007E3D67">
        <w:rPr>
          <w:rFonts w:eastAsia="Calibri"/>
          <w:szCs w:val="22"/>
        </w:rPr>
        <w:t>šrotovné</w:t>
      </w:r>
      <w:proofErr w:type="spellEnd"/>
      <w:r w:rsidRPr="007E3D67">
        <w:rPr>
          <w:rFonts w:eastAsia="Calibri"/>
          <w:szCs w:val="22"/>
        </w:rPr>
        <w:t xml:space="preserve">. </w:t>
      </w:r>
    </w:p>
    <w:p w:rsidR="00EF44D8" w:rsidRPr="00C96F43" w:rsidRDefault="00EF44D8" w:rsidP="00EF44D8">
      <w:pPr>
        <w:spacing w:after="300"/>
        <w:jc w:val="left"/>
        <w:rPr>
          <w:rFonts w:eastAsia="Calibri"/>
          <w:b/>
          <w:sz w:val="28"/>
          <w:szCs w:val="28"/>
          <w:lang w:val="en-US"/>
        </w:rPr>
      </w:pPr>
      <w:r w:rsidRPr="007E3D67">
        <w:rPr>
          <w:rFonts w:eastAsia="Calibri"/>
          <w:b/>
          <w:sz w:val="28"/>
          <w:szCs w:val="22"/>
        </w:rPr>
        <w:br w:type="page"/>
      </w:r>
      <w:r w:rsidRPr="00C96F43">
        <w:rPr>
          <w:rFonts w:eastAsia="Calibri"/>
          <w:b/>
          <w:sz w:val="28"/>
          <w:szCs w:val="22"/>
          <w:lang w:val="en-US"/>
        </w:rPr>
        <w:lastRenderedPageBreak/>
        <w:t>Annotation</w:t>
      </w:r>
    </w:p>
    <w:p w:rsidR="00EF44D8" w:rsidRPr="00C96F43" w:rsidRDefault="00EF44D8" w:rsidP="00EF44D8">
      <w:pPr>
        <w:spacing w:after="300"/>
        <w:rPr>
          <w:rFonts w:eastAsia="Calibri"/>
          <w:szCs w:val="22"/>
          <w:lang w:val="en-US"/>
        </w:rPr>
      </w:pPr>
      <w:r w:rsidRPr="00C96F43">
        <w:rPr>
          <w:rFonts w:eastAsia="Calibri"/>
          <w:szCs w:val="22"/>
          <w:lang w:val="en-US"/>
        </w:rPr>
        <w:t xml:space="preserve">Purpose of this thesis is to analyze the success of economic policies to reduce the effects of </w:t>
      </w:r>
      <w:r w:rsidR="00C632CB" w:rsidRPr="00C96F43">
        <w:rPr>
          <w:rFonts w:eastAsia="Calibri"/>
          <w:szCs w:val="22"/>
          <w:lang w:val="en-US"/>
        </w:rPr>
        <w:t>the U. S.</w:t>
      </w:r>
      <w:r w:rsidRPr="00C96F43">
        <w:rPr>
          <w:rFonts w:eastAsia="Calibri"/>
          <w:szCs w:val="22"/>
          <w:lang w:val="en-US"/>
        </w:rPr>
        <w:t xml:space="preserve"> mortgage crisis on the Czech economy. The first chapter is providing a theoretical basis for different approaches to economic policy, instruments, objectives and methods of addressing this policy. The second chapter focus on the U.S. mortgage crisis, what were its initiators, what was its progression and what was the impact to the U.S. economy. The charter that follows describes the impact of the crisis on the Czech economy, on both the financial and the real sector. The last chapter of the content section contains description, along with analysis, of the action planning and executing economic policy in the Czech </w:t>
      </w:r>
      <w:proofErr w:type="gramStart"/>
      <w:r w:rsidRPr="00C96F43">
        <w:rPr>
          <w:rFonts w:eastAsia="Calibri"/>
          <w:szCs w:val="22"/>
          <w:lang w:val="en-US"/>
        </w:rPr>
        <w:t>republic</w:t>
      </w:r>
      <w:proofErr w:type="gramEnd"/>
      <w:r w:rsidRPr="00C96F43">
        <w:rPr>
          <w:rFonts w:eastAsia="Calibri"/>
          <w:szCs w:val="22"/>
          <w:lang w:val="en-US"/>
        </w:rPr>
        <w:t>. The thesis contents high amount of graphics, which were mainly in the form of graphs used as supporting material and factual arguments for the beginning, progress and impact to the observed phenomena.</w:t>
      </w:r>
    </w:p>
    <w:p w:rsidR="00EF44D8" w:rsidRPr="007E3D67" w:rsidRDefault="00EF44D8" w:rsidP="00EF44D8">
      <w:pPr>
        <w:spacing w:after="300"/>
        <w:rPr>
          <w:rFonts w:eastAsia="Calibri"/>
          <w:szCs w:val="22"/>
        </w:rPr>
      </w:pPr>
    </w:p>
    <w:p w:rsidR="00EF44D8" w:rsidRPr="007E3D67" w:rsidRDefault="00EF44D8" w:rsidP="00EF44D8">
      <w:pPr>
        <w:spacing w:after="300"/>
        <w:rPr>
          <w:rFonts w:eastAsia="Calibri"/>
          <w:szCs w:val="22"/>
        </w:rPr>
      </w:pPr>
    </w:p>
    <w:p w:rsidR="00EF44D8" w:rsidRPr="00C96F43" w:rsidRDefault="00EF44D8" w:rsidP="00EF44D8">
      <w:pPr>
        <w:spacing w:after="300"/>
        <w:jc w:val="left"/>
        <w:rPr>
          <w:rFonts w:eastAsia="Calibri"/>
          <w:b/>
          <w:sz w:val="28"/>
          <w:szCs w:val="22"/>
          <w:lang w:val="en-US"/>
        </w:rPr>
      </w:pPr>
      <w:r w:rsidRPr="00C96F43">
        <w:rPr>
          <w:rFonts w:eastAsia="Calibri"/>
          <w:b/>
          <w:sz w:val="28"/>
          <w:szCs w:val="22"/>
          <w:lang w:val="en-US"/>
        </w:rPr>
        <w:t>Key Words</w:t>
      </w:r>
    </w:p>
    <w:p w:rsidR="00EF44D8" w:rsidRPr="00C96F43" w:rsidRDefault="00EF44D8" w:rsidP="00EF44D8">
      <w:pPr>
        <w:spacing w:after="300"/>
        <w:rPr>
          <w:rFonts w:eastAsia="Calibri"/>
          <w:szCs w:val="22"/>
          <w:lang w:val="en-US"/>
        </w:rPr>
      </w:pPr>
      <w:r w:rsidRPr="00C96F43">
        <w:rPr>
          <w:rFonts w:eastAsia="Calibri"/>
          <w:szCs w:val="22"/>
          <w:lang w:val="en-US"/>
        </w:rPr>
        <w:t>Car scrap, economic policy, economic policy carriers, economic policy instruments, economic policy precautions, the Government's National Economic Council, the mortgage crisis, the National Crisis Management Plan.</w:t>
      </w:r>
    </w:p>
    <w:p w:rsidR="00EF44D8" w:rsidRPr="007E3D67" w:rsidRDefault="00EF44D8" w:rsidP="00EF44D8">
      <w:pPr>
        <w:spacing w:after="300"/>
        <w:rPr>
          <w:rFonts w:eastAsia="Calibri"/>
          <w:szCs w:val="22"/>
        </w:rPr>
      </w:pPr>
    </w:p>
    <w:p w:rsidR="00EF44D8" w:rsidRPr="007E3D67" w:rsidRDefault="00EF44D8" w:rsidP="00EF44D8">
      <w:pPr>
        <w:spacing w:after="300"/>
        <w:rPr>
          <w:rFonts w:eastAsia="Calibri"/>
          <w:szCs w:val="22"/>
        </w:rPr>
      </w:pPr>
    </w:p>
    <w:p w:rsidR="00EF44D8" w:rsidRPr="007E3D67" w:rsidRDefault="00EF44D8" w:rsidP="00EF44D8">
      <w:pPr>
        <w:spacing w:after="300"/>
        <w:rPr>
          <w:rFonts w:eastAsia="Calibri"/>
          <w:szCs w:val="22"/>
        </w:rPr>
      </w:pPr>
    </w:p>
    <w:p w:rsidR="00EF44D8" w:rsidRPr="007E3D67" w:rsidRDefault="00EF44D8" w:rsidP="00EF44D8">
      <w:pPr>
        <w:spacing w:after="300"/>
        <w:rPr>
          <w:rFonts w:eastAsia="Calibri"/>
          <w:szCs w:val="22"/>
        </w:rPr>
      </w:pPr>
    </w:p>
    <w:sdt>
      <w:sdtPr>
        <w:rPr>
          <w:rFonts w:eastAsia="Times New Roman" w:cs="Times New Roman"/>
          <w:b w:val="0"/>
          <w:bCs w:val="0"/>
          <w:color w:val="auto"/>
          <w:sz w:val="24"/>
          <w:szCs w:val="24"/>
          <w:lang w:val="cs-CZ"/>
        </w:rPr>
        <w:id w:val="268566360"/>
        <w:docPartObj>
          <w:docPartGallery w:val="Table of Contents"/>
          <w:docPartUnique/>
        </w:docPartObj>
      </w:sdtPr>
      <w:sdtContent>
        <w:p w:rsidR="00225241" w:rsidRDefault="00EF44D8" w:rsidP="003F60AB">
          <w:pPr>
            <w:pStyle w:val="Nadpisobsahu"/>
            <w:rPr>
              <w:noProof/>
            </w:rPr>
          </w:pPr>
          <w:r w:rsidRPr="007E3D67">
            <w:rPr>
              <w:b w:val="0"/>
              <w:color w:val="auto"/>
              <w:lang w:val="cs-CZ"/>
            </w:rPr>
            <w:t>Obsah</w:t>
          </w:r>
          <w:r w:rsidR="00D82A9D" w:rsidRPr="00D82A9D">
            <w:fldChar w:fldCharType="begin"/>
          </w:r>
          <w:r w:rsidRPr="007E3D67">
            <w:instrText xml:space="preserve"> TOC \o "1-3" \h \z \u </w:instrText>
          </w:r>
          <w:r w:rsidR="00D82A9D" w:rsidRPr="00D82A9D">
            <w:fldChar w:fldCharType="separate"/>
          </w:r>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202" w:history="1">
            <w:r w:rsidR="00225241" w:rsidRPr="00537B61">
              <w:rPr>
                <w:rStyle w:val="Hypertextovodkaz"/>
                <w:noProof/>
              </w:rPr>
              <w:t>Úvod</w:t>
            </w:r>
            <w:r w:rsidR="00225241">
              <w:rPr>
                <w:noProof/>
                <w:webHidden/>
              </w:rPr>
              <w:tab/>
            </w:r>
            <w:r>
              <w:rPr>
                <w:noProof/>
                <w:webHidden/>
              </w:rPr>
              <w:fldChar w:fldCharType="begin"/>
            </w:r>
            <w:r w:rsidR="00225241">
              <w:rPr>
                <w:noProof/>
                <w:webHidden/>
              </w:rPr>
              <w:instrText xml:space="preserve"> PAGEREF _Toc279696202 \h </w:instrText>
            </w:r>
            <w:r>
              <w:rPr>
                <w:noProof/>
                <w:webHidden/>
              </w:rPr>
            </w:r>
            <w:r>
              <w:rPr>
                <w:noProof/>
                <w:webHidden/>
              </w:rPr>
              <w:fldChar w:fldCharType="separate"/>
            </w:r>
            <w:r w:rsidR="00093386">
              <w:rPr>
                <w:noProof/>
                <w:webHidden/>
              </w:rPr>
              <w:t>12</w:t>
            </w:r>
            <w:r>
              <w:rPr>
                <w:noProof/>
                <w:webHidden/>
              </w:rPr>
              <w:fldChar w:fldCharType="end"/>
            </w:r>
          </w:hyperlink>
        </w:p>
        <w:p w:rsidR="00225241" w:rsidRDefault="00D82A9D">
          <w:pPr>
            <w:pStyle w:val="Obsah1"/>
            <w:tabs>
              <w:tab w:val="left" w:pos="480"/>
              <w:tab w:val="right" w:leader="dot" w:pos="8777"/>
            </w:tabs>
            <w:rPr>
              <w:rFonts w:asciiTheme="minorHAnsi" w:eastAsiaTheme="minorEastAsia" w:hAnsiTheme="minorHAnsi" w:cstheme="minorBidi"/>
              <w:noProof/>
              <w:sz w:val="22"/>
              <w:szCs w:val="22"/>
              <w:lang w:eastAsia="cs-CZ"/>
            </w:rPr>
          </w:pPr>
          <w:hyperlink w:anchor="_Toc279696203" w:history="1">
            <w:r w:rsidR="00225241" w:rsidRPr="00537B61">
              <w:rPr>
                <w:rStyle w:val="Hypertextovodkaz"/>
                <w:noProof/>
              </w:rPr>
              <w:t>1</w:t>
            </w:r>
            <w:r w:rsidR="00225241">
              <w:rPr>
                <w:rFonts w:asciiTheme="minorHAnsi" w:eastAsiaTheme="minorEastAsia" w:hAnsiTheme="minorHAnsi" w:cstheme="minorBidi"/>
                <w:noProof/>
                <w:sz w:val="22"/>
                <w:szCs w:val="22"/>
                <w:lang w:eastAsia="cs-CZ"/>
              </w:rPr>
              <w:tab/>
            </w:r>
            <w:r w:rsidR="00225241" w:rsidRPr="00537B61">
              <w:rPr>
                <w:rStyle w:val="Hypertextovodkaz"/>
                <w:noProof/>
              </w:rPr>
              <w:t>Hospodářská politika</w:t>
            </w:r>
            <w:r w:rsidR="00225241">
              <w:rPr>
                <w:noProof/>
                <w:webHidden/>
              </w:rPr>
              <w:tab/>
            </w:r>
            <w:r>
              <w:rPr>
                <w:noProof/>
                <w:webHidden/>
              </w:rPr>
              <w:fldChar w:fldCharType="begin"/>
            </w:r>
            <w:r w:rsidR="00225241">
              <w:rPr>
                <w:noProof/>
                <w:webHidden/>
              </w:rPr>
              <w:instrText xml:space="preserve"> PAGEREF _Toc279696203 \h </w:instrText>
            </w:r>
            <w:r>
              <w:rPr>
                <w:noProof/>
                <w:webHidden/>
              </w:rPr>
            </w:r>
            <w:r>
              <w:rPr>
                <w:noProof/>
                <w:webHidden/>
              </w:rPr>
              <w:fldChar w:fldCharType="separate"/>
            </w:r>
            <w:r w:rsidR="00093386">
              <w:rPr>
                <w:noProof/>
                <w:webHidden/>
              </w:rPr>
              <w:t>14</w:t>
            </w:r>
            <w:r>
              <w:rPr>
                <w:noProof/>
                <w:webHidden/>
              </w:rPr>
              <w:fldChar w:fldCharType="end"/>
            </w:r>
          </w:hyperlink>
        </w:p>
        <w:p w:rsidR="00225241" w:rsidRDefault="00D82A9D">
          <w:pPr>
            <w:pStyle w:val="Obsah2"/>
            <w:tabs>
              <w:tab w:val="left" w:pos="880"/>
              <w:tab w:val="right" w:leader="dot" w:pos="8777"/>
            </w:tabs>
            <w:rPr>
              <w:rFonts w:asciiTheme="minorHAnsi" w:eastAsiaTheme="minorEastAsia" w:hAnsiTheme="minorHAnsi" w:cstheme="minorBidi"/>
              <w:noProof/>
              <w:sz w:val="22"/>
              <w:szCs w:val="22"/>
              <w:lang w:eastAsia="cs-CZ"/>
            </w:rPr>
          </w:pPr>
          <w:hyperlink w:anchor="_Toc279696204" w:history="1">
            <w:r w:rsidR="00225241" w:rsidRPr="00537B61">
              <w:rPr>
                <w:rStyle w:val="Hypertextovodkaz"/>
                <w:noProof/>
              </w:rPr>
              <w:t>1.1</w:t>
            </w:r>
            <w:r w:rsidR="00225241">
              <w:rPr>
                <w:rFonts w:asciiTheme="minorHAnsi" w:eastAsiaTheme="minorEastAsia" w:hAnsiTheme="minorHAnsi" w:cstheme="minorBidi"/>
                <w:noProof/>
                <w:sz w:val="22"/>
                <w:szCs w:val="22"/>
                <w:lang w:eastAsia="cs-CZ"/>
              </w:rPr>
              <w:tab/>
            </w:r>
            <w:r w:rsidR="00225241" w:rsidRPr="00537B61">
              <w:rPr>
                <w:rStyle w:val="Hypertextovodkaz"/>
                <w:noProof/>
              </w:rPr>
              <w:t>Teorie hospodářské politiky</w:t>
            </w:r>
            <w:r w:rsidR="00225241">
              <w:rPr>
                <w:noProof/>
                <w:webHidden/>
              </w:rPr>
              <w:tab/>
            </w:r>
            <w:r>
              <w:rPr>
                <w:noProof/>
                <w:webHidden/>
              </w:rPr>
              <w:fldChar w:fldCharType="begin"/>
            </w:r>
            <w:r w:rsidR="00225241">
              <w:rPr>
                <w:noProof/>
                <w:webHidden/>
              </w:rPr>
              <w:instrText xml:space="preserve"> PAGEREF _Toc279696204 \h </w:instrText>
            </w:r>
            <w:r>
              <w:rPr>
                <w:noProof/>
                <w:webHidden/>
              </w:rPr>
            </w:r>
            <w:r>
              <w:rPr>
                <w:noProof/>
                <w:webHidden/>
              </w:rPr>
              <w:fldChar w:fldCharType="separate"/>
            </w:r>
            <w:r w:rsidR="00093386">
              <w:rPr>
                <w:noProof/>
                <w:webHidden/>
              </w:rPr>
              <w:t>14</w:t>
            </w:r>
            <w:r>
              <w:rPr>
                <w:noProof/>
                <w:webHidden/>
              </w:rPr>
              <w:fldChar w:fldCharType="end"/>
            </w:r>
          </w:hyperlink>
        </w:p>
        <w:p w:rsidR="00225241" w:rsidRDefault="00D82A9D">
          <w:pPr>
            <w:pStyle w:val="Obsah3"/>
            <w:tabs>
              <w:tab w:val="left" w:pos="1320"/>
              <w:tab w:val="right" w:leader="dot" w:pos="8777"/>
            </w:tabs>
            <w:rPr>
              <w:rFonts w:asciiTheme="minorHAnsi" w:eastAsiaTheme="minorEastAsia" w:hAnsiTheme="minorHAnsi" w:cstheme="minorBidi"/>
              <w:noProof/>
              <w:sz w:val="22"/>
              <w:szCs w:val="22"/>
              <w:lang w:eastAsia="cs-CZ"/>
            </w:rPr>
          </w:pPr>
          <w:hyperlink w:anchor="_Toc279696205" w:history="1">
            <w:r w:rsidR="00225241" w:rsidRPr="00537B61">
              <w:rPr>
                <w:rStyle w:val="Hypertextovodkaz"/>
                <w:noProof/>
              </w:rPr>
              <w:t>1.1.1</w:t>
            </w:r>
            <w:r w:rsidR="00225241">
              <w:rPr>
                <w:rFonts w:asciiTheme="minorHAnsi" w:eastAsiaTheme="minorEastAsia" w:hAnsiTheme="minorHAnsi" w:cstheme="minorBidi"/>
                <w:noProof/>
                <w:sz w:val="22"/>
                <w:szCs w:val="22"/>
                <w:lang w:eastAsia="cs-CZ"/>
              </w:rPr>
              <w:tab/>
            </w:r>
            <w:r w:rsidR="00225241" w:rsidRPr="00537B61">
              <w:rPr>
                <w:rStyle w:val="Hypertextovodkaz"/>
                <w:noProof/>
              </w:rPr>
              <w:t>Institucionální prostředí hospodářské politiky</w:t>
            </w:r>
            <w:r w:rsidR="00225241">
              <w:rPr>
                <w:noProof/>
                <w:webHidden/>
              </w:rPr>
              <w:tab/>
            </w:r>
            <w:r>
              <w:rPr>
                <w:noProof/>
                <w:webHidden/>
              </w:rPr>
              <w:fldChar w:fldCharType="begin"/>
            </w:r>
            <w:r w:rsidR="00225241">
              <w:rPr>
                <w:noProof/>
                <w:webHidden/>
              </w:rPr>
              <w:instrText xml:space="preserve"> PAGEREF _Toc279696205 \h </w:instrText>
            </w:r>
            <w:r>
              <w:rPr>
                <w:noProof/>
                <w:webHidden/>
              </w:rPr>
            </w:r>
            <w:r>
              <w:rPr>
                <w:noProof/>
                <w:webHidden/>
              </w:rPr>
              <w:fldChar w:fldCharType="separate"/>
            </w:r>
            <w:r w:rsidR="00093386">
              <w:rPr>
                <w:noProof/>
                <w:webHidden/>
              </w:rPr>
              <w:t>14</w:t>
            </w:r>
            <w:r>
              <w:rPr>
                <w:noProof/>
                <w:webHidden/>
              </w:rPr>
              <w:fldChar w:fldCharType="end"/>
            </w:r>
          </w:hyperlink>
        </w:p>
        <w:p w:rsidR="00225241" w:rsidRDefault="00D82A9D">
          <w:pPr>
            <w:pStyle w:val="Obsah3"/>
            <w:tabs>
              <w:tab w:val="left" w:pos="1320"/>
              <w:tab w:val="right" w:leader="dot" w:pos="8777"/>
            </w:tabs>
            <w:rPr>
              <w:rFonts w:asciiTheme="minorHAnsi" w:eastAsiaTheme="minorEastAsia" w:hAnsiTheme="minorHAnsi" w:cstheme="minorBidi"/>
              <w:noProof/>
              <w:sz w:val="22"/>
              <w:szCs w:val="22"/>
              <w:lang w:eastAsia="cs-CZ"/>
            </w:rPr>
          </w:pPr>
          <w:hyperlink w:anchor="_Toc279696206" w:history="1">
            <w:r w:rsidR="00225241" w:rsidRPr="00537B61">
              <w:rPr>
                <w:rStyle w:val="Hypertextovodkaz"/>
                <w:noProof/>
              </w:rPr>
              <w:t>1.1.2</w:t>
            </w:r>
            <w:r w:rsidR="00225241">
              <w:rPr>
                <w:rFonts w:asciiTheme="minorHAnsi" w:eastAsiaTheme="minorEastAsia" w:hAnsiTheme="minorHAnsi" w:cstheme="minorBidi"/>
                <w:noProof/>
                <w:sz w:val="22"/>
                <w:szCs w:val="22"/>
                <w:lang w:eastAsia="cs-CZ"/>
              </w:rPr>
              <w:tab/>
            </w:r>
            <w:r w:rsidR="00225241" w:rsidRPr="00537B61">
              <w:rPr>
                <w:rStyle w:val="Hypertextovodkaz"/>
                <w:noProof/>
              </w:rPr>
              <w:t>Nositelé hospodářské politiky</w:t>
            </w:r>
            <w:r w:rsidR="00225241">
              <w:rPr>
                <w:noProof/>
                <w:webHidden/>
              </w:rPr>
              <w:tab/>
            </w:r>
            <w:r>
              <w:rPr>
                <w:noProof/>
                <w:webHidden/>
              </w:rPr>
              <w:fldChar w:fldCharType="begin"/>
            </w:r>
            <w:r w:rsidR="00225241">
              <w:rPr>
                <w:noProof/>
                <w:webHidden/>
              </w:rPr>
              <w:instrText xml:space="preserve"> PAGEREF _Toc279696206 \h </w:instrText>
            </w:r>
            <w:r>
              <w:rPr>
                <w:noProof/>
                <w:webHidden/>
              </w:rPr>
            </w:r>
            <w:r>
              <w:rPr>
                <w:noProof/>
                <w:webHidden/>
              </w:rPr>
              <w:fldChar w:fldCharType="separate"/>
            </w:r>
            <w:r w:rsidR="00093386">
              <w:rPr>
                <w:noProof/>
                <w:webHidden/>
              </w:rPr>
              <w:t>18</w:t>
            </w:r>
            <w:r>
              <w:rPr>
                <w:noProof/>
                <w:webHidden/>
              </w:rPr>
              <w:fldChar w:fldCharType="end"/>
            </w:r>
          </w:hyperlink>
        </w:p>
        <w:p w:rsidR="00225241" w:rsidRDefault="00D82A9D">
          <w:pPr>
            <w:pStyle w:val="Obsah3"/>
            <w:tabs>
              <w:tab w:val="left" w:pos="1320"/>
              <w:tab w:val="right" w:leader="dot" w:pos="8777"/>
            </w:tabs>
            <w:rPr>
              <w:rFonts w:asciiTheme="minorHAnsi" w:eastAsiaTheme="minorEastAsia" w:hAnsiTheme="minorHAnsi" w:cstheme="minorBidi"/>
              <w:noProof/>
              <w:sz w:val="22"/>
              <w:szCs w:val="22"/>
              <w:lang w:eastAsia="cs-CZ"/>
            </w:rPr>
          </w:pPr>
          <w:hyperlink w:anchor="_Toc279696207" w:history="1">
            <w:r w:rsidR="00225241" w:rsidRPr="00537B61">
              <w:rPr>
                <w:rStyle w:val="Hypertextovodkaz"/>
                <w:noProof/>
              </w:rPr>
              <w:t>1.1.3</w:t>
            </w:r>
            <w:r w:rsidR="00225241">
              <w:rPr>
                <w:rFonts w:asciiTheme="minorHAnsi" w:eastAsiaTheme="minorEastAsia" w:hAnsiTheme="minorHAnsi" w:cstheme="minorBidi"/>
                <w:noProof/>
                <w:sz w:val="22"/>
                <w:szCs w:val="22"/>
                <w:lang w:eastAsia="cs-CZ"/>
              </w:rPr>
              <w:tab/>
            </w:r>
            <w:r w:rsidR="00225241" w:rsidRPr="00537B61">
              <w:rPr>
                <w:rStyle w:val="Hypertextovodkaz"/>
                <w:noProof/>
              </w:rPr>
              <w:t>Nástroje hospodářské politiky</w:t>
            </w:r>
            <w:r w:rsidR="00225241">
              <w:rPr>
                <w:noProof/>
                <w:webHidden/>
              </w:rPr>
              <w:tab/>
            </w:r>
            <w:r>
              <w:rPr>
                <w:noProof/>
                <w:webHidden/>
              </w:rPr>
              <w:fldChar w:fldCharType="begin"/>
            </w:r>
            <w:r w:rsidR="00225241">
              <w:rPr>
                <w:noProof/>
                <w:webHidden/>
              </w:rPr>
              <w:instrText xml:space="preserve"> PAGEREF _Toc279696207 \h </w:instrText>
            </w:r>
            <w:r>
              <w:rPr>
                <w:noProof/>
                <w:webHidden/>
              </w:rPr>
            </w:r>
            <w:r>
              <w:rPr>
                <w:noProof/>
                <w:webHidden/>
              </w:rPr>
              <w:fldChar w:fldCharType="separate"/>
            </w:r>
            <w:r w:rsidR="00093386">
              <w:rPr>
                <w:noProof/>
                <w:webHidden/>
              </w:rPr>
              <w:t>18</w:t>
            </w:r>
            <w:r>
              <w:rPr>
                <w:noProof/>
                <w:webHidden/>
              </w:rPr>
              <w:fldChar w:fldCharType="end"/>
            </w:r>
          </w:hyperlink>
        </w:p>
        <w:p w:rsidR="00225241" w:rsidRDefault="00D82A9D">
          <w:pPr>
            <w:pStyle w:val="Obsah3"/>
            <w:tabs>
              <w:tab w:val="left" w:pos="1320"/>
              <w:tab w:val="right" w:leader="dot" w:pos="8777"/>
            </w:tabs>
            <w:rPr>
              <w:rFonts w:asciiTheme="minorHAnsi" w:eastAsiaTheme="minorEastAsia" w:hAnsiTheme="minorHAnsi" w:cstheme="minorBidi"/>
              <w:noProof/>
              <w:sz w:val="22"/>
              <w:szCs w:val="22"/>
              <w:lang w:eastAsia="cs-CZ"/>
            </w:rPr>
          </w:pPr>
          <w:hyperlink w:anchor="_Toc279696208" w:history="1">
            <w:r w:rsidR="00225241" w:rsidRPr="00537B61">
              <w:rPr>
                <w:rStyle w:val="Hypertextovodkaz"/>
                <w:noProof/>
              </w:rPr>
              <w:t>1.1.4</w:t>
            </w:r>
            <w:r w:rsidR="00225241">
              <w:rPr>
                <w:rFonts w:asciiTheme="minorHAnsi" w:eastAsiaTheme="minorEastAsia" w:hAnsiTheme="minorHAnsi" w:cstheme="minorBidi"/>
                <w:noProof/>
                <w:sz w:val="22"/>
                <w:szCs w:val="22"/>
                <w:lang w:eastAsia="cs-CZ"/>
              </w:rPr>
              <w:tab/>
            </w:r>
            <w:r w:rsidR="00225241" w:rsidRPr="00537B61">
              <w:rPr>
                <w:rStyle w:val="Hypertextovodkaz"/>
                <w:noProof/>
              </w:rPr>
              <w:t>Konformita nástrojů a cílů</w:t>
            </w:r>
            <w:r w:rsidR="00225241">
              <w:rPr>
                <w:noProof/>
                <w:webHidden/>
              </w:rPr>
              <w:tab/>
            </w:r>
            <w:r>
              <w:rPr>
                <w:noProof/>
                <w:webHidden/>
              </w:rPr>
              <w:fldChar w:fldCharType="begin"/>
            </w:r>
            <w:r w:rsidR="00225241">
              <w:rPr>
                <w:noProof/>
                <w:webHidden/>
              </w:rPr>
              <w:instrText xml:space="preserve"> PAGEREF _Toc279696208 \h </w:instrText>
            </w:r>
            <w:r>
              <w:rPr>
                <w:noProof/>
                <w:webHidden/>
              </w:rPr>
            </w:r>
            <w:r>
              <w:rPr>
                <w:noProof/>
                <w:webHidden/>
              </w:rPr>
              <w:fldChar w:fldCharType="separate"/>
            </w:r>
            <w:r w:rsidR="00093386">
              <w:rPr>
                <w:noProof/>
                <w:webHidden/>
              </w:rPr>
              <w:t>20</w:t>
            </w:r>
            <w:r>
              <w:rPr>
                <w:noProof/>
                <w:webHidden/>
              </w:rPr>
              <w:fldChar w:fldCharType="end"/>
            </w:r>
          </w:hyperlink>
        </w:p>
        <w:p w:rsidR="00225241" w:rsidRDefault="00D82A9D">
          <w:pPr>
            <w:pStyle w:val="Obsah3"/>
            <w:tabs>
              <w:tab w:val="left" w:pos="1320"/>
              <w:tab w:val="right" w:leader="dot" w:pos="8777"/>
            </w:tabs>
            <w:rPr>
              <w:rFonts w:asciiTheme="minorHAnsi" w:eastAsiaTheme="minorEastAsia" w:hAnsiTheme="minorHAnsi" w:cstheme="minorBidi"/>
              <w:noProof/>
              <w:sz w:val="22"/>
              <w:szCs w:val="22"/>
              <w:lang w:eastAsia="cs-CZ"/>
            </w:rPr>
          </w:pPr>
          <w:hyperlink w:anchor="_Toc279696209" w:history="1">
            <w:r w:rsidR="00225241" w:rsidRPr="00537B61">
              <w:rPr>
                <w:rStyle w:val="Hypertextovodkaz"/>
                <w:noProof/>
              </w:rPr>
              <w:t>1.1.5</w:t>
            </w:r>
            <w:r w:rsidR="00225241">
              <w:rPr>
                <w:rFonts w:asciiTheme="minorHAnsi" w:eastAsiaTheme="minorEastAsia" w:hAnsiTheme="minorHAnsi" w:cstheme="minorBidi"/>
                <w:noProof/>
                <w:sz w:val="22"/>
                <w:szCs w:val="22"/>
                <w:lang w:eastAsia="cs-CZ"/>
              </w:rPr>
              <w:tab/>
            </w:r>
            <w:r w:rsidR="00225241" w:rsidRPr="00537B61">
              <w:rPr>
                <w:rStyle w:val="Hypertextovodkaz"/>
                <w:noProof/>
              </w:rPr>
              <w:t>Fáze obecného modelu řízení hospodářské politiky a časová zpoždění</w:t>
            </w:r>
            <w:r w:rsidR="00225241">
              <w:rPr>
                <w:noProof/>
                <w:webHidden/>
              </w:rPr>
              <w:tab/>
            </w:r>
            <w:r>
              <w:rPr>
                <w:noProof/>
                <w:webHidden/>
              </w:rPr>
              <w:fldChar w:fldCharType="begin"/>
            </w:r>
            <w:r w:rsidR="00225241">
              <w:rPr>
                <w:noProof/>
                <w:webHidden/>
              </w:rPr>
              <w:instrText xml:space="preserve"> PAGEREF _Toc279696209 \h </w:instrText>
            </w:r>
            <w:r>
              <w:rPr>
                <w:noProof/>
                <w:webHidden/>
              </w:rPr>
            </w:r>
            <w:r>
              <w:rPr>
                <w:noProof/>
                <w:webHidden/>
              </w:rPr>
              <w:fldChar w:fldCharType="separate"/>
            </w:r>
            <w:r w:rsidR="00093386">
              <w:rPr>
                <w:noProof/>
                <w:webHidden/>
              </w:rPr>
              <w:t>21</w:t>
            </w:r>
            <w:r>
              <w:rPr>
                <w:noProof/>
                <w:webHidden/>
              </w:rPr>
              <w:fldChar w:fldCharType="end"/>
            </w:r>
          </w:hyperlink>
        </w:p>
        <w:p w:rsidR="00225241" w:rsidRDefault="00D82A9D">
          <w:pPr>
            <w:pStyle w:val="Obsah2"/>
            <w:tabs>
              <w:tab w:val="left" w:pos="880"/>
              <w:tab w:val="right" w:leader="dot" w:pos="8777"/>
            </w:tabs>
            <w:rPr>
              <w:rFonts w:asciiTheme="minorHAnsi" w:eastAsiaTheme="minorEastAsia" w:hAnsiTheme="minorHAnsi" w:cstheme="minorBidi"/>
              <w:noProof/>
              <w:sz w:val="22"/>
              <w:szCs w:val="22"/>
              <w:lang w:eastAsia="cs-CZ"/>
            </w:rPr>
          </w:pPr>
          <w:hyperlink w:anchor="_Toc279696210" w:history="1">
            <w:r w:rsidR="00225241" w:rsidRPr="00537B61">
              <w:rPr>
                <w:rStyle w:val="Hypertextovodkaz"/>
                <w:noProof/>
              </w:rPr>
              <w:t>1.2</w:t>
            </w:r>
            <w:r w:rsidR="00225241">
              <w:rPr>
                <w:rFonts w:asciiTheme="minorHAnsi" w:eastAsiaTheme="minorEastAsia" w:hAnsiTheme="minorHAnsi" w:cstheme="minorBidi"/>
                <w:noProof/>
                <w:sz w:val="22"/>
                <w:szCs w:val="22"/>
                <w:lang w:eastAsia="cs-CZ"/>
              </w:rPr>
              <w:tab/>
            </w:r>
            <w:r w:rsidR="00225241" w:rsidRPr="00537B61">
              <w:rPr>
                <w:rStyle w:val="Hypertextovodkaz"/>
                <w:noProof/>
              </w:rPr>
              <w:t>Cíle hospodářské politiky</w:t>
            </w:r>
            <w:r w:rsidR="00225241">
              <w:rPr>
                <w:noProof/>
                <w:webHidden/>
              </w:rPr>
              <w:tab/>
            </w:r>
            <w:r>
              <w:rPr>
                <w:noProof/>
                <w:webHidden/>
              </w:rPr>
              <w:fldChar w:fldCharType="begin"/>
            </w:r>
            <w:r w:rsidR="00225241">
              <w:rPr>
                <w:noProof/>
                <w:webHidden/>
              </w:rPr>
              <w:instrText xml:space="preserve"> PAGEREF _Toc279696210 \h </w:instrText>
            </w:r>
            <w:r>
              <w:rPr>
                <w:noProof/>
                <w:webHidden/>
              </w:rPr>
            </w:r>
            <w:r>
              <w:rPr>
                <w:noProof/>
                <w:webHidden/>
              </w:rPr>
              <w:fldChar w:fldCharType="separate"/>
            </w:r>
            <w:r w:rsidR="00093386">
              <w:rPr>
                <w:noProof/>
                <w:webHidden/>
              </w:rPr>
              <w:t>22</w:t>
            </w:r>
            <w:r>
              <w:rPr>
                <w:noProof/>
                <w:webHidden/>
              </w:rPr>
              <w:fldChar w:fldCharType="end"/>
            </w:r>
          </w:hyperlink>
        </w:p>
        <w:p w:rsidR="00225241" w:rsidRDefault="00D82A9D">
          <w:pPr>
            <w:pStyle w:val="Obsah3"/>
            <w:tabs>
              <w:tab w:val="left" w:pos="1320"/>
              <w:tab w:val="right" w:leader="dot" w:pos="8777"/>
            </w:tabs>
            <w:rPr>
              <w:rFonts w:asciiTheme="minorHAnsi" w:eastAsiaTheme="minorEastAsia" w:hAnsiTheme="minorHAnsi" w:cstheme="minorBidi"/>
              <w:noProof/>
              <w:sz w:val="22"/>
              <w:szCs w:val="22"/>
              <w:lang w:eastAsia="cs-CZ"/>
            </w:rPr>
          </w:pPr>
          <w:hyperlink w:anchor="_Toc279696211" w:history="1">
            <w:r w:rsidR="00225241" w:rsidRPr="00537B61">
              <w:rPr>
                <w:rStyle w:val="Hypertextovodkaz"/>
                <w:noProof/>
              </w:rPr>
              <w:t>1.2.1</w:t>
            </w:r>
            <w:r w:rsidR="00225241">
              <w:rPr>
                <w:rFonts w:asciiTheme="minorHAnsi" w:eastAsiaTheme="minorEastAsia" w:hAnsiTheme="minorHAnsi" w:cstheme="minorBidi"/>
                <w:noProof/>
                <w:sz w:val="22"/>
                <w:szCs w:val="22"/>
                <w:lang w:eastAsia="cs-CZ"/>
              </w:rPr>
              <w:tab/>
            </w:r>
            <w:r w:rsidR="00225241" w:rsidRPr="00537B61">
              <w:rPr>
                <w:rStyle w:val="Hypertextovodkaz"/>
                <w:noProof/>
              </w:rPr>
              <w:t>Hierarchie cílů hospodářské politiky</w:t>
            </w:r>
            <w:r w:rsidR="00225241">
              <w:rPr>
                <w:noProof/>
                <w:webHidden/>
              </w:rPr>
              <w:tab/>
            </w:r>
            <w:r>
              <w:rPr>
                <w:noProof/>
                <w:webHidden/>
              </w:rPr>
              <w:fldChar w:fldCharType="begin"/>
            </w:r>
            <w:r w:rsidR="00225241">
              <w:rPr>
                <w:noProof/>
                <w:webHidden/>
              </w:rPr>
              <w:instrText xml:space="preserve"> PAGEREF _Toc279696211 \h </w:instrText>
            </w:r>
            <w:r>
              <w:rPr>
                <w:noProof/>
                <w:webHidden/>
              </w:rPr>
            </w:r>
            <w:r>
              <w:rPr>
                <w:noProof/>
                <w:webHidden/>
              </w:rPr>
              <w:fldChar w:fldCharType="separate"/>
            </w:r>
            <w:r w:rsidR="00093386">
              <w:rPr>
                <w:noProof/>
                <w:webHidden/>
              </w:rPr>
              <w:t>22</w:t>
            </w:r>
            <w:r>
              <w:rPr>
                <w:noProof/>
                <w:webHidden/>
              </w:rPr>
              <w:fldChar w:fldCharType="end"/>
            </w:r>
          </w:hyperlink>
        </w:p>
        <w:p w:rsidR="00225241" w:rsidRDefault="00D82A9D">
          <w:pPr>
            <w:pStyle w:val="Obsah3"/>
            <w:tabs>
              <w:tab w:val="left" w:pos="1320"/>
              <w:tab w:val="right" w:leader="dot" w:pos="8777"/>
            </w:tabs>
            <w:rPr>
              <w:rFonts w:asciiTheme="minorHAnsi" w:eastAsiaTheme="minorEastAsia" w:hAnsiTheme="minorHAnsi" w:cstheme="minorBidi"/>
              <w:noProof/>
              <w:sz w:val="22"/>
              <w:szCs w:val="22"/>
              <w:lang w:eastAsia="cs-CZ"/>
            </w:rPr>
          </w:pPr>
          <w:hyperlink w:anchor="_Toc279696212" w:history="1">
            <w:r w:rsidR="00225241" w:rsidRPr="00537B61">
              <w:rPr>
                <w:rStyle w:val="Hypertextovodkaz"/>
                <w:noProof/>
              </w:rPr>
              <w:t>1.2.2</w:t>
            </w:r>
            <w:r w:rsidR="00225241">
              <w:rPr>
                <w:rFonts w:asciiTheme="minorHAnsi" w:eastAsiaTheme="minorEastAsia" w:hAnsiTheme="minorHAnsi" w:cstheme="minorBidi"/>
                <w:noProof/>
                <w:sz w:val="22"/>
                <w:szCs w:val="22"/>
                <w:lang w:eastAsia="cs-CZ"/>
              </w:rPr>
              <w:tab/>
            </w:r>
            <w:r w:rsidR="00225241" w:rsidRPr="00537B61">
              <w:rPr>
                <w:rStyle w:val="Hypertextovodkaz"/>
                <w:noProof/>
              </w:rPr>
              <w:t>Ekonomické cíle hospodářské politiky</w:t>
            </w:r>
            <w:r w:rsidR="00225241">
              <w:rPr>
                <w:noProof/>
                <w:webHidden/>
              </w:rPr>
              <w:tab/>
            </w:r>
            <w:r>
              <w:rPr>
                <w:noProof/>
                <w:webHidden/>
              </w:rPr>
              <w:fldChar w:fldCharType="begin"/>
            </w:r>
            <w:r w:rsidR="00225241">
              <w:rPr>
                <w:noProof/>
                <w:webHidden/>
              </w:rPr>
              <w:instrText xml:space="preserve"> PAGEREF _Toc279696212 \h </w:instrText>
            </w:r>
            <w:r>
              <w:rPr>
                <w:noProof/>
                <w:webHidden/>
              </w:rPr>
            </w:r>
            <w:r>
              <w:rPr>
                <w:noProof/>
                <w:webHidden/>
              </w:rPr>
              <w:fldChar w:fldCharType="separate"/>
            </w:r>
            <w:r w:rsidR="00093386">
              <w:rPr>
                <w:noProof/>
                <w:webHidden/>
              </w:rPr>
              <w:t>25</w:t>
            </w:r>
            <w:r>
              <w:rPr>
                <w:noProof/>
                <w:webHidden/>
              </w:rPr>
              <w:fldChar w:fldCharType="end"/>
            </w:r>
          </w:hyperlink>
        </w:p>
        <w:p w:rsidR="00225241" w:rsidRDefault="00D82A9D">
          <w:pPr>
            <w:pStyle w:val="Obsah2"/>
            <w:tabs>
              <w:tab w:val="left" w:pos="880"/>
              <w:tab w:val="right" w:leader="dot" w:pos="8777"/>
            </w:tabs>
            <w:rPr>
              <w:rFonts w:asciiTheme="minorHAnsi" w:eastAsiaTheme="minorEastAsia" w:hAnsiTheme="minorHAnsi" w:cstheme="minorBidi"/>
              <w:noProof/>
              <w:sz w:val="22"/>
              <w:szCs w:val="22"/>
              <w:lang w:eastAsia="cs-CZ"/>
            </w:rPr>
          </w:pPr>
          <w:hyperlink w:anchor="_Toc279696213" w:history="1">
            <w:r w:rsidR="00225241" w:rsidRPr="00537B61">
              <w:rPr>
                <w:rStyle w:val="Hypertextovodkaz"/>
                <w:noProof/>
              </w:rPr>
              <w:t>1.3</w:t>
            </w:r>
            <w:r w:rsidR="00225241">
              <w:rPr>
                <w:rFonts w:asciiTheme="minorHAnsi" w:eastAsiaTheme="minorEastAsia" w:hAnsiTheme="minorHAnsi" w:cstheme="minorBidi"/>
                <w:noProof/>
                <w:sz w:val="22"/>
                <w:szCs w:val="22"/>
                <w:lang w:eastAsia="cs-CZ"/>
              </w:rPr>
              <w:tab/>
            </w:r>
            <w:r w:rsidR="00225241" w:rsidRPr="00537B61">
              <w:rPr>
                <w:rStyle w:val="Hypertextovodkaz"/>
                <w:noProof/>
              </w:rPr>
              <w:t>Koncepční přístupy k hospodářské politice</w:t>
            </w:r>
            <w:r w:rsidR="00225241">
              <w:rPr>
                <w:noProof/>
                <w:webHidden/>
              </w:rPr>
              <w:tab/>
            </w:r>
            <w:r>
              <w:rPr>
                <w:noProof/>
                <w:webHidden/>
              </w:rPr>
              <w:fldChar w:fldCharType="begin"/>
            </w:r>
            <w:r w:rsidR="00225241">
              <w:rPr>
                <w:noProof/>
                <w:webHidden/>
              </w:rPr>
              <w:instrText xml:space="preserve"> PAGEREF _Toc279696213 \h </w:instrText>
            </w:r>
            <w:r>
              <w:rPr>
                <w:noProof/>
                <w:webHidden/>
              </w:rPr>
            </w:r>
            <w:r>
              <w:rPr>
                <w:noProof/>
                <w:webHidden/>
              </w:rPr>
              <w:fldChar w:fldCharType="separate"/>
            </w:r>
            <w:r w:rsidR="00093386">
              <w:rPr>
                <w:noProof/>
                <w:webHidden/>
              </w:rPr>
              <w:t>37</w:t>
            </w:r>
            <w:r>
              <w:rPr>
                <w:noProof/>
                <w:webHidden/>
              </w:rPr>
              <w:fldChar w:fldCharType="end"/>
            </w:r>
          </w:hyperlink>
        </w:p>
        <w:p w:rsidR="00225241" w:rsidRDefault="00D82A9D">
          <w:pPr>
            <w:pStyle w:val="Obsah3"/>
            <w:tabs>
              <w:tab w:val="left" w:pos="1320"/>
              <w:tab w:val="right" w:leader="dot" w:pos="8777"/>
            </w:tabs>
            <w:rPr>
              <w:rFonts w:asciiTheme="minorHAnsi" w:eastAsiaTheme="minorEastAsia" w:hAnsiTheme="minorHAnsi" w:cstheme="minorBidi"/>
              <w:noProof/>
              <w:sz w:val="22"/>
              <w:szCs w:val="22"/>
              <w:lang w:eastAsia="cs-CZ"/>
            </w:rPr>
          </w:pPr>
          <w:hyperlink w:anchor="_Toc279696214" w:history="1">
            <w:r w:rsidR="00225241" w:rsidRPr="00537B61">
              <w:rPr>
                <w:rStyle w:val="Hypertextovodkaz"/>
                <w:noProof/>
              </w:rPr>
              <w:t>1.3.1</w:t>
            </w:r>
            <w:r w:rsidR="00225241">
              <w:rPr>
                <w:rFonts w:asciiTheme="minorHAnsi" w:eastAsiaTheme="minorEastAsia" w:hAnsiTheme="minorHAnsi" w:cstheme="minorBidi"/>
                <w:noProof/>
                <w:sz w:val="22"/>
                <w:szCs w:val="22"/>
                <w:lang w:eastAsia="cs-CZ"/>
              </w:rPr>
              <w:tab/>
            </w:r>
            <w:r w:rsidR="00225241" w:rsidRPr="00537B61">
              <w:rPr>
                <w:rStyle w:val="Hypertextovodkaz"/>
                <w:noProof/>
              </w:rPr>
              <w:t>Stabilizační hospodářská politika</w:t>
            </w:r>
            <w:r w:rsidR="00225241">
              <w:rPr>
                <w:noProof/>
                <w:webHidden/>
              </w:rPr>
              <w:tab/>
            </w:r>
            <w:r>
              <w:rPr>
                <w:noProof/>
                <w:webHidden/>
              </w:rPr>
              <w:fldChar w:fldCharType="begin"/>
            </w:r>
            <w:r w:rsidR="00225241">
              <w:rPr>
                <w:noProof/>
                <w:webHidden/>
              </w:rPr>
              <w:instrText xml:space="preserve"> PAGEREF _Toc279696214 \h </w:instrText>
            </w:r>
            <w:r>
              <w:rPr>
                <w:noProof/>
                <w:webHidden/>
              </w:rPr>
            </w:r>
            <w:r>
              <w:rPr>
                <w:noProof/>
                <w:webHidden/>
              </w:rPr>
              <w:fldChar w:fldCharType="separate"/>
            </w:r>
            <w:r w:rsidR="00093386">
              <w:rPr>
                <w:noProof/>
                <w:webHidden/>
              </w:rPr>
              <w:t>38</w:t>
            </w:r>
            <w:r>
              <w:rPr>
                <w:noProof/>
                <w:webHidden/>
              </w:rPr>
              <w:fldChar w:fldCharType="end"/>
            </w:r>
          </w:hyperlink>
        </w:p>
        <w:p w:rsidR="00225241" w:rsidRDefault="00D82A9D">
          <w:pPr>
            <w:pStyle w:val="Obsah3"/>
            <w:tabs>
              <w:tab w:val="left" w:pos="1320"/>
              <w:tab w:val="right" w:leader="dot" w:pos="8777"/>
            </w:tabs>
            <w:rPr>
              <w:rFonts w:asciiTheme="minorHAnsi" w:eastAsiaTheme="minorEastAsia" w:hAnsiTheme="minorHAnsi" w:cstheme="minorBidi"/>
              <w:noProof/>
              <w:sz w:val="22"/>
              <w:szCs w:val="22"/>
              <w:lang w:eastAsia="cs-CZ"/>
            </w:rPr>
          </w:pPr>
          <w:hyperlink w:anchor="_Toc279696215" w:history="1">
            <w:r w:rsidR="00225241" w:rsidRPr="00537B61">
              <w:rPr>
                <w:rStyle w:val="Hypertextovodkaz"/>
                <w:noProof/>
              </w:rPr>
              <w:t>1.3.2</w:t>
            </w:r>
            <w:r w:rsidR="00225241">
              <w:rPr>
                <w:rFonts w:asciiTheme="minorHAnsi" w:eastAsiaTheme="minorEastAsia" w:hAnsiTheme="minorHAnsi" w:cstheme="minorBidi"/>
                <w:noProof/>
                <w:sz w:val="22"/>
                <w:szCs w:val="22"/>
                <w:lang w:eastAsia="cs-CZ"/>
              </w:rPr>
              <w:tab/>
            </w:r>
            <w:r w:rsidR="00225241" w:rsidRPr="00537B61">
              <w:rPr>
                <w:rStyle w:val="Hypertextovodkaz"/>
                <w:noProof/>
              </w:rPr>
              <w:t>Prorůstová hospodářská politika</w:t>
            </w:r>
            <w:r w:rsidR="00225241">
              <w:rPr>
                <w:noProof/>
                <w:webHidden/>
              </w:rPr>
              <w:tab/>
            </w:r>
            <w:r>
              <w:rPr>
                <w:noProof/>
                <w:webHidden/>
              </w:rPr>
              <w:fldChar w:fldCharType="begin"/>
            </w:r>
            <w:r w:rsidR="00225241">
              <w:rPr>
                <w:noProof/>
                <w:webHidden/>
              </w:rPr>
              <w:instrText xml:space="preserve"> PAGEREF _Toc279696215 \h </w:instrText>
            </w:r>
            <w:r>
              <w:rPr>
                <w:noProof/>
                <w:webHidden/>
              </w:rPr>
            </w:r>
            <w:r>
              <w:rPr>
                <w:noProof/>
                <w:webHidden/>
              </w:rPr>
              <w:fldChar w:fldCharType="separate"/>
            </w:r>
            <w:r w:rsidR="00093386">
              <w:rPr>
                <w:noProof/>
                <w:webHidden/>
              </w:rPr>
              <w:t>41</w:t>
            </w:r>
            <w:r>
              <w:rPr>
                <w:noProof/>
                <w:webHidden/>
              </w:rPr>
              <w:fldChar w:fldCharType="end"/>
            </w:r>
          </w:hyperlink>
        </w:p>
        <w:p w:rsidR="00225241" w:rsidRDefault="00D82A9D">
          <w:pPr>
            <w:pStyle w:val="Obsah3"/>
            <w:tabs>
              <w:tab w:val="left" w:pos="1320"/>
              <w:tab w:val="right" w:leader="dot" w:pos="8777"/>
            </w:tabs>
            <w:rPr>
              <w:rFonts w:asciiTheme="minorHAnsi" w:eastAsiaTheme="minorEastAsia" w:hAnsiTheme="minorHAnsi" w:cstheme="minorBidi"/>
              <w:noProof/>
              <w:sz w:val="22"/>
              <w:szCs w:val="22"/>
              <w:lang w:eastAsia="cs-CZ"/>
            </w:rPr>
          </w:pPr>
          <w:hyperlink w:anchor="_Toc279696216" w:history="1">
            <w:r w:rsidR="00225241" w:rsidRPr="00537B61">
              <w:rPr>
                <w:rStyle w:val="Hypertextovodkaz"/>
                <w:noProof/>
              </w:rPr>
              <w:t>1.3.3</w:t>
            </w:r>
            <w:r w:rsidR="00225241">
              <w:rPr>
                <w:rFonts w:asciiTheme="minorHAnsi" w:eastAsiaTheme="minorEastAsia" w:hAnsiTheme="minorHAnsi" w:cstheme="minorBidi"/>
                <w:noProof/>
                <w:sz w:val="22"/>
                <w:szCs w:val="22"/>
                <w:lang w:eastAsia="cs-CZ"/>
              </w:rPr>
              <w:tab/>
            </w:r>
            <w:r w:rsidR="00225241" w:rsidRPr="00537B61">
              <w:rPr>
                <w:rStyle w:val="Hypertextovodkaz"/>
                <w:noProof/>
              </w:rPr>
              <w:t>Srovnání poptávkově a nabídkově orientované hospodářské politiky</w:t>
            </w:r>
            <w:r w:rsidR="00225241">
              <w:rPr>
                <w:noProof/>
                <w:webHidden/>
              </w:rPr>
              <w:tab/>
            </w:r>
            <w:r>
              <w:rPr>
                <w:noProof/>
                <w:webHidden/>
              </w:rPr>
              <w:fldChar w:fldCharType="begin"/>
            </w:r>
            <w:r w:rsidR="00225241">
              <w:rPr>
                <w:noProof/>
                <w:webHidden/>
              </w:rPr>
              <w:instrText xml:space="preserve"> PAGEREF _Toc279696216 \h </w:instrText>
            </w:r>
            <w:r>
              <w:rPr>
                <w:noProof/>
                <w:webHidden/>
              </w:rPr>
            </w:r>
            <w:r>
              <w:rPr>
                <w:noProof/>
                <w:webHidden/>
              </w:rPr>
              <w:fldChar w:fldCharType="separate"/>
            </w:r>
            <w:r w:rsidR="00093386">
              <w:rPr>
                <w:noProof/>
                <w:webHidden/>
              </w:rPr>
              <w:t>46</w:t>
            </w:r>
            <w:r>
              <w:rPr>
                <w:noProof/>
                <w:webHidden/>
              </w:rPr>
              <w:fldChar w:fldCharType="end"/>
            </w:r>
          </w:hyperlink>
        </w:p>
        <w:p w:rsidR="00225241" w:rsidRDefault="00D82A9D">
          <w:pPr>
            <w:pStyle w:val="Obsah1"/>
            <w:tabs>
              <w:tab w:val="left" w:pos="480"/>
              <w:tab w:val="right" w:leader="dot" w:pos="8777"/>
            </w:tabs>
            <w:rPr>
              <w:rFonts w:asciiTheme="minorHAnsi" w:eastAsiaTheme="minorEastAsia" w:hAnsiTheme="minorHAnsi" w:cstheme="minorBidi"/>
              <w:noProof/>
              <w:sz w:val="22"/>
              <w:szCs w:val="22"/>
              <w:lang w:eastAsia="cs-CZ"/>
            </w:rPr>
          </w:pPr>
          <w:hyperlink w:anchor="_Toc279696217" w:history="1">
            <w:r w:rsidR="00225241" w:rsidRPr="00537B61">
              <w:rPr>
                <w:rStyle w:val="Hypertextovodkaz"/>
                <w:noProof/>
              </w:rPr>
              <w:t>2</w:t>
            </w:r>
            <w:r w:rsidR="00225241">
              <w:rPr>
                <w:rFonts w:asciiTheme="minorHAnsi" w:eastAsiaTheme="minorEastAsia" w:hAnsiTheme="minorHAnsi" w:cstheme="minorBidi"/>
                <w:noProof/>
                <w:sz w:val="22"/>
                <w:szCs w:val="22"/>
                <w:lang w:eastAsia="cs-CZ"/>
              </w:rPr>
              <w:tab/>
            </w:r>
            <w:r w:rsidR="00225241" w:rsidRPr="00537B61">
              <w:rPr>
                <w:rStyle w:val="Hypertextovodkaz"/>
                <w:noProof/>
              </w:rPr>
              <w:t>Hypoteční krize. Příčiny, průběh, následky</w:t>
            </w:r>
            <w:r w:rsidR="00225241">
              <w:rPr>
                <w:noProof/>
                <w:webHidden/>
              </w:rPr>
              <w:tab/>
            </w:r>
            <w:r>
              <w:rPr>
                <w:noProof/>
                <w:webHidden/>
              </w:rPr>
              <w:fldChar w:fldCharType="begin"/>
            </w:r>
            <w:r w:rsidR="00225241">
              <w:rPr>
                <w:noProof/>
                <w:webHidden/>
              </w:rPr>
              <w:instrText xml:space="preserve"> PAGEREF _Toc279696217 \h </w:instrText>
            </w:r>
            <w:r>
              <w:rPr>
                <w:noProof/>
                <w:webHidden/>
              </w:rPr>
            </w:r>
            <w:r>
              <w:rPr>
                <w:noProof/>
                <w:webHidden/>
              </w:rPr>
              <w:fldChar w:fldCharType="separate"/>
            </w:r>
            <w:r w:rsidR="00093386">
              <w:rPr>
                <w:noProof/>
                <w:webHidden/>
              </w:rPr>
              <w:t>51</w:t>
            </w:r>
            <w:r>
              <w:rPr>
                <w:noProof/>
                <w:webHidden/>
              </w:rPr>
              <w:fldChar w:fldCharType="end"/>
            </w:r>
          </w:hyperlink>
        </w:p>
        <w:p w:rsidR="00225241" w:rsidRDefault="00D82A9D">
          <w:pPr>
            <w:pStyle w:val="Obsah2"/>
            <w:tabs>
              <w:tab w:val="left" w:pos="880"/>
              <w:tab w:val="right" w:leader="dot" w:pos="8777"/>
            </w:tabs>
            <w:rPr>
              <w:rFonts w:asciiTheme="minorHAnsi" w:eastAsiaTheme="minorEastAsia" w:hAnsiTheme="minorHAnsi" w:cstheme="minorBidi"/>
              <w:noProof/>
              <w:sz w:val="22"/>
              <w:szCs w:val="22"/>
              <w:lang w:eastAsia="cs-CZ"/>
            </w:rPr>
          </w:pPr>
          <w:hyperlink w:anchor="_Toc279696218" w:history="1">
            <w:r w:rsidR="00225241" w:rsidRPr="00537B61">
              <w:rPr>
                <w:rStyle w:val="Hypertextovodkaz"/>
                <w:noProof/>
              </w:rPr>
              <w:t>2.1</w:t>
            </w:r>
            <w:r w:rsidR="00225241">
              <w:rPr>
                <w:rFonts w:asciiTheme="minorHAnsi" w:eastAsiaTheme="minorEastAsia" w:hAnsiTheme="minorHAnsi" w:cstheme="minorBidi"/>
                <w:noProof/>
                <w:sz w:val="22"/>
                <w:szCs w:val="22"/>
                <w:lang w:eastAsia="cs-CZ"/>
              </w:rPr>
              <w:tab/>
            </w:r>
            <w:r w:rsidR="00225241" w:rsidRPr="00537B61">
              <w:rPr>
                <w:rStyle w:val="Hypertextovodkaz"/>
                <w:noProof/>
              </w:rPr>
              <w:t>Počátky v USA</w:t>
            </w:r>
            <w:r w:rsidR="00225241">
              <w:rPr>
                <w:noProof/>
                <w:webHidden/>
              </w:rPr>
              <w:tab/>
            </w:r>
            <w:r>
              <w:rPr>
                <w:noProof/>
                <w:webHidden/>
              </w:rPr>
              <w:fldChar w:fldCharType="begin"/>
            </w:r>
            <w:r w:rsidR="00225241">
              <w:rPr>
                <w:noProof/>
                <w:webHidden/>
              </w:rPr>
              <w:instrText xml:space="preserve"> PAGEREF _Toc279696218 \h </w:instrText>
            </w:r>
            <w:r>
              <w:rPr>
                <w:noProof/>
                <w:webHidden/>
              </w:rPr>
            </w:r>
            <w:r>
              <w:rPr>
                <w:noProof/>
                <w:webHidden/>
              </w:rPr>
              <w:fldChar w:fldCharType="separate"/>
            </w:r>
            <w:r w:rsidR="00093386">
              <w:rPr>
                <w:noProof/>
                <w:webHidden/>
              </w:rPr>
              <w:t>51</w:t>
            </w:r>
            <w:r>
              <w:rPr>
                <w:noProof/>
                <w:webHidden/>
              </w:rPr>
              <w:fldChar w:fldCharType="end"/>
            </w:r>
          </w:hyperlink>
        </w:p>
        <w:p w:rsidR="00225241" w:rsidRDefault="00D82A9D">
          <w:pPr>
            <w:pStyle w:val="Obsah3"/>
            <w:tabs>
              <w:tab w:val="left" w:pos="1320"/>
              <w:tab w:val="right" w:leader="dot" w:pos="8777"/>
            </w:tabs>
            <w:rPr>
              <w:rFonts w:asciiTheme="minorHAnsi" w:eastAsiaTheme="minorEastAsia" w:hAnsiTheme="minorHAnsi" w:cstheme="minorBidi"/>
              <w:noProof/>
              <w:sz w:val="22"/>
              <w:szCs w:val="22"/>
              <w:lang w:eastAsia="cs-CZ"/>
            </w:rPr>
          </w:pPr>
          <w:hyperlink w:anchor="_Toc279696219" w:history="1">
            <w:r w:rsidR="00225241" w:rsidRPr="00537B61">
              <w:rPr>
                <w:rStyle w:val="Hypertextovodkaz"/>
                <w:noProof/>
              </w:rPr>
              <w:t>2.1.1</w:t>
            </w:r>
            <w:r w:rsidR="00225241">
              <w:rPr>
                <w:rFonts w:asciiTheme="minorHAnsi" w:eastAsiaTheme="minorEastAsia" w:hAnsiTheme="minorHAnsi" w:cstheme="minorBidi"/>
                <w:noProof/>
                <w:sz w:val="22"/>
                <w:szCs w:val="22"/>
                <w:lang w:eastAsia="cs-CZ"/>
              </w:rPr>
              <w:tab/>
            </w:r>
            <w:r w:rsidR="00225241" w:rsidRPr="00537B61">
              <w:rPr>
                <w:rStyle w:val="Hypertextovodkaz"/>
                <w:noProof/>
              </w:rPr>
              <w:t>Rok 1998-2000, Internetová bublina</w:t>
            </w:r>
            <w:r w:rsidR="00225241">
              <w:rPr>
                <w:noProof/>
                <w:webHidden/>
              </w:rPr>
              <w:tab/>
            </w:r>
            <w:r>
              <w:rPr>
                <w:noProof/>
                <w:webHidden/>
              </w:rPr>
              <w:fldChar w:fldCharType="begin"/>
            </w:r>
            <w:r w:rsidR="00225241">
              <w:rPr>
                <w:noProof/>
                <w:webHidden/>
              </w:rPr>
              <w:instrText xml:space="preserve"> PAGEREF _Toc279696219 \h </w:instrText>
            </w:r>
            <w:r>
              <w:rPr>
                <w:noProof/>
                <w:webHidden/>
              </w:rPr>
            </w:r>
            <w:r>
              <w:rPr>
                <w:noProof/>
                <w:webHidden/>
              </w:rPr>
              <w:fldChar w:fldCharType="separate"/>
            </w:r>
            <w:r w:rsidR="00093386">
              <w:rPr>
                <w:noProof/>
                <w:webHidden/>
              </w:rPr>
              <w:t>51</w:t>
            </w:r>
            <w:r>
              <w:rPr>
                <w:noProof/>
                <w:webHidden/>
              </w:rPr>
              <w:fldChar w:fldCharType="end"/>
            </w:r>
          </w:hyperlink>
        </w:p>
        <w:p w:rsidR="00225241" w:rsidRDefault="00D82A9D">
          <w:pPr>
            <w:pStyle w:val="Obsah3"/>
            <w:tabs>
              <w:tab w:val="left" w:pos="1320"/>
              <w:tab w:val="right" w:leader="dot" w:pos="8777"/>
            </w:tabs>
            <w:rPr>
              <w:rFonts w:asciiTheme="minorHAnsi" w:eastAsiaTheme="minorEastAsia" w:hAnsiTheme="minorHAnsi" w:cstheme="minorBidi"/>
              <w:noProof/>
              <w:sz w:val="22"/>
              <w:szCs w:val="22"/>
              <w:lang w:eastAsia="cs-CZ"/>
            </w:rPr>
          </w:pPr>
          <w:hyperlink w:anchor="_Toc279696220" w:history="1">
            <w:r w:rsidR="00225241" w:rsidRPr="00537B61">
              <w:rPr>
                <w:rStyle w:val="Hypertextovodkaz"/>
                <w:noProof/>
              </w:rPr>
              <w:t>2.1.2</w:t>
            </w:r>
            <w:r w:rsidR="00225241">
              <w:rPr>
                <w:rFonts w:asciiTheme="minorHAnsi" w:eastAsiaTheme="minorEastAsia" w:hAnsiTheme="minorHAnsi" w:cstheme="minorBidi"/>
                <w:noProof/>
                <w:sz w:val="22"/>
                <w:szCs w:val="22"/>
                <w:lang w:eastAsia="cs-CZ"/>
              </w:rPr>
              <w:tab/>
            </w:r>
            <w:r w:rsidR="00225241" w:rsidRPr="00537B61">
              <w:rPr>
                <w:rStyle w:val="Hypertextovodkaz"/>
                <w:noProof/>
              </w:rPr>
              <w:t>Rok 2001-2004, růst spotřebitelské poptávky</w:t>
            </w:r>
            <w:r w:rsidR="00225241">
              <w:rPr>
                <w:noProof/>
                <w:webHidden/>
              </w:rPr>
              <w:tab/>
            </w:r>
            <w:r>
              <w:rPr>
                <w:noProof/>
                <w:webHidden/>
              </w:rPr>
              <w:fldChar w:fldCharType="begin"/>
            </w:r>
            <w:r w:rsidR="00225241">
              <w:rPr>
                <w:noProof/>
                <w:webHidden/>
              </w:rPr>
              <w:instrText xml:space="preserve"> PAGEREF _Toc279696220 \h </w:instrText>
            </w:r>
            <w:r>
              <w:rPr>
                <w:noProof/>
                <w:webHidden/>
              </w:rPr>
            </w:r>
            <w:r>
              <w:rPr>
                <w:noProof/>
                <w:webHidden/>
              </w:rPr>
              <w:fldChar w:fldCharType="separate"/>
            </w:r>
            <w:r w:rsidR="00093386">
              <w:rPr>
                <w:noProof/>
                <w:webHidden/>
              </w:rPr>
              <w:t>53</w:t>
            </w:r>
            <w:r>
              <w:rPr>
                <w:noProof/>
                <w:webHidden/>
              </w:rPr>
              <w:fldChar w:fldCharType="end"/>
            </w:r>
          </w:hyperlink>
        </w:p>
        <w:p w:rsidR="00225241" w:rsidRDefault="00D82A9D">
          <w:pPr>
            <w:pStyle w:val="Obsah3"/>
            <w:tabs>
              <w:tab w:val="left" w:pos="1320"/>
              <w:tab w:val="right" w:leader="dot" w:pos="8777"/>
            </w:tabs>
            <w:rPr>
              <w:rFonts w:asciiTheme="minorHAnsi" w:eastAsiaTheme="minorEastAsia" w:hAnsiTheme="minorHAnsi" w:cstheme="minorBidi"/>
              <w:noProof/>
              <w:sz w:val="22"/>
              <w:szCs w:val="22"/>
              <w:lang w:eastAsia="cs-CZ"/>
            </w:rPr>
          </w:pPr>
          <w:hyperlink w:anchor="_Toc279696221" w:history="1">
            <w:r w:rsidR="00225241" w:rsidRPr="00537B61">
              <w:rPr>
                <w:rStyle w:val="Hypertextovodkaz"/>
                <w:noProof/>
              </w:rPr>
              <w:t>2.1.3</w:t>
            </w:r>
            <w:r w:rsidR="00225241">
              <w:rPr>
                <w:rFonts w:asciiTheme="minorHAnsi" w:eastAsiaTheme="minorEastAsia" w:hAnsiTheme="minorHAnsi" w:cstheme="minorBidi"/>
                <w:noProof/>
                <w:sz w:val="22"/>
                <w:szCs w:val="22"/>
                <w:lang w:eastAsia="cs-CZ"/>
              </w:rPr>
              <w:tab/>
            </w:r>
            <w:r w:rsidR="00225241" w:rsidRPr="00537B61">
              <w:rPr>
                <w:rStyle w:val="Hypertextovodkaz"/>
                <w:noProof/>
              </w:rPr>
              <w:t>Rok 2005-2007, Realitní bublina</w:t>
            </w:r>
            <w:r w:rsidR="00225241">
              <w:rPr>
                <w:noProof/>
                <w:webHidden/>
              </w:rPr>
              <w:tab/>
            </w:r>
            <w:r>
              <w:rPr>
                <w:noProof/>
                <w:webHidden/>
              </w:rPr>
              <w:fldChar w:fldCharType="begin"/>
            </w:r>
            <w:r w:rsidR="00225241">
              <w:rPr>
                <w:noProof/>
                <w:webHidden/>
              </w:rPr>
              <w:instrText xml:space="preserve"> PAGEREF _Toc279696221 \h </w:instrText>
            </w:r>
            <w:r>
              <w:rPr>
                <w:noProof/>
                <w:webHidden/>
              </w:rPr>
            </w:r>
            <w:r>
              <w:rPr>
                <w:noProof/>
                <w:webHidden/>
              </w:rPr>
              <w:fldChar w:fldCharType="separate"/>
            </w:r>
            <w:r w:rsidR="00093386">
              <w:rPr>
                <w:noProof/>
                <w:webHidden/>
              </w:rPr>
              <w:t>57</w:t>
            </w:r>
            <w:r>
              <w:rPr>
                <w:noProof/>
                <w:webHidden/>
              </w:rPr>
              <w:fldChar w:fldCharType="end"/>
            </w:r>
          </w:hyperlink>
        </w:p>
        <w:p w:rsidR="00225241" w:rsidRDefault="00D82A9D">
          <w:pPr>
            <w:pStyle w:val="Obsah3"/>
            <w:tabs>
              <w:tab w:val="left" w:pos="1320"/>
              <w:tab w:val="right" w:leader="dot" w:pos="8777"/>
            </w:tabs>
            <w:rPr>
              <w:rFonts w:asciiTheme="minorHAnsi" w:eastAsiaTheme="minorEastAsia" w:hAnsiTheme="minorHAnsi" w:cstheme="minorBidi"/>
              <w:noProof/>
              <w:sz w:val="22"/>
              <w:szCs w:val="22"/>
              <w:lang w:eastAsia="cs-CZ"/>
            </w:rPr>
          </w:pPr>
          <w:hyperlink w:anchor="_Toc279696222" w:history="1">
            <w:r w:rsidR="00225241" w:rsidRPr="00537B61">
              <w:rPr>
                <w:rStyle w:val="Hypertextovodkaz"/>
                <w:noProof/>
              </w:rPr>
              <w:t>2.1.4</w:t>
            </w:r>
            <w:r w:rsidR="00225241">
              <w:rPr>
                <w:rFonts w:asciiTheme="minorHAnsi" w:eastAsiaTheme="minorEastAsia" w:hAnsiTheme="minorHAnsi" w:cstheme="minorBidi"/>
                <w:noProof/>
                <w:sz w:val="22"/>
                <w:szCs w:val="22"/>
                <w:lang w:eastAsia="cs-CZ"/>
              </w:rPr>
              <w:tab/>
            </w:r>
            <w:r w:rsidR="00225241" w:rsidRPr="00537B61">
              <w:rPr>
                <w:rStyle w:val="Hypertextovodkaz"/>
                <w:noProof/>
              </w:rPr>
              <w:t>Rok 2007-2008, snaha o revitalizaci</w:t>
            </w:r>
            <w:r w:rsidR="00225241">
              <w:rPr>
                <w:noProof/>
                <w:webHidden/>
              </w:rPr>
              <w:tab/>
            </w:r>
            <w:r>
              <w:rPr>
                <w:noProof/>
                <w:webHidden/>
              </w:rPr>
              <w:fldChar w:fldCharType="begin"/>
            </w:r>
            <w:r w:rsidR="00225241">
              <w:rPr>
                <w:noProof/>
                <w:webHidden/>
              </w:rPr>
              <w:instrText xml:space="preserve"> PAGEREF _Toc279696222 \h </w:instrText>
            </w:r>
            <w:r>
              <w:rPr>
                <w:noProof/>
                <w:webHidden/>
              </w:rPr>
            </w:r>
            <w:r>
              <w:rPr>
                <w:noProof/>
                <w:webHidden/>
              </w:rPr>
              <w:fldChar w:fldCharType="separate"/>
            </w:r>
            <w:r w:rsidR="00093386">
              <w:rPr>
                <w:noProof/>
                <w:webHidden/>
              </w:rPr>
              <w:t>62</w:t>
            </w:r>
            <w:r>
              <w:rPr>
                <w:noProof/>
                <w:webHidden/>
              </w:rPr>
              <w:fldChar w:fldCharType="end"/>
            </w:r>
          </w:hyperlink>
        </w:p>
        <w:p w:rsidR="00225241" w:rsidRDefault="00D82A9D">
          <w:pPr>
            <w:pStyle w:val="Obsah2"/>
            <w:tabs>
              <w:tab w:val="left" w:pos="880"/>
              <w:tab w:val="right" w:leader="dot" w:pos="8777"/>
            </w:tabs>
            <w:rPr>
              <w:rFonts w:asciiTheme="minorHAnsi" w:eastAsiaTheme="minorEastAsia" w:hAnsiTheme="minorHAnsi" w:cstheme="minorBidi"/>
              <w:noProof/>
              <w:sz w:val="22"/>
              <w:szCs w:val="22"/>
              <w:lang w:eastAsia="cs-CZ"/>
            </w:rPr>
          </w:pPr>
          <w:hyperlink w:anchor="_Toc279696223" w:history="1">
            <w:r w:rsidR="00225241" w:rsidRPr="00537B61">
              <w:rPr>
                <w:rStyle w:val="Hypertextovodkaz"/>
                <w:noProof/>
              </w:rPr>
              <w:t>2.2</w:t>
            </w:r>
            <w:r w:rsidR="00225241">
              <w:rPr>
                <w:rFonts w:asciiTheme="minorHAnsi" w:eastAsiaTheme="minorEastAsia" w:hAnsiTheme="minorHAnsi" w:cstheme="minorBidi"/>
                <w:noProof/>
                <w:sz w:val="22"/>
                <w:szCs w:val="22"/>
                <w:lang w:eastAsia="cs-CZ"/>
              </w:rPr>
              <w:tab/>
            </w:r>
            <w:r w:rsidR="00225241" w:rsidRPr="00537B61">
              <w:rPr>
                <w:rStyle w:val="Hypertextovodkaz"/>
                <w:noProof/>
              </w:rPr>
              <w:t>Expanze hypoteční krize do ostatních odvětví ekonomiky USA</w:t>
            </w:r>
            <w:r w:rsidR="00225241">
              <w:rPr>
                <w:noProof/>
                <w:webHidden/>
              </w:rPr>
              <w:tab/>
            </w:r>
            <w:r>
              <w:rPr>
                <w:noProof/>
                <w:webHidden/>
              </w:rPr>
              <w:fldChar w:fldCharType="begin"/>
            </w:r>
            <w:r w:rsidR="00225241">
              <w:rPr>
                <w:noProof/>
                <w:webHidden/>
              </w:rPr>
              <w:instrText xml:space="preserve"> PAGEREF _Toc279696223 \h </w:instrText>
            </w:r>
            <w:r>
              <w:rPr>
                <w:noProof/>
                <w:webHidden/>
              </w:rPr>
            </w:r>
            <w:r>
              <w:rPr>
                <w:noProof/>
                <w:webHidden/>
              </w:rPr>
              <w:fldChar w:fldCharType="separate"/>
            </w:r>
            <w:r w:rsidR="00093386">
              <w:rPr>
                <w:noProof/>
                <w:webHidden/>
              </w:rPr>
              <w:t>66</w:t>
            </w:r>
            <w:r>
              <w:rPr>
                <w:noProof/>
                <w:webHidden/>
              </w:rPr>
              <w:fldChar w:fldCharType="end"/>
            </w:r>
          </w:hyperlink>
        </w:p>
        <w:p w:rsidR="00225241" w:rsidRDefault="00D82A9D">
          <w:pPr>
            <w:pStyle w:val="Obsah3"/>
            <w:tabs>
              <w:tab w:val="left" w:pos="1320"/>
              <w:tab w:val="right" w:leader="dot" w:pos="8777"/>
            </w:tabs>
            <w:rPr>
              <w:rFonts w:asciiTheme="minorHAnsi" w:eastAsiaTheme="minorEastAsia" w:hAnsiTheme="minorHAnsi" w:cstheme="minorBidi"/>
              <w:noProof/>
              <w:sz w:val="22"/>
              <w:szCs w:val="22"/>
              <w:lang w:eastAsia="cs-CZ"/>
            </w:rPr>
          </w:pPr>
          <w:hyperlink w:anchor="_Toc279696224" w:history="1">
            <w:r w:rsidR="00225241" w:rsidRPr="00537B61">
              <w:rPr>
                <w:rStyle w:val="Hypertextovodkaz"/>
                <w:noProof/>
              </w:rPr>
              <w:t>2.2.1</w:t>
            </w:r>
            <w:r w:rsidR="00225241">
              <w:rPr>
                <w:rFonts w:asciiTheme="minorHAnsi" w:eastAsiaTheme="minorEastAsia" w:hAnsiTheme="minorHAnsi" w:cstheme="minorBidi"/>
                <w:noProof/>
                <w:sz w:val="22"/>
                <w:szCs w:val="22"/>
                <w:lang w:eastAsia="cs-CZ"/>
              </w:rPr>
              <w:tab/>
            </w:r>
            <w:r w:rsidR="00225241" w:rsidRPr="00537B61">
              <w:rPr>
                <w:rStyle w:val="Hypertextovodkaz"/>
                <w:noProof/>
              </w:rPr>
              <w:t>Problémy finančních institucí v USA</w:t>
            </w:r>
            <w:r w:rsidR="00225241">
              <w:rPr>
                <w:noProof/>
                <w:webHidden/>
              </w:rPr>
              <w:tab/>
            </w:r>
            <w:r>
              <w:rPr>
                <w:noProof/>
                <w:webHidden/>
              </w:rPr>
              <w:fldChar w:fldCharType="begin"/>
            </w:r>
            <w:r w:rsidR="00225241">
              <w:rPr>
                <w:noProof/>
                <w:webHidden/>
              </w:rPr>
              <w:instrText xml:space="preserve"> PAGEREF _Toc279696224 \h </w:instrText>
            </w:r>
            <w:r>
              <w:rPr>
                <w:noProof/>
                <w:webHidden/>
              </w:rPr>
            </w:r>
            <w:r>
              <w:rPr>
                <w:noProof/>
                <w:webHidden/>
              </w:rPr>
              <w:fldChar w:fldCharType="separate"/>
            </w:r>
            <w:r w:rsidR="00093386">
              <w:rPr>
                <w:noProof/>
                <w:webHidden/>
              </w:rPr>
              <w:t>68</w:t>
            </w:r>
            <w:r>
              <w:rPr>
                <w:noProof/>
                <w:webHidden/>
              </w:rPr>
              <w:fldChar w:fldCharType="end"/>
            </w:r>
          </w:hyperlink>
        </w:p>
        <w:p w:rsidR="00225241" w:rsidRDefault="00D82A9D">
          <w:pPr>
            <w:pStyle w:val="Obsah3"/>
            <w:tabs>
              <w:tab w:val="left" w:pos="1320"/>
              <w:tab w:val="right" w:leader="dot" w:pos="8777"/>
            </w:tabs>
            <w:rPr>
              <w:rFonts w:asciiTheme="minorHAnsi" w:eastAsiaTheme="minorEastAsia" w:hAnsiTheme="minorHAnsi" w:cstheme="minorBidi"/>
              <w:noProof/>
              <w:sz w:val="22"/>
              <w:szCs w:val="22"/>
              <w:lang w:eastAsia="cs-CZ"/>
            </w:rPr>
          </w:pPr>
          <w:hyperlink w:anchor="_Toc279696225" w:history="1">
            <w:r w:rsidR="00225241" w:rsidRPr="00537B61">
              <w:rPr>
                <w:rStyle w:val="Hypertextovodkaz"/>
                <w:noProof/>
                <w:lang w:eastAsia="cs-CZ"/>
              </w:rPr>
              <w:t>2.2.2</w:t>
            </w:r>
            <w:r w:rsidR="00225241">
              <w:rPr>
                <w:rFonts w:asciiTheme="minorHAnsi" w:eastAsiaTheme="minorEastAsia" w:hAnsiTheme="minorHAnsi" w:cstheme="minorBidi"/>
                <w:noProof/>
                <w:sz w:val="22"/>
                <w:szCs w:val="22"/>
                <w:lang w:eastAsia="cs-CZ"/>
              </w:rPr>
              <w:tab/>
            </w:r>
            <w:r w:rsidR="00225241" w:rsidRPr="00537B61">
              <w:rPr>
                <w:rStyle w:val="Hypertextovodkaz"/>
                <w:noProof/>
                <w:lang w:eastAsia="cs-CZ"/>
              </w:rPr>
              <w:t>Ostatní sektory</w:t>
            </w:r>
            <w:r w:rsidR="00225241">
              <w:rPr>
                <w:noProof/>
                <w:webHidden/>
              </w:rPr>
              <w:tab/>
            </w:r>
            <w:r>
              <w:rPr>
                <w:noProof/>
                <w:webHidden/>
              </w:rPr>
              <w:fldChar w:fldCharType="begin"/>
            </w:r>
            <w:r w:rsidR="00225241">
              <w:rPr>
                <w:noProof/>
                <w:webHidden/>
              </w:rPr>
              <w:instrText xml:space="preserve"> PAGEREF _Toc279696225 \h </w:instrText>
            </w:r>
            <w:r>
              <w:rPr>
                <w:noProof/>
                <w:webHidden/>
              </w:rPr>
            </w:r>
            <w:r>
              <w:rPr>
                <w:noProof/>
                <w:webHidden/>
              </w:rPr>
              <w:fldChar w:fldCharType="separate"/>
            </w:r>
            <w:r w:rsidR="00093386">
              <w:rPr>
                <w:noProof/>
                <w:webHidden/>
              </w:rPr>
              <w:t>70</w:t>
            </w:r>
            <w:r>
              <w:rPr>
                <w:noProof/>
                <w:webHidden/>
              </w:rPr>
              <w:fldChar w:fldCharType="end"/>
            </w:r>
          </w:hyperlink>
        </w:p>
        <w:p w:rsidR="00225241" w:rsidRDefault="00D82A9D">
          <w:pPr>
            <w:pStyle w:val="Obsah1"/>
            <w:tabs>
              <w:tab w:val="left" w:pos="480"/>
              <w:tab w:val="right" w:leader="dot" w:pos="8777"/>
            </w:tabs>
            <w:rPr>
              <w:rFonts w:asciiTheme="minorHAnsi" w:eastAsiaTheme="minorEastAsia" w:hAnsiTheme="minorHAnsi" w:cstheme="minorBidi"/>
              <w:noProof/>
              <w:sz w:val="22"/>
              <w:szCs w:val="22"/>
              <w:lang w:eastAsia="cs-CZ"/>
            </w:rPr>
          </w:pPr>
          <w:hyperlink w:anchor="_Toc279696226" w:history="1">
            <w:r w:rsidR="00225241" w:rsidRPr="00537B61">
              <w:rPr>
                <w:rStyle w:val="Hypertextovodkaz"/>
                <w:noProof/>
              </w:rPr>
              <w:t>3</w:t>
            </w:r>
            <w:r w:rsidR="00225241">
              <w:rPr>
                <w:rFonts w:asciiTheme="minorHAnsi" w:eastAsiaTheme="minorEastAsia" w:hAnsiTheme="minorHAnsi" w:cstheme="minorBidi"/>
                <w:noProof/>
                <w:sz w:val="22"/>
                <w:szCs w:val="22"/>
                <w:lang w:eastAsia="cs-CZ"/>
              </w:rPr>
              <w:tab/>
            </w:r>
            <w:r w:rsidR="00225241" w:rsidRPr="00537B61">
              <w:rPr>
                <w:rStyle w:val="Hypertextovodkaz"/>
                <w:noProof/>
              </w:rPr>
              <w:t>Dopady krize na českou ekonomiku</w:t>
            </w:r>
            <w:r w:rsidR="00225241">
              <w:rPr>
                <w:noProof/>
                <w:webHidden/>
              </w:rPr>
              <w:tab/>
            </w:r>
            <w:r>
              <w:rPr>
                <w:noProof/>
                <w:webHidden/>
              </w:rPr>
              <w:fldChar w:fldCharType="begin"/>
            </w:r>
            <w:r w:rsidR="00225241">
              <w:rPr>
                <w:noProof/>
                <w:webHidden/>
              </w:rPr>
              <w:instrText xml:space="preserve"> PAGEREF _Toc279696226 \h </w:instrText>
            </w:r>
            <w:r>
              <w:rPr>
                <w:noProof/>
                <w:webHidden/>
              </w:rPr>
            </w:r>
            <w:r>
              <w:rPr>
                <w:noProof/>
                <w:webHidden/>
              </w:rPr>
              <w:fldChar w:fldCharType="separate"/>
            </w:r>
            <w:r w:rsidR="00093386">
              <w:rPr>
                <w:noProof/>
                <w:webHidden/>
              </w:rPr>
              <w:t>72</w:t>
            </w:r>
            <w:r>
              <w:rPr>
                <w:noProof/>
                <w:webHidden/>
              </w:rPr>
              <w:fldChar w:fldCharType="end"/>
            </w:r>
          </w:hyperlink>
        </w:p>
        <w:p w:rsidR="00225241" w:rsidRDefault="00D82A9D">
          <w:pPr>
            <w:pStyle w:val="Obsah2"/>
            <w:tabs>
              <w:tab w:val="left" w:pos="880"/>
              <w:tab w:val="right" w:leader="dot" w:pos="8777"/>
            </w:tabs>
            <w:rPr>
              <w:rFonts w:asciiTheme="minorHAnsi" w:eastAsiaTheme="minorEastAsia" w:hAnsiTheme="minorHAnsi" w:cstheme="minorBidi"/>
              <w:noProof/>
              <w:sz w:val="22"/>
              <w:szCs w:val="22"/>
              <w:lang w:eastAsia="cs-CZ"/>
            </w:rPr>
          </w:pPr>
          <w:hyperlink w:anchor="_Toc279696227" w:history="1">
            <w:r w:rsidR="00225241" w:rsidRPr="00537B61">
              <w:rPr>
                <w:rStyle w:val="Hypertextovodkaz"/>
                <w:noProof/>
              </w:rPr>
              <w:t>3.1</w:t>
            </w:r>
            <w:r w:rsidR="00225241">
              <w:rPr>
                <w:rFonts w:asciiTheme="minorHAnsi" w:eastAsiaTheme="minorEastAsia" w:hAnsiTheme="minorHAnsi" w:cstheme="minorBidi"/>
                <w:noProof/>
                <w:sz w:val="22"/>
                <w:szCs w:val="22"/>
                <w:lang w:eastAsia="cs-CZ"/>
              </w:rPr>
              <w:tab/>
            </w:r>
            <w:r w:rsidR="00225241" w:rsidRPr="00537B61">
              <w:rPr>
                <w:rStyle w:val="Hypertextovodkaz"/>
                <w:noProof/>
              </w:rPr>
              <w:t>Česká ekonomika – rok 2008 a 2009</w:t>
            </w:r>
            <w:r w:rsidR="00225241">
              <w:rPr>
                <w:noProof/>
                <w:webHidden/>
              </w:rPr>
              <w:tab/>
            </w:r>
            <w:r>
              <w:rPr>
                <w:noProof/>
                <w:webHidden/>
              </w:rPr>
              <w:fldChar w:fldCharType="begin"/>
            </w:r>
            <w:r w:rsidR="00225241">
              <w:rPr>
                <w:noProof/>
                <w:webHidden/>
              </w:rPr>
              <w:instrText xml:space="preserve"> PAGEREF _Toc279696227 \h </w:instrText>
            </w:r>
            <w:r>
              <w:rPr>
                <w:noProof/>
                <w:webHidden/>
              </w:rPr>
            </w:r>
            <w:r>
              <w:rPr>
                <w:noProof/>
                <w:webHidden/>
              </w:rPr>
              <w:fldChar w:fldCharType="separate"/>
            </w:r>
            <w:r w:rsidR="00093386">
              <w:rPr>
                <w:noProof/>
                <w:webHidden/>
              </w:rPr>
              <w:t>72</w:t>
            </w:r>
            <w:r>
              <w:rPr>
                <w:noProof/>
                <w:webHidden/>
              </w:rPr>
              <w:fldChar w:fldCharType="end"/>
            </w:r>
          </w:hyperlink>
        </w:p>
        <w:p w:rsidR="00225241" w:rsidRDefault="00D82A9D">
          <w:pPr>
            <w:pStyle w:val="Obsah2"/>
            <w:tabs>
              <w:tab w:val="left" w:pos="880"/>
              <w:tab w:val="right" w:leader="dot" w:pos="8777"/>
            </w:tabs>
            <w:rPr>
              <w:rFonts w:asciiTheme="minorHAnsi" w:eastAsiaTheme="minorEastAsia" w:hAnsiTheme="minorHAnsi" w:cstheme="minorBidi"/>
              <w:noProof/>
              <w:sz w:val="22"/>
              <w:szCs w:val="22"/>
              <w:lang w:eastAsia="cs-CZ"/>
            </w:rPr>
          </w:pPr>
          <w:hyperlink w:anchor="_Toc279696228" w:history="1">
            <w:r w:rsidR="00225241" w:rsidRPr="00537B61">
              <w:rPr>
                <w:rStyle w:val="Hypertextovodkaz"/>
                <w:noProof/>
              </w:rPr>
              <w:t>3.2</w:t>
            </w:r>
            <w:r w:rsidR="00225241">
              <w:rPr>
                <w:rFonts w:asciiTheme="minorHAnsi" w:eastAsiaTheme="minorEastAsia" w:hAnsiTheme="minorHAnsi" w:cstheme="minorBidi"/>
                <w:noProof/>
                <w:sz w:val="22"/>
                <w:szCs w:val="22"/>
                <w:lang w:eastAsia="cs-CZ"/>
              </w:rPr>
              <w:tab/>
            </w:r>
            <w:r w:rsidR="00225241" w:rsidRPr="00537B61">
              <w:rPr>
                <w:rStyle w:val="Hypertextovodkaz"/>
                <w:noProof/>
              </w:rPr>
              <w:t>Finanční sektor</w:t>
            </w:r>
            <w:r w:rsidR="00225241">
              <w:rPr>
                <w:noProof/>
                <w:webHidden/>
              </w:rPr>
              <w:tab/>
            </w:r>
            <w:r>
              <w:rPr>
                <w:noProof/>
                <w:webHidden/>
              </w:rPr>
              <w:fldChar w:fldCharType="begin"/>
            </w:r>
            <w:r w:rsidR="00225241">
              <w:rPr>
                <w:noProof/>
                <w:webHidden/>
              </w:rPr>
              <w:instrText xml:space="preserve"> PAGEREF _Toc279696228 \h </w:instrText>
            </w:r>
            <w:r>
              <w:rPr>
                <w:noProof/>
                <w:webHidden/>
              </w:rPr>
            </w:r>
            <w:r>
              <w:rPr>
                <w:noProof/>
                <w:webHidden/>
              </w:rPr>
              <w:fldChar w:fldCharType="separate"/>
            </w:r>
            <w:r w:rsidR="00093386">
              <w:rPr>
                <w:noProof/>
                <w:webHidden/>
              </w:rPr>
              <w:t>73</w:t>
            </w:r>
            <w:r>
              <w:rPr>
                <w:noProof/>
                <w:webHidden/>
              </w:rPr>
              <w:fldChar w:fldCharType="end"/>
            </w:r>
          </w:hyperlink>
        </w:p>
        <w:p w:rsidR="00225241" w:rsidRDefault="00D82A9D">
          <w:pPr>
            <w:pStyle w:val="Obsah2"/>
            <w:tabs>
              <w:tab w:val="left" w:pos="880"/>
              <w:tab w:val="right" w:leader="dot" w:pos="8777"/>
            </w:tabs>
            <w:rPr>
              <w:rFonts w:asciiTheme="minorHAnsi" w:eastAsiaTheme="minorEastAsia" w:hAnsiTheme="minorHAnsi" w:cstheme="minorBidi"/>
              <w:noProof/>
              <w:sz w:val="22"/>
              <w:szCs w:val="22"/>
              <w:lang w:eastAsia="cs-CZ"/>
            </w:rPr>
          </w:pPr>
          <w:hyperlink w:anchor="_Toc279696229" w:history="1">
            <w:r w:rsidR="00225241" w:rsidRPr="00537B61">
              <w:rPr>
                <w:rStyle w:val="Hypertextovodkaz"/>
                <w:noProof/>
              </w:rPr>
              <w:t>3.3</w:t>
            </w:r>
            <w:r w:rsidR="00225241">
              <w:rPr>
                <w:rFonts w:asciiTheme="minorHAnsi" w:eastAsiaTheme="minorEastAsia" w:hAnsiTheme="minorHAnsi" w:cstheme="minorBidi"/>
                <w:noProof/>
                <w:sz w:val="22"/>
                <w:szCs w:val="22"/>
                <w:lang w:eastAsia="cs-CZ"/>
              </w:rPr>
              <w:tab/>
            </w:r>
            <w:r w:rsidR="00225241" w:rsidRPr="00537B61">
              <w:rPr>
                <w:rStyle w:val="Hypertextovodkaz"/>
                <w:noProof/>
              </w:rPr>
              <w:t>Reálný sektor</w:t>
            </w:r>
            <w:r w:rsidR="00225241">
              <w:rPr>
                <w:noProof/>
                <w:webHidden/>
              </w:rPr>
              <w:tab/>
            </w:r>
            <w:r>
              <w:rPr>
                <w:noProof/>
                <w:webHidden/>
              </w:rPr>
              <w:fldChar w:fldCharType="begin"/>
            </w:r>
            <w:r w:rsidR="00225241">
              <w:rPr>
                <w:noProof/>
                <w:webHidden/>
              </w:rPr>
              <w:instrText xml:space="preserve"> PAGEREF _Toc279696229 \h </w:instrText>
            </w:r>
            <w:r>
              <w:rPr>
                <w:noProof/>
                <w:webHidden/>
              </w:rPr>
            </w:r>
            <w:r>
              <w:rPr>
                <w:noProof/>
                <w:webHidden/>
              </w:rPr>
              <w:fldChar w:fldCharType="separate"/>
            </w:r>
            <w:r w:rsidR="00093386">
              <w:rPr>
                <w:noProof/>
                <w:webHidden/>
              </w:rPr>
              <w:t>78</w:t>
            </w:r>
            <w:r>
              <w:rPr>
                <w:noProof/>
                <w:webHidden/>
              </w:rPr>
              <w:fldChar w:fldCharType="end"/>
            </w:r>
          </w:hyperlink>
        </w:p>
        <w:p w:rsidR="00225241" w:rsidRDefault="00D82A9D">
          <w:pPr>
            <w:pStyle w:val="Obsah1"/>
            <w:tabs>
              <w:tab w:val="left" w:pos="480"/>
              <w:tab w:val="right" w:leader="dot" w:pos="8777"/>
            </w:tabs>
            <w:rPr>
              <w:rFonts w:asciiTheme="minorHAnsi" w:eastAsiaTheme="minorEastAsia" w:hAnsiTheme="minorHAnsi" w:cstheme="minorBidi"/>
              <w:noProof/>
              <w:sz w:val="22"/>
              <w:szCs w:val="22"/>
              <w:lang w:eastAsia="cs-CZ"/>
            </w:rPr>
          </w:pPr>
          <w:hyperlink w:anchor="_Toc279696230" w:history="1">
            <w:r w:rsidR="00225241" w:rsidRPr="00537B61">
              <w:rPr>
                <w:rStyle w:val="Hypertextovodkaz"/>
                <w:noProof/>
              </w:rPr>
              <w:t>4</w:t>
            </w:r>
            <w:r w:rsidR="00225241">
              <w:rPr>
                <w:rFonts w:asciiTheme="minorHAnsi" w:eastAsiaTheme="minorEastAsia" w:hAnsiTheme="minorHAnsi" w:cstheme="minorBidi"/>
                <w:noProof/>
                <w:sz w:val="22"/>
                <w:szCs w:val="22"/>
                <w:lang w:eastAsia="cs-CZ"/>
              </w:rPr>
              <w:tab/>
            </w:r>
            <w:r w:rsidR="00225241" w:rsidRPr="00537B61">
              <w:rPr>
                <w:rStyle w:val="Hypertextovodkaz"/>
                <w:noProof/>
              </w:rPr>
              <w:t>Analýza efektivity působení nástrojů hospodářské politiky v kontextu ekonomické krize</w:t>
            </w:r>
            <w:r w:rsidR="00225241">
              <w:rPr>
                <w:noProof/>
                <w:webHidden/>
              </w:rPr>
              <w:tab/>
            </w:r>
            <w:r w:rsidR="00225241">
              <w:rPr>
                <w:noProof/>
                <w:webHidden/>
              </w:rPr>
              <w:tab/>
            </w:r>
            <w:r>
              <w:rPr>
                <w:noProof/>
                <w:webHidden/>
              </w:rPr>
              <w:fldChar w:fldCharType="begin"/>
            </w:r>
            <w:r w:rsidR="00225241">
              <w:rPr>
                <w:noProof/>
                <w:webHidden/>
              </w:rPr>
              <w:instrText xml:space="preserve"> PAGEREF _Toc279696230 \h </w:instrText>
            </w:r>
            <w:r>
              <w:rPr>
                <w:noProof/>
                <w:webHidden/>
              </w:rPr>
            </w:r>
            <w:r>
              <w:rPr>
                <w:noProof/>
                <w:webHidden/>
              </w:rPr>
              <w:fldChar w:fldCharType="separate"/>
            </w:r>
            <w:r w:rsidR="00093386">
              <w:rPr>
                <w:noProof/>
                <w:webHidden/>
              </w:rPr>
              <w:t>85</w:t>
            </w:r>
            <w:r>
              <w:rPr>
                <w:noProof/>
                <w:webHidden/>
              </w:rPr>
              <w:fldChar w:fldCharType="end"/>
            </w:r>
          </w:hyperlink>
        </w:p>
        <w:p w:rsidR="00225241" w:rsidRDefault="00D82A9D">
          <w:pPr>
            <w:pStyle w:val="Obsah2"/>
            <w:tabs>
              <w:tab w:val="left" w:pos="880"/>
              <w:tab w:val="right" w:leader="dot" w:pos="8777"/>
            </w:tabs>
            <w:rPr>
              <w:rFonts w:asciiTheme="minorHAnsi" w:eastAsiaTheme="minorEastAsia" w:hAnsiTheme="minorHAnsi" w:cstheme="minorBidi"/>
              <w:noProof/>
              <w:sz w:val="22"/>
              <w:szCs w:val="22"/>
              <w:lang w:eastAsia="cs-CZ"/>
            </w:rPr>
          </w:pPr>
          <w:hyperlink w:anchor="_Toc279696231" w:history="1">
            <w:r w:rsidR="00225241" w:rsidRPr="00537B61">
              <w:rPr>
                <w:rStyle w:val="Hypertextovodkaz"/>
                <w:noProof/>
              </w:rPr>
              <w:t>4.1</w:t>
            </w:r>
            <w:r w:rsidR="00225241">
              <w:rPr>
                <w:rFonts w:asciiTheme="minorHAnsi" w:eastAsiaTheme="minorEastAsia" w:hAnsiTheme="minorHAnsi" w:cstheme="minorBidi"/>
                <w:noProof/>
                <w:sz w:val="22"/>
                <w:szCs w:val="22"/>
                <w:lang w:eastAsia="cs-CZ"/>
              </w:rPr>
              <w:tab/>
            </w:r>
            <w:r w:rsidR="00225241" w:rsidRPr="00537B61">
              <w:rPr>
                <w:rStyle w:val="Hypertextovodkaz"/>
                <w:noProof/>
              </w:rPr>
              <w:t>Národní protikrizový plán</w:t>
            </w:r>
            <w:r w:rsidR="00225241">
              <w:rPr>
                <w:noProof/>
                <w:webHidden/>
              </w:rPr>
              <w:tab/>
            </w:r>
            <w:r>
              <w:rPr>
                <w:noProof/>
                <w:webHidden/>
              </w:rPr>
              <w:fldChar w:fldCharType="begin"/>
            </w:r>
            <w:r w:rsidR="00225241">
              <w:rPr>
                <w:noProof/>
                <w:webHidden/>
              </w:rPr>
              <w:instrText xml:space="preserve"> PAGEREF _Toc279696231 \h </w:instrText>
            </w:r>
            <w:r>
              <w:rPr>
                <w:noProof/>
                <w:webHidden/>
              </w:rPr>
            </w:r>
            <w:r>
              <w:rPr>
                <w:noProof/>
                <w:webHidden/>
              </w:rPr>
              <w:fldChar w:fldCharType="separate"/>
            </w:r>
            <w:r w:rsidR="00093386">
              <w:rPr>
                <w:noProof/>
                <w:webHidden/>
              </w:rPr>
              <w:t>87</w:t>
            </w:r>
            <w:r>
              <w:rPr>
                <w:noProof/>
                <w:webHidden/>
              </w:rPr>
              <w:fldChar w:fldCharType="end"/>
            </w:r>
          </w:hyperlink>
        </w:p>
        <w:p w:rsidR="00225241" w:rsidRDefault="00D82A9D">
          <w:pPr>
            <w:pStyle w:val="Obsah3"/>
            <w:tabs>
              <w:tab w:val="left" w:pos="1320"/>
              <w:tab w:val="right" w:leader="dot" w:pos="8777"/>
            </w:tabs>
            <w:rPr>
              <w:rFonts w:asciiTheme="minorHAnsi" w:eastAsiaTheme="minorEastAsia" w:hAnsiTheme="minorHAnsi" w:cstheme="minorBidi"/>
              <w:noProof/>
              <w:sz w:val="22"/>
              <w:szCs w:val="22"/>
              <w:lang w:eastAsia="cs-CZ"/>
            </w:rPr>
          </w:pPr>
          <w:hyperlink w:anchor="_Toc279696232" w:history="1">
            <w:r w:rsidR="00225241" w:rsidRPr="00537B61">
              <w:rPr>
                <w:rStyle w:val="Hypertextovodkaz"/>
                <w:noProof/>
              </w:rPr>
              <w:t>4.1.1</w:t>
            </w:r>
            <w:r w:rsidR="00225241">
              <w:rPr>
                <w:rFonts w:asciiTheme="minorHAnsi" w:eastAsiaTheme="minorEastAsia" w:hAnsiTheme="minorHAnsi" w:cstheme="minorBidi"/>
                <w:noProof/>
                <w:sz w:val="22"/>
                <w:szCs w:val="22"/>
                <w:lang w:eastAsia="cs-CZ"/>
              </w:rPr>
              <w:tab/>
            </w:r>
            <w:r w:rsidR="00225241" w:rsidRPr="00537B61">
              <w:rPr>
                <w:rStyle w:val="Hypertextovodkaz"/>
                <w:noProof/>
              </w:rPr>
              <w:t>Analýza dílčích opatření NPP</w:t>
            </w:r>
            <w:r w:rsidR="00225241">
              <w:rPr>
                <w:noProof/>
                <w:webHidden/>
              </w:rPr>
              <w:tab/>
            </w:r>
            <w:r>
              <w:rPr>
                <w:noProof/>
                <w:webHidden/>
              </w:rPr>
              <w:fldChar w:fldCharType="begin"/>
            </w:r>
            <w:r w:rsidR="00225241">
              <w:rPr>
                <w:noProof/>
                <w:webHidden/>
              </w:rPr>
              <w:instrText xml:space="preserve"> PAGEREF _Toc279696232 \h </w:instrText>
            </w:r>
            <w:r>
              <w:rPr>
                <w:noProof/>
                <w:webHidden/>
              </w:rPr>
            </w:r>
            <w:r>
              <w:rPr>
                <w:noProof/>
                <w:webHidden/>
              </w:rPr>
              <w:fldChar w:fldCharType="separate"/>
            </w:r>
            <w:r w:rsidR="00093386">
              <w:rPr>
                <w:noProof/>
                <w:webHidden/>
              </w:rPr>
              <w:t>88</w:t>
            </w:r>
            <w:r>
              <w:rPr>
                <w:noProof/>
                <w:webHidden/>
              </w:rPr>
              <w:fldChar w:fldCharType="end"/>
            </w:r>
          </w:hyperlink>
        </w:p>
        <w:p w:rsidR="00225241" w:rsidRDefault="00D82A9D">
          <w:pPr>
            <w:pStyle w:val="Obsah2"/>
            <w:tabs>
              <w:tab w:val="left" w:pos="880"/>
              <w:tab w:val="right" w:leader="dot" w:pos="8777"/>
            </w:tabs>
            <w:rPr>
              <w:rFonts w:asciiTheme="minorHAnsi" w:eastAsiaTheme="minorEastAsia" w:hAnsiTheme="minorHAnsi" w:cstheme="minorBidi"/>
              <w:noProof/>
              <w:sz w:val="22"/>
              <w:szCs w:val="22"/>
              <w:lang w:eastAsia="cs-CZ"/>
            </w:rPr>
          </w:pPr>
          <w:hyperlink w:anchor="_Toc279696233" w:history="1">
            <w:r w:rsidR="00225241" w:rsidRPr="00537B61">
              <w:rPr>
                <w:rStyle w:val="Hypertextovodkaz"/>
                <w:noProof/>
              </w:rPr>
              <w:t>4.2</w:t>
            </w:r>
            <w:r w:rsidR="00225241">
              <w:rPr>
                <w:rFonts w:asciiTheme="minorHAnsi" w:eastAsiaTheme="minorEastAsia" w:hAnsiTheme="minorHAnsi" w:cstheme="minorBidi"/>
                <w:noProof/>
                <w:sz w:val="22"/>
                <w:szCs w:val="22"/>
                <w:lang w:eastAsia="cs-CZ"/>
              </w:rPr>
              <w:tab/>
            </w:r>
            <w:r w:rsidR="00225241" w:rsidRPr="00537B61">
              <w:rPr>
                <w:rStyle w:val="Hypertextovodkaz"/>
                <w:noProof/>
              </w:rPr>
              <w:t>Závěrečná zpráva NERV</w:t>
            </w:r>
            <w:r w:rsidR="00225241">
              <w:rPr>
                <w:noProof/>
                <w:webHidden/>
              </w:rPr>
              <w:tab/>
            </w:r>
            <w:r>
              <w:rPr>
                <w:noProof/>
                <w:webHidden/>
              </w:rPr>
              <w:fldChar w:fldCharType="begin"/>
            </w:r>
            <w:r w:rsidR="00225241">
              <w:rPr>
                <w:noProof/>
                <w:webHidden/>
              </w:rPr>
              <w:instrText xml:space="preserve"> PAGEREF _Toc279696233 \h </w:instrText>
            </w:r>
            <w:r>
              <w:rPr>
                <w:noProof/>
                <w:webHidden/>
              </w:rPr>
            </w:r>
            <w:r>
              <w:rPr>
                <w:noProof/>
                <w:webHidden/>
              </w:rPr>
              <w:fldChar w:fldCharType="separate"/>
            </w:r>
            <w:r w:rsidR="00093386">
              <w:rPr>
                <w:noProof/>
                <w:webHidden/>
              </w:rPr>
              <w:t>91</w:t>
            </w:r>
            <w:r>
              <w:rPr>
                <w:noProof/>
                <w:webHidden/>
              </w:rPr>
              <w:fldChar w:fldCharType="end"/>
            </w:r>
          </w:hyperlink>
        </w:p>
        <w:p w:rsidR="00225241" w:rsidRDefault="00D82A9D">
          <w:pPr>
            <w:pStyle w:val="Obsah2"/>
            <w:tabs>
              <w:tab w:val="left" w:pos="880"/>
              <w:tab w:val="right" w:leader="dot" w:pos="8777"/>
            </w:tabs>
            <w:rPr>
              <w:rFonts w:asciiTheme="minorHAnsi" w:eastAsiaTheme="minorEastAsia" w:hAnsiTheme="minorHAnsi" w:cstheme="minorBidi"/>
              <w:noProof/>
              <w:sz w:val="22"/>
              <w:szCs w:val="22"/>
              <w:lang w:eastAsia="cs-CZ"/>
            </w:rPr>
          </w:pPr>
          <w:hyperlink w:anchor="_Toc279696234" w:history="1">
            <w:r w:rsidR="00225241" w:rsidRPr="00537B61">
              <w:rPr>
                <w:rStyle w:val="Hypertextovodkaz"/>
                <w:noProof/>
              </w:rPr>
              <w:t>4.3</w:t>
            </w:r>
            <w:r w:rsidR="00225241">
              <w:rPr>
                <w:rFonts w:asciiTheme="minorHAnsi" w:eastAsiaTheme="minorEastAsia" w:hAnsiTheme="minorHAnsi" w:cstheme="minorBidi"/>
                <w:noProof/>
                <w:sz w:val="22"/>
                <w:szCs w:val="22"/>
                <w:lang w:eastAsia="cs-CZ"/>
              </w:rPr>
              <w:tab/>
            </w:r>
            <w:r w:rsidR="00225241" w:rsidRPr="00537B61">
              <w:rPr>
                <w:rStyle w:val="Hypertextovodkaz"/>
                <w:noProof/>
              </w:rPr>
              <w:t>Zákon o podpoře hospodářského růstu a sociální stability a jeho potenciální dopady</w:t>
            </w:r>
            <w:r w:rsidR="00225241">
              <w:rPr>
                <w:noProof/>
                <w:webHidden/>
              </w:rPr>
              <w:tab/>
            </w:r>
            <w:r>
              <w:rPr>
                <w:noProof/>
                <w:webHidden/>
              </w:rPr>
              <w:fldChar w:fldCharType="begin"/>
            </w:r>
            <w:r w:rsidR="00225241">
              <w:rPr>
                <w:noProof/>
                <w:webHidden/>
              </w:rPr>
              <w:instrText xml:space="preserve"> PAGEREF _Toc279696234 \h </w:instrText>
            </w:r>
            <w:r>
              <w:rPr>
                <w:noProof/>
                <w:webHidden/>
              </w:rPr>
            </w:r>
            <w:r>
              <w:rPr>
                <w:noProof/>
                <w:webHidden/>
              </w:rPr>
              <w:fldChar w:fldCharType="separate"/>
            </w:r>
            <w:r w:rsidR="00093386">
              <w:rPr>
                <w:noProof/>
                <w:webHidden/>
              </w:rPr>
              <w:t>92</w:t>
            </w:r>
            <w:r>
              <w:rPr>
                <w:noProof/>
                <w:webHidden/>
              </w:rPr>
              <w:fldChar w:fldCharType="end"/>
            </w:r>
          </w:hyperlink>
        </w:p>
        <w:p w:rsidR="00225241" w:rsidRDefault="00D82A9D">
          <w:pPr>
            <w:pStyle w:val="Obsah2"/>
            <w:tabs>
              <w:tab w:val="left" w:pos="880"/>
              <w:tab w:val="right" w:leader="dot" w:pos="8777"/>
            </w:tabs>
            <w:rPr>
              <w:rFonts w:asciiTheme="minorHAnsi" w:eastAsiaTheme="minorEastAsia" w:hAnsiTheme="minorHAnsi" w:cstheme="minorBidi"/>
              <w:noProof/>
              <w:sz w:val="22"/>
              <w:szCs w:val="22"/>
              <w:lang w:eastAsia="cs-CZ"/>
            </w:rPr>
          </w:pPr>
          <w:hyperlink w:anchor="_Toc279696235" w:history="1">
            <w:r w:rsidR="00225241" w:rsidRPr="00537B61">
              <w:rPr>
                <w:rStyle w:val="Hypertextovodkaz"/>
                <w:noProof/>
              </w:rPr>
              <w:t>4.4</w:t>
            </w:r>
            <w:r w:rsidR="00225241">
              <w:rPr>
                <w:rFonts w:asciiTheme="minorHAnsi" w:eastAsiaTheme="minorEastAsia" w:hAnsiTheme="minorHAnsi" w:cstheme="minorBidi"/>
                <w:noProof/>
                <w:sz w:val="22"/>
                <w:szCs w:val="22"/>
                <w:lang w:eastAsia="cs-CZ"/>
              </w:rPr>
              <w:tab/>
            </w:r>
            <w:r w:rsidR="00225241" w:rsidRPr="00537B61">
              <w:rPr>
                <w:rStyle w:val="Hypertextovodkaz"/>
                <w:noProof/>
              </w:rPr>
              <w:t>Janotův úsporný balíček</w:t>
            </w:r>
            <w:r w:rsidR="00225241">
              <w:rPr>
                <w:noProof/>
                <w:webHidden/>
              </w:rPr>
              <w:tab/>
            </w:r>
            <w:r>
              <w:rPr>
                <w:noProof/>
                <w:webHidden/>
              </w:rPr>
              <w:fldChar w:fldCharType="begin"/>
            </w:r>
            <w:r w:rsidR="00225241">
              <w:rPr>
                <w:noProof/>
                <w:webHidden/>
              </w:rPr>
              <w:instrText xml:space="preserve"> PAGEREF _Toc279696235 \h </w:instrText>
            </w:r>
            <w:r>
              <w:rPr>
                <w:noProof/>
                <w:webHidden/>
              </w:rPr>
            </w:r>
            <w:r>
              <w:rPr>
                <w:noProof/>
                <w:webHidden/>
              </w:rPr>
              <w:fldChar w:fldCharType="separate"/>
            </w:r>
            <w:r w:rsidR="00093386">
              <w:rPr>
                <w:noProof/>
                <w:webHidden/>
              </w:rPr>
              <w:t>94</w:t>
            </w:r>
            <w:r>
              <w:rPr>
                <w:noProof/>
                <w:webHidden/>
              </w:rPr>
              <w:fldChar w:fldCharType="end"/>
            </w:r>
          </w:hyperlink>
        </w:p>
        <w:p w:rsidR="00225241" w:rsidRDefault="00D82A9D">
          <w:pPr>
            <w:pStyle w:val="Obsah3"/>
            <w:tabs>
              <w:tab w:val="left" w:pos="1320"/>
              <w:tab w:val="right" w:leader="dot" w:pos="8777"/>
            </w:tabs>
            <w:rPr>
              <w:rFonts w:asciiTheme="minorHAnsi" w:eastAsiaTheme="minorEastAsia" w:hAnsiTheme="minorHAnsi" w:cstheme="minorBidi"/>
              <w:noProof/>
              <w:sz w:val="22"/>
              <w:szCs w:val="22"/>
              <w:lang w:eastAsia="cs-CZ"/>
            </w:rPr>
          </w:pPr>
          <w:hyperlink w:anchor="_Toc279696236" w:history="1">
            <w:r w:rsidR="00225241" w:rsidRPr="00537B61">
              <w:rPr>
                <w:rStyle w:val="Hypertextovodkaz"/>
                <w:noProof/>
              </w:rPr>
              <w:t>4.4.1</w:t>
            </w:r>
            <w:r w:rsidR="00225241">
              <w:rPr>
                <w:rFonts w:asciiTheme="minorHAnsi" w:eastAsiaTheme="minorEastAsia" w:hAnsiTheme="minorHAnsi" w:cstheme="minorBidi"/>
                <w:noProof/>
                <w:sz w:val="22"/>
                <w:szCs w:val="22"/>
                <w:lang w:eastAsia="cs-CZ"/>
              </w:rPr>
              <w:tab/>
            </w:r>
            <w:r w:rsidR="00225241" w:rsidRPr="00537B61">
              <w:rPr>
                <w:rStyle w:val="Hypertextovodkaz"/>
                <w:noProof/>
              </w:rPr>
              <w:t>Analýza úsporných opatření v rámci státního rozpočtu na rok 2010</w:t>
            </w:r>
            <w:r w:rsidR="00225241">
              <w:rPr>
                <w:noProof/>
                <w:webHidden/>
              </w:rPr>
              <w:tab/>
            </w:r>
            <w:r>
              <w:rPr>
                <w:noProof/>
                <w:webHidden/>
              </w:rPr>
              <w:fldChar w:fldCharType="begin"/>
            </w:r>
            <w:r w:rsidR="00225241">
              <w:rPr>
                <w:noProof/>
                <w:webHidden/>
              </w:rPr>
              <w:instrText xml:space="preserve"> PAGEREF _Toc279696236 \h </w:instrText>
            </w:r>
            <w:r>
              <w:rPr>
                <w:noProof/>
                <w:webHidden/>
              </w:rPr>
            </w:r>
            <w:r>
              <w:rPr>
                <w:noProof/>
                <w:webHidden/>
              </w:rPr>
              <w:fldChar w:fldCharType="separate"/>
            </w:r>
            <w:r w:rsidR="00093386">
              <w:rPr>
                <w:noProof/>
                <w:webHidden/>
              </w:rPr>
              <w:t>97</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237" w:history="1">
            <w:r w:rsidR="00225241" w:rsidRPr="00537B61">
              <w:rPr>
                <w:rStyle w:val="Hypertextovodkaz"/>
                <w:noProof/>
              </w:rPr>
              <w:t>Závěr</w:t>
            </w:r>
            <w:r w:rsidR="00225241">
              <w:rPr>
                <w:noProof/>
                <w:webHidden/>
              </w:rPr>
              <w:tab/>
            </w:r>
            <w:r>
              <w:rPr>
                <w:noProof/>
                <w:webHidden/>
              </w:rPr>
              <w:fldChar w:fldCharType="begin"/>
            </w:r>
            <w:r w:rsidR="00225241">
              <w:rPr>
                <w:noProof/>
                <w:webHidden/>
              </w:rPr>
              <w:instrText xml:space="preserve"> PAGEREF _Toc279696237 \h </w:instrText>
            </w:r>
            <w:r>
              <w:rPr>
                <w:noProof/>
                <w:webHidden/>
              </w:rPr>
            </w:r>
            <w:r>
              <w:rPr>
                <w:noProof/>
                <w:webHidden/>
              </w:rPr>
              <w:fldChar w:fldCharType="separate"/>
            </w:r>
            <w:r w:rsidR="00093386">
              <w:rPr>
                <w:noProof/>
                <w:webHidden/>
              </w:rPr>
              <w:t>99</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238" w:history="1">
            <w:r w:rsidR="00225241" w:rsidRPr="00537B61">
              <w:rPr>
                <w:rStyle w:val="Hypertextovodkaz"/>
                <w:noProof/>
                <w:lang w:eastAsia="cs-CZ"/>
              </w:rPr>
              <w:t>Zdroje</w:t>
            </w:r>
            <w:r w:rsidR="00225241">
              <w:rPr>
                <w:noProof/>
                <w:webHidden/>
              </w:rPr>
              <w:tab/>
            </w:r>
            <w:r>
              <w:rPr>
                <w:noProof/>
                <w:webHidden/>
              </w:rPr>
              <w:fldChar w:fldCharType="begin"/>
            </w:r>
            <w:r w:rsidR="00225241">
              <w:rPr>
                <w:noProof/>
                <w:webHidden/>
              </w:rPr>
              <w:instrText xml:space="preserve"> PAGEREF _Toc279696238 \h </w:instrText>
            </w:r>
            <w:r>
              <w:rPr>
                <w:noProof/>
                <w:webHidden/>
              </w:rPr>
            </w:r>
            <w:r>
              <w:rPr>
                <w:noProof/>
                <w:webHidden/>
              </w:rPr>
              <w:fldChar w:fldCharType="separate"/>
            </w:r>
            <w:r w:rsidR="00093386">
              <w:rPr>
                <w:noProof/>
                <w:webHidden/>
              </w:rPr>
              <w:t>103</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239" w:history="1">
            <w:r w:rsidR="00225241" w:rsidRPr="00537B61">
              <w:rPr>
                <w:rStyle w:val="Hypertextovodkaz"/>
                <w:noProof/>
              </w:rPr>
              <w:t>Přílohy</w:t>
            </w:r>
            <w:r w:rsidR="00225241">
              <w:rPr>
                <w:noProof/>
                <w:webHidden/>
              </w:rPr>
              <w:tab/>
            </w:r>
            <w:r>
              <w:rPr>
                <w:noProof/>
                <w:webHidden/>
              </w:rPr>
              <w:fldChar w:fldCharType="begin"/>
            </w:r>
            <w:r w:rsidR="00225241">
              <w:rPr>
                <w:noProof/>
                <w:webHidden/>
              </w:rPr>
              <w:instrText xml:space="preserve"> PAGEREF _Toc279696239 \h </w:instrText>
            </w:r>
            <w:r>
              <w:rPr>
                <w:noProof/>
                <w:webHidden/>
              </w:rPr>
            </w:r>
            <w:r>
              <w:rPr>
                <w:noProof/>
                <w:webHidden/>
              </w:rPr>
              <w:fldChar w:fldCharType="separate"/>
            </w:r>
            <w:r w:rsidR="00093386">
              <w:rPr>
                <w:noProof/>
                <w:webHidden/>
              </w:rPr>
              <w:t>106</w:t>
            </w:r>
            <w:r>
              <w:rPr>
                <w:noProof/>
                <w:webHidden/>
              </w:rPr>
              <w:fldChar w:fldCharType="end"/>
            </w:r>
          </w:hyperlink>
        </w:p>
        <w:p w:rsidR="00EF44D8" w:rsidRPr="007E3D67" w:rsidRDefault="00D82A9D">
          <w:r w:rsidRPr="007E3D67">
            <w:fldChar w:fldCharType="end"/>
          </w:r>
        </w:p>
      </w:sdtContent>
    </w:sdt>
    <w:p w:rsidR="00EF44D8" w:rsidRPr="007E3D67" w:rsidRDefault="00EF44D8" w:rsidP="00EF44D8">
      <w:pPr>
        <w:pStyle w:val="Nadpis1"/>
        <w:numPr>
          <w:ilvl w:val="0"/>
          <w:numId w:val="0"/>
        </w:numPr>
        <w:rPr>
          <w:lang w:val="cs-CZ"/>
        </w:rPr>
      </w:pPr>
      <w:bookmarkStart w:id="1" w:name="_Toc279310376"/>
      <w:bookmarkStart w:id="2" w:name="_Toc279425578"/>
      <w:bookmarkStart w:id="3" w:name="_Toc279426005"/>
      <w:bookmarkStart w:id="4" w:name="_Toc279438556"/>
      <w:bookmarkStart w:id="5" w:name="_Toc279693642"/>
      <w:bookmarkStart w:id="6" w:name="_Toc279696199"/>
      <w:r w:rsidRPr="007E3D67">
        <w:rPr>
          <w:lang w:val="cs-CZ"/>
        </w:rPr>
        <w:lastRenderedPageBreak/>
        <w:t>Seznam zkratek</w:t>
      </w:r>
      <w:bookmarkEnd w:id="1"/>
      <w:bookmarkEnd w:id="2"/>
      <w:bookmarkEnd w:id="3"/>
      <w:bookmarkEnd w:id="4"/>
      <w:bookmarkEnd w:id="5"/>
      <w:bookmarkEnd w:id="6"/>
    </w:p>
    <w:p w:rsidR="00821319" w:rsidRPr="007E3D67" w:rsidRDefault="00821319" w:rsidP="00EF44D8">
      <w:pPr>
        <w:pStyle w:val="Seznamzkratek"/>
      </w:pPr>
      <w:r w:rsidRPr="007E3D67">
        <w:t>AD</w:t>
      </w:r>
      <w:r w:rsidRPr="007E3D67">
        <w:tab/>
      </w:r>
      <w:r w:rsidR="00132979" w:rsidRPr="007E3D67">
        <w:t>A</w:t>
      </w:r>
      <w:r w:rsidRPr="007E3D67">
        <w:t>gregátní poptávka</w:t>
      </w:r>
    </w:p>
    <w:p w:rsidR="00821319" w:rsidRPr="007E3D67" w:rsidRDefault="00821319" w:rsidP="00EF44D8">
      <w:pPr>
        <w:pStyle w:val="Seznamzkratek"/>
      </w:pPr>
      <w:r w:rsidRPr="007E3D67">
        <w:t>AS</w:t>
      </w:r>
      <w:r w:rsidR="00132979" w:rsidRPr="007E3D67">
        <w:tab/>
        <w:t>Agregátní nabídka</w:t>
      </w:r>
    </w:p>
    <w:p w:rsidR="00821319" w:rsidRPr="007E3D67" w:rsidRDefault="00821319" w:rsidP="00EF44D8">
      <w:pPr>
        <w:pStyle w:val="Seznamzkratek"/>
      </w:pPr>
      <w:r w:rsidRPr="007E3D67">
        <w:t>CPI</w:t>
      </w:r>
      <w:r w:rsidR="00F8704F" w:rsidRPr="007E3D67">
        <w:tab/>
        <w:t>Index spotřebitelských cen</w:t>
      </w:r>
    </w:p>
    <w:p w:rsidR="00821319" w:rsidRPr="007E3D67" w:rsidRDefault="00821319" w:rsidP="00EF44D8">
      <w:pPr>
        <w:pStyle w:val="Seznamzkratek"/>
      </w:pPr>
      <w:r w:rsidRPr="007E3D67">
        <w:t>ČR</w:t>
      </w:r>
      <w:r w:rsidRPr="007E3D67">
        <w:tab/>
        <w:t>Česká republika</w:t>
      </w:r>
    </w:p>
    <w:p w:rsidR="007E3D67" w:rsidRDefault="00821319" w:rsidP="00EF44D8">
      <w:pPr>
        <w:pStyle w:val="Seznamzkratek"/>
      </w:pPr>
      <w:r w:rsidRPr="007E3D67">
        <w:t>DD</w:t>
      </w:r>
      <w:r w:rsidR="00F8704F" w:rsidRPr="007E3D67">
        <w:tab/>
        <w:t xml:space="preserve">Dlouhodobý </w:t>
      </w:r>
    </w:p>
    <w:p w:rsidR="00821319" w:rsidRPr="007E3D67" w:rsidRDefault="00821319" w:rsidP="00EF44D8">
      <w:pPr>
        <w:pStyle w:val="Seznamzkratek"/>
      </w:pPr>
      <w:r w:rsidRPr="007E3D67">
        <w:t>EU</w:t>
      </w:r>
      <w:r w:rsidRPr="007E3D67">
        <w:tab/>
        <w:t>Evropská unie</w:t>
      </w:r>
    </w:p>
    <w:p w:rsidR="00821319" w:rsidRPr="007E3D67" w:rsidRDefault="00821319" w:rsidP="00EF44D8">
      <w:pPr>
        <w:pStyle w:val="Seznamzkratek"/>
      </w:pPr>
      <w:r w:rsidRPr="007E3D67">
        <w:t>FED</w:t>
      </w:r>
      <w:r w:rsidR="00132979" w:rsidRPr="007E3D67">
        <w:tab/>
      </w:r>
      <w:proofErr w:type="spellStart"/>
      <w:r w:rsidR="00132979" w:rsidRPr="007E3D67">
        <w:t>The</w:t>
      </w:r>
      <w:proofErr w:type="spellEnd"/>
      <w:r w:rsidR="00132979" w:rsidRPr="007E3D67">
        <w:t xml:space="preserve"> </w:t>
      </w:r>
      <w:proofErr w:type="spellStart"/>
      <w:r w:rsidR="00132979" w:rsidRPr="007E3D67">
        <w:t>Federal</w:t>
      </w:r>
      <w:proofErr w:type="spellEnd"/>
      <w:r w:rsidR="00132979" w:rsidRPr="007E3D67">
        <w:t xml:space="preserve"> </w:t>
      </w:r>
      <w:proofErr w:type="spellStart"/>
      <w:r w:rsidR="00132979" w:rsidRPr="007E3D67">
        <w:t>Reserve</w:t>
      </w:r>
      <w:proofErr w:type="spellEnd"/>
      <w:r w:rsidR="00132979" w:rsidRPr="007E3D67">
        <w:t xml:space="preserve"> </w:t>
      </w:r>
      <w:proofErr w:type="spellStart"/>
      <w:r w:rsidR="00132979" w:rsidRPr="007E3D67">
        <w:t>System</w:t>
      </w:r>
      <w:proofErr w:type="spellEnd"/>
    </w:p>
    <w:p w:rsidR="00EF44D8" w:rsidRPr="007E3D67" w:rsidRDefault="00A76878" w:rsidP="00EF44D8">
      <w:pPr>
        <w:pStyle w:val="Seznamzkratek"/>
      </w:pPr>
      <w:r w:rsidRPr="007E3D67">
        <w:t>HDP</w:t>
      </w:r>
      <w:r w:rsidRPr="007E3D67">
        <w:tab/>
        <w:t xml:space="preserve">Hrubý domácí produkt </w:t>
      </w:r>
    </w:p>
    <w:p w:rsidR="00E724C4" w:rsidRDefault="00E724C4" w:rsidP="00EF44D8">
      <w:pPr>
        <w:pStyle w:val="Seznamzkratek"/>
      </w:pPr>
      <w:r w:rsidRPr="007E3D67">
        <w:t>IMF</w:t>
      </w:r>
      <w:r w:rsidR="00835CD0" w:rsidRPr="007E3D67">
        <w:tab/>
      </w:r>
      <w:proofErr w:type="spellStart"/>
      <w:r w:rsidR="00835CD0" w:rsidRPr="007E3D67">
        <w:t>International</w:t>
      </w:r>
      <w:proofErr w:type="spellEnd"/>
      <w:r w:rsidR="00835CD0" w:rsidRPr="007E3D67">
        <w:t xml:space="preserve"> </w:t>
      </w:r>
      <w:proofErr w:type="spellStart"/>
      <w:r w:rsidR="00835CD0" w:rsidRPr="007E3D67">
        <w:t>Monetary</w:t>
      </w:r>
      <w:proofErr w:type="spellEnd"/>
      <w:r w:rsidR="00835CD0" w:rsidRPr="007E3D67">
        <w:t xml:space="preserve"> </w:t>
      </w:r>
      <w:proofErr w:type="spellStart"/>
      <w:r w:rsidR="00835CD0" w:rsidRPr="007E3D67">
        <w:t>Fund</w:t>
      </w:r>
      <w:proofErr w:type="spellEnd"/>
      <w:r w:rsidR="00835CD0" w:rsidRPr="007E3D67">
        <w:t xml:space="preserve"> </w:t>
      </w:r>
    </w:p>
    <w:p w:rsidR="00492098" w:rsidRDefault="00492098" w:rsidP="00EF44D8">
      <w:pPr>
        <w:pStyle w:val="Seznamzkratek"/>
      </w:pPr>
      <w:r>
        <w:t>MBA</w:t>
      </w:r>
      <w:r>
        <w:tab/>
      </w:r>
      <w:proofErr w:type="spellStart"/>
      <w:r w:rsidRPr="00492098">
        <w:rPr>
          <w:rStyle w:val="apple-style-span"/>
          <w:rFonts w:eastAsiaTheme="majorEastAsia"/>
        </w:rPr>
        <w:t>Mortgage</w:t>
      </w:r>
      <w:proofErr w:type="spellEnd"/>
      <w:r w:rsidRPr="00492098">
        <w:rPr>
          <w:rStyle w:val="apple-style-span"/>
          <w:rFonts w:eastAsiaTheme="majorEastAsia"/>
        </w:rPr>
        <w:t xml:space="preserve"> </w:t>
      </w:r>
      <w:proofErr w:type="spellStart"/>
      <w:r w:rsidRPr="00492098">
        <w:rPr>
          <w:rStyle w:val="apple-style-span"/>
          <w:rFonts w:eastAsiaTheme="majorEastAsia"/>
        </w:rPr>
        <w:t>Bankers</w:t>
      </w:r>
      <w:proofErr w:type="spellEnd"/>
      <w:r w:rsidRPr="00492098">
        <w:rPr>
          <w:rStyle w:val="apple-style-span"/>
          <w:rFonts w:eastAsiaTheme="majorEastAsia"/>
        </w:rPr>
        <w:t xml:space="preserve"> </w:t>
      </w:r>
      <w:proofErr w:type="spellStart"/>
      <w:r w:rsidRPr="00492098">
        <w:rPr>
          <w:rStyle w:val="apple-style-span"/>
          <w:rFonts w:eastAsiaTheme="majorEastAsia"/>
        </w:rPr>
        <w:t>Association</w:t>
      </w:r>
      <w:proofErr w:type="spellEnd"/>
    </w:p>
    <w:p w:rsidR="004075C6" w:rsidRPr="007E3D67" w:rsidRDefault="004075C6" w:rsidP="00EF44D8">
      <w:pPr>
        <w:pStyle w:val="Seznamzkratek"/>
      </w:pPr>
      <w:r w:rsidRPr="007E3D67">
        <w:t xml:space="preserve">NAIRU </w:t>
      </w:r>
      <w:r>
        <w:tab/>
      </w:r>
      <w:r w:rsidRPr="007E3D67">
        <w:t xml:space="preserve">Non </w:t>
      </w:r>
      <w:proofErr w:type="spellStart"/>
      <w:r w:rsidRPr="007E3D67">
        <w:t>Accelerating</w:t>
      </w:r>
      <w:proofErr w:type="spellEnd"/>
      <w:r w:rsidRPr="007E3D67">
        <w:t xml:space="preserve"> </w:t>
      </w:r>
      <w:proofErr w:type="spellStart"/>
      <w:r w:rsidRPr="007E3D67">
        <w:t>Inflation</w:t>
      </w:r>
      <w:proofErr w:type="spellEnd"/>
      <w:r w:rsidRPr="007E3D67">
        <w:t xml:space="preserve"> </w:t>
      </w:r>
      <w:proofErr w:type="spellStart"/>
      <w:r w:rsidRPr="007E3D67">
        <w:t>Rate</w:t>
      </w:r>
      <w:proofErr w:type="spellEnd"/>
      <w:r w:rsidRPr="007E3D67">
        <w:t xml:space="preserve"> </w:t>
      </w:r>
      <w:proofErr w:type="spellStart"/>
      <w:r w:rsidRPr="007E3D67">
        <w:t>of</w:t>
      </w:r>
      <w:proofErr w:type="spellEnd"/>
      <w:r w:rsidRPr="007E3D67">
        <w:t xml:space="preserve"> </w:t>
      </w:r>
      <w:proofErr w:type="spellStart"/>
      <w:r w:rsidRPr="007E3D67">
        <w:t>Unemployment</w:t>
      </w:r>
      <w:proofErr w:type="spellEnd"/>
    </w:p>
    <w:p w:rsidR="00E724C4" w:rsidRPr="007E3D67" w:rsidRDefault="00E724C4" w:rsidP="00EF44D8">
      <w:pPr>
        <w:pStyle w:val="Seznamzkratek"/>
      </w:pPr>
      <w:r w:rsidRPr="007E3D67">
        <w:t>NASDAQ</w:t>
      </w:r>
      <w:r w:rsidR="00132979" w:rsidRPr="007E3D67">
        <w:tab/>
      </w:r>
      <w:proofErr w:type="spellStart"/>
      <w:r w:rsidR="00132979" w:rsidRPr="007E3D67">
        <w:t>National</w:t>
      </w:r>
      <w:proofErr w:type="spellEnd"/>
      <w:r w:rsidR="00132979" w:rsidRPr="007E3D67">
        <w:t xml:space="preserve"> </w:t>
      </w:r>
      <w:proofErr w:type="spellStart"/>
      <w:r w:rsidR="00132979" w:rsidRPr="007E3D67">
        <w:t>Associaton</w:t>
      </w:r>
      <w:proofErr w:type="spellEnd"/>
      <w:r w:rsidR="00132979" w:rsidRPr="007E3D67">
        <w:t xml:space="preserve"> </w:t>
      </w:r>
      <w:proofErr w:type="spellStart"/>
      <w:r w:rsidR="00132979" w:rsidRPr="007E3D67">
        <w:t>of</w:t>
      </w:r>
      <w:proofErr w:type="spellEnd"/>
      <w:r w:rsidR="00132979" w:rsidRPr="007E3D67">
        <w:t xml:space="preserve"> </w:t>
      </w:r>
      <w:proofErr w:type="spellStart"/>
      <w:r w:rsidR="00132979" w:rsidRPr="007E3D67">
        <w:t>Securities</w:t>
      </w:r>
      <w:proofErr w:type="spellEnd"/>
      <w:r w:rsidR="00132979" w:rsidRPr="007E3D67">
        <w:t xml:space="preserve"> </w:t>
      </w:r>
      <w:proofErr w:type="spellStart"/>
      <w:r w:rsidR="00132979" w:rsidRPr="007E3D67">
        <w:t>Dealers</w:t>
      </w:r>
      <w:proofErr w:type="spellEnd"/>
      <w:r w:rsidR="00132979" w:rsidRPr="007E3D67">
        <w:t xml:space="preserve"> </w:t>
      </w:r>
      <w:proofErr w:type="spellStart"/>
      <w:r w:rsidR="00132979" w:rsidRPr="007E3D67">
        <w:t>Automated</w:t>
      </w:r>
      <w:proofErr w:type="spellEnd"/>
      <w:r w:rsidR="00132979" w:rsidRPr="007E3D67">
        <w:t xml:space="preserve"> </w:t>
      </w:r>
      <w:proofErr w:type="spellStart"/>
      <w:r w:rsidR="00132979" w:rsidRPr="007E3D67">
        <w:t>Quotations</w:t>
      </w:r>
      <w:proofErr w:type="spellEnd"/>
    </w:p>
    <w:p w:rsidR="00DB56B7" w:rsidRPr="007E3D67" w:rsidRDefault="00DB56B7" w:rsidP="00EF44D8">
      <w:pPr>
        <w:pStyle w:val="Seznamzkratek"/>
      </w:pPr>
      <w:r w:rsidRPr="007E3D67">
        <w:t>NERV</w:t>
      </w:r>
      <w:r w:rsidRPr="007E3D67">
        <w:tab/>
        <w:t>Národní ekonomická rada vlády</w:t>
      </w:r>
    </w:p>
    <w:p w:rsidR="00E724C4" w:rsidRPr="007E3D67" w:rsidRDefault="00E724C4" w:rsidP="00EF44D8">
      <w:pPr>
        <w:pStyle w:val="Seznamzkratek"/>
      </w:pPr>
      <w:r w:rsidRPr="007E3D67">
        <w:t>NPP</w:t>
      </w:r>
      <w:r w:rsidR="00835CD0" w:rsidRPr="007E3D67">
        <w:tab/>
        <w:t>Národní protikrizový plán</w:t>
      </w:r>
    </w:p>
    <w:p w:rsidR="00E724C4" w:rsidRPr="007E3D67" w:rsidRDefault="00E724C4" w:rsidP="00EF44D8">
      <w:pPr>
        <w:pStyle w:val="Seznamzkratek"/>
      </w:pPr>
      <w:r w:rsidRPr="007E3D67">
        <w:t>OECD</w:t>
      </w:r>
      <w:r w:rsidR="00835CD0" w:rsidRPr="007E3D67">
        <w:tab/>
      </w:r>
      <w:proofErr w:type="spellStart"/>
      <w:r w:rsidR="00835CD0" w:rsidRPr="007E3D67">
        <w:t>Organisation</w:t>
      </w:r>
      <w:proofErr w:type="spellEnd"/>
      <w:r w:rsidR="00835CD0" w:rsidRPr="007E3D67">
        <w:t xml:space="preserve"> </w:t>
      </w:r>
      <w:proofErr w:type="spellStart"/>
      <w:r w:rsidR="00835CD0" w:rsidRPr="007E3D67">
        <w:t>for</w:t>
      </w:r>
      <w:proofErr w:type="spellEnd"/>
      <w:r w:rsidR="00835CD0" w:rsidRPr="007E3D67">
        <w:t xml:space="preserve"> </w:t>
      </w:r>
      <w:proofErr w:type="spellStart"/>
      <w:r w:rsidR="00835CD0" w:rsidRPr="007E3D67">
        <w:t>Economic</w:t>
      </w:r>
      <w:proofErr w:type="spellEnd"/>
      <w:r w:rsidR="00835CD0" w:rsidRPr="007E3D67">
        <w:t xml:space="preserve"> Co-</w:t>
      </w:r>
      <w:proofErr w:type="spellStart"/>
      <w:r w:rsidR="00835CD0" w:rsidRPr="007E3D67">
        <w:t>operation</w:t>
      </w:r>
      <w:proofErr w:type="spellEnd"/>
      <w:r w:rsidR="00835CD0" w:rsidRPr="007E3D67">
        <w:t xml:space="preserve"> </w:t>
      </w:r>
      <w:proofErr w:type="spellStart"/>
      <w:r w:rsidR="00835CD0" w:rsidRPr="007E3D67">
        <w:t>and</w:t>
      </w:r>
      <w:proofErr w:type="spellEnd"/>
      <w:r w:rsidR="00835CD0" w:rsidRPr="007E3D67">
        <w:t xml:space="preserve"> </w:t>
      </w:r>
      <w:proofErr w:type="spellStart"/>
      <w:r w:rsidR="00835CD0" w:rsidRPr="007E3D67">
        <w:t>Development</w:t>
      </w:r>
      <w:proofErr w:type="spellEnd"/>
    </w:p>
    <w:p w:rsidR="00E724C4" w:rsidRDefault="00E724C4" w:rsidP="00EF44D8">
      <w:pPr>
        <w:pStyle w:val="Seznamzkratek"/>
      </w:pPr>
      <w:r w:rsidRPr="007E3D67">
        <w:t>PB</w:t>
      </w:r>
      <w:r w:rsidRPr="007E3D67">
        <w:tab/>
        <w:t>Platební bilance</w:t>
      </w:r>
    </w:p>
    <w:p w:rsidR="003F60AB" w:rsidRPr="003F60AB" w:rsidRDefault="003F60AB" w:rsidP="00EF44D8">
      <w:pPr>
        <w:pStyle w:val="Seznamzkratek"/>
      </w:pPr>
      <w:r w:rsidRPr="003F60AB">
        <w:t xml:space="preserve">PPP </w:t>
      </w:r>
      <w:r w:rsidRPr="003F60AB">
        <w:tab/>
      </w:r>
      <w:proofErr w:type="spellStart"/>
      <w:r w:rsidRPr="003F60AB">
        <w:t>Purchasing</w:t>
      </w:r>
      <w:proofErr w:type="spellEnd"/>
      <w:r w:rsidRPr="003F60AB">
        <w:t xml:space="preserve"> </w:t>
      </w:r>
      <w:proofErr w:type="spellStart"/>
      <w:r w:rsidRPr="003F60AB">
        <w:t>Power</w:t>
      </w:r>
      <w:proofErr w:type="spellEnd"/>
      <w:r w:rsidRPr="003F60AB">
        <w:t xml:space="preserve"> Parity </w:t>
      </w:r>
    </w:p>
    <w:p w:rsidR="00E724C4" w:rsidRPr="007E3D67" w:rsidRDefault="00E724C4" w:rsidP="00EF44D8">
      <w:pPr>
        <w:pStyle w:val="Seznamzkratek"/>
      </w:pPr>
      <w:r w:rsidRPr="007E3D67">
        <w:t>TARP</w:t>
      </w:r>
      <w:r w:rsidR="00835CD0" w:rsidRPr="007E3D67">
        <w:tab/>
      </w:r>
      <w:proofErr w:type="spellStart"/>
      <w:r w:rsidR="00835CD0" w:rsidRPr="007E3D67">
        <w:t>Troubled</w:t>
      </w:r>
      <w:proofErr w:type="spellEnd"/>
      <w:r w:rsidR="00835CD0" w:rsidRPr="007E3D67">
        <w:t xml:space="preserve"> </w:t>
      </w:r>
      <w:proofErr w:type="spellStart"/>
      <w:r w:rsidR="00835CD0" w:rsidRPr="007E3D67">
        <w:t>Asset</w:t>
      </w:r>
      <w:proofErr w:type="spellEnd"/>
      <w:r w:rsidR="00835CD0" w:rsidRPr="007E3D67">
        <w:t xml:space="preserve"> </w:t>
      </w:r>
      <w:proofErr w:type="spellStart"/>
      <w:r w:rsidR="00835CD0" w:rsidRPr="007E3D67">
        <w:t>Relief</w:t>
      </w:r>
      <w:proofErr w:type="spellEnd"/>
      <w:r w:rsidR="00835CD0" w:rsidRPr="007E3D67">
        <w:t xml:space="preserve"> Program</w:t>
      </w:r>
    </w:p>
    <w:p w:rsidR="00E724C4" w:rsidRPr="007E3D67" w:rsidRDefault="00E724C4" w:rsidP="00EF44D8">
      <w:pPr>
        <w:pStyle w:val="Seznamzkratek"/>
      </w:pPr>
      <w:r w:rsidRPr="007E3D67">
        <w:t>WTO</w:t>
      </w:r>
      <w:r w:rsidR="00835CD0" w:rsidRPr="007E3D67">
        <w:tab/>
      </w:r>
      <w:proofErr w:type="spellStart"/>
      <w:r w:rsidR="00835CD0" w:rsidRPr="007E3D67">
        <w:t>The</w:t>
      </w:r>
      <w:proofErr w:type="spellEnd"/>
      <w:r w:rsidR="00835CD0" w:rsidRPr="007E3D67">
        <w:t xml:space="preserve"> </w:t>
      </w:r>
      <w:proofErr w:type="spellStart"/>
      <w:r w:rsidR="00835CD0" w:rsidRPr="007E3D67">
        <w:t>World</w:t>
      </w:r>
      <w:proofErr w:type="spellEnd"/>
      <w:r w:rsidR="00835CD0" w:rsidRPr="007E3D67">
        <w:t xml:space="preserve"> </w:t>
      </w:r>
      <w:proofErr w:type="spellStart"/>
      <w:r w:rsidR="00835CD0" w:rsidRPr="007E3D67">
        <w:t>Trade</w:t>
      </w:r>
      <w:proofErr w:type="spellEnd"/>
      <w:r w:rsidR="00835CD0" w:rsidRPr="007E3D67">
        <w:t xml:space="preserve"> </w:t>
      </w:r>
      <w:proofErr w:type="spellStart"/>
      <w:r w:rsidR="00835CD0" w:rsidRPr="007E3D67">
        <w:t>Organisation</w:t>
      </w:r>
      <w:proofErr w:type="spellEnd"/>
      <w:r w:rsidR="00835CD0" w:rsidRPr="007E3D67">
        <w:t xml:space="preserve"> </w:t>
      </w:r>
    </w:p>
    <w:p w:rsidR="00EF44D8" w:rsidRPr="007E3D67" w:rsidRDefault="00EF44D8" w:rsidP="00EF44D8">
      <w:pPr>
        <w:pStyle w:val="Nadpis1"/>
        <w:numPr>
          <w:ilvl w:val="0"/>
          <w:numId w:val="0"/>
        </w:numPr>
        <w:rPr>
          <w:lang w:val="cs-CZ"/>
        </w:rPr>
      </w:pPr>
      <w:bookmarkStart w:id="7" w:name="_Toc279310377"/>
      <w:bookmarkStart w:id="8" w:name="_Toc279425579"/>
      <w:bookmarkStart w:id="9" w:name="_Toc279426006"/>
      <w:bookmarkStart w:id="10" w:name="_Toc279438557"/>
      <w:bookmarkStart w:id="11" w:name="_Toc279693643"/>
      <w:bookmarkStart w:id="12" w:name="_Toc279696200"/>
      <w:r w:rsidRPr="007E3D67">
        <w:rPr>
          <w:lang w:val="cs-CZ"/>
        </w:rPr>
        <w:lastRenderedPageBreak/>
        <w:t>Seznam tabulek</w:t>
      </w:r>
      <w:bookmarkEnd w:id="7"/>
      <w:bookmarkEnd w:id="8"/>
      <w:bookmarkEnd w:id="9"/>
      <w:bookmarkEnd w:id="10"/>
      <w:bookmarkEnd w:id="11"/>
      <w:bookmarkEnd w:id="12"/>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r w:rsidRPr="007E3D67">
        <w:rPr>
          <w:b/>
        </w:rPr>
        <w:fldChar w:fldCharType="begin"/>
      </w:r>
      <w:r w:rsidR="00B9439C" w:rsidRPr="007E3D67">
        <w:rPr>
          <w:b/>
        </w:rPr>
        <w:instrText xml:space="preserve"> TOC \t "Caption Introduction paragraph;1" </w:instrText>
      </w:r>
      <w:r w:rsidRPr="007E3D67">
        <w:rPr>
          <w:b/>
        </w:rPr>
        <w:fldChar w:fldCharType="separate"/>
      </w:r>
      <w:r w:rsidR="00225241">
        <w:rPr>
          <w:noProof/>
        </w:rPr>
        <w:t>Tab. 1: Druhy zpoždění</w:t>
      </w:r>
      <w:r w:rsidR="00225241">
        <w:rPr>
          <w:noProof/>
        </w:rPr>
        <w:tab/>
      </w:r>
      <w:r>
        <w:rPr>
          <w:noProof/>
        </w:rPr>
        <w:fldChar w:fldCharType="begin"/>
      </w:r>
      <w:r w:rsidR="00225241">
        <w:rPr>
          <w:noProof/>
        </w:rPr>
        <w:instrText xml:space="preserve"> PAGEREF _Toc279696241 \h </w:instrText>
      </w:r>
      <w:r>
        <w:rPr>
          <w:noProof/>
        </w:rPr>
      </w:r>
      <w:r>
        <w:rPr>
          <w:noProof/>
        </w:rPr>
        <w:fldChar w:fldCharType="separate"/>
      </w:r>
      <w:r w:rsidR="00093386">
        <w:rPr>
          <w:noProof/>
        </w:rPr>
        <w:t>22</w:t>
      </w:r>
      <w:r>
        <w:rPr>
          <w:noProof/>
        </w:rPr>
        <w:fldChar w:fldCharType="end"/>
      </w:r>
    </w:p>
    <w:p w:rsidR="00225241" w:rsidRDefault="00225241">
      <w:pPr>
        <w:pStyle w:val="Obsah1"/>
        <w:tabs>
          <w:tab w:val="right" w:leader="dot" w:pos="8777"/>
        </w:tabs>
        <w:rPr>
          <w:rFonts w:asciiTheme="minorHAnsi" w:eastAsiaTheme="minorEastAsia" w:hAnsiTheme="minorHAnsi" w:cstheme="minorBidi"/>
          <w:noProof/>
          <w:sz w:val="22"/>
          <w:szCs w:val="22"/>
          <w:lang w:eastAsia="cs-CZ"/>
        </w:rPr>
      </w:pPr>
      <w:r>
        <w:rPr>
          <w:noProof/>
        </w:rPr>
        <w:t>Tab. 2: Obsah spotřebního koše pro výpočet indexů spotřebitelských cen v roce 2010.</w:t>
      </w:r>
      <w:r>
        <w:rPr>
          <w:noProof/>
        </w:rPr>
        <w:tab/>
      </w:r>
      <w:r w:rsidR="00D82A9D">
        <w:rPr>
          <w:noProof/>
        </w:rPr>
        <w:fldChar w:fldCharType="begin"/>
      </w:r>
      <w:r>
        <w:rPr>
          <w:noProof/>
        </w:rPr>
        <w:instrText xml:space="preserve"> PAGEREF _Toc279696243 \h </w:instrText>
      </w:r>
      <w:r w:rsidR="00D82A9D">
        <w:rPr>
          <w:noProof/>
        </w:rPr>
      </w:r>
      <w:r w:rsidR="00D82A9D">
        <w:rPr>
          <w:noProof/>
        </w:rPr>
        <w:fldChar w:fldCharType="separate"/>
      </w:r>
      <w:r w:rsidR="00093386">
        <w:rPr>
          <w:noProof/>
        </w:rPr>
        <w:t>36</w:t>
      </w:r>
      <w:r w:rsidR="00D82A9D">
        <w:rPr>
          <w:noProof/>
        </w:rPr>
        <w:fldChar w:fldCharType="end"/>
      </w:r>
    </w:p>
    <w:p w:rsidR="00225241" w:rsidRDefault="00225241">
      <w:pPr>
        <w:pStyle w:val="Obsah1"/>
        <w:tabs>
          <w:tab w:val="right" w:leader="dot" w:pos="8777"/>
        </w:tabs>
        <w:rPr>
          <w:rFonts w:asciiTheme="minorHAnsi" w:eastAsiaTheme="minorEastAsia" w:hAnsiTheme="minorHAnsi" w:cstheme="minorBidi"/>
          <w:noProof/>
          <w:sz w:val="22"/>
          <w:szCs w:val="22"/>
          <w:lang w:eastAsia="cs-CZ"/>
        </w:rPr>
      </w:pPr>
      <w:r>
        <w:rPr>
          <w:noProof/>
        </w:rPr>
        <w:t>Tab. 3: Položky platební bilance ČR</w:t>
      </w:r>
      <w:r>
        <w:rPr>
          <w:noProof/>
        </w:rPr>
        <w:tab/>
      </w:r>
      <w:r w:rsidR="00D82A9D">
        <w:rPr>
          <w:noProof/>
        </w:rPr>
        <w:fldChar w:fldCharType="begin"/>
      </w:r>
      <w:r>
        <w:rPr>
          <w:noProof/>
        </w:rPr>
        <w:instrText xml:space="preserve"> PAGEREF _Toc279696244 \h </w:instrText>
      </w:r>
      <w:r w:rsidR="00D82A9D">
        <w:rPr>
          <w:noProof/>
        </w:rPr>
      </w:r>
      <w:r w:rsidR="00D82A9D">
        <w:rPr>
          <w:noProof/>
        </w:rPr>
        <w:fldChar w:fldCharType="separate"/>
      </w:r>
      <w:r w:rsidR="00093386">
        <w:rPr>
          <w:noProof/>
        </w:rPr>
        <w:t>37</w:t>
      </w:r>
      <w:r w:rsidR="00D82A9D">
        <w:rPr>
          <w:noProof/>
        </w:rPr>
        <w:fldChar w:fldCharType="end"/>
      </w:r>
    </w:p>
    <w:p w:rsidR="00225241" w:rsidRDefault="00225241" w:rsidP="00225241">
      <w:pPr>
        <w:pStyle w:val="Obsah1"/>
        <w:tabs>
          <w:tab w:val="right" w:leader="dot" w:pos="8777"/>
        </w:tabs>
        <w:rPr>
          <w:rFonts w:asciiTheme="minorHAnsi" w:eastAsiaTheme="minorEastAsia" w:hAnsiTheme="minorHAnsi" w:cstheme="minorBidi"/>
          <w:noProof/>
          <w:sz w:val="22"/>
          <w:szCs w:val="22"/>
          <w:lang w:eastAsia="cs-CZ"/>
        </w:rPr>
      </w:pPr>
      <w:r>
        <w:rPr>
          <w:noProof/>
        </w:rPr>
        <w:t>Tab. 4: Faktory a zdroje dlouhodobého ekonomického růstu</w:t>
      </w:r>
      <w:r>
        <w:rPr>
          <w:noProof/>
        </w:rPr>
        <w:tab/>
      </w:r>
      <w:r w:rsidR="00D82A9D">
        <w:rPr>
          <w:noProof/>
        </w:rPr>
        <w:fldChar w:fldCharType="begin"/>
      </w:r>
      <w:r>
        <w:rPr>
          <w:noProof/>
        </w:rPr>
        <w:instrText xml:space="preserve"> PAGEREF _Toc279696246 \h </w:instrText>
      </w:r>
      <w:r w:rsidR="00D82A9D">
        <w:rPr>
          <w:noProof/>
        </w:rPr>
      </w:r>
      <w:r w:rsidR="00D82A9D">
        <w:rPr>
          <w:noProof/>
        </w:rPr>
        <w:fldChar w:fldCharType="separate"/>
      </w:r>
      <w:r w:rsidR="00093386">
        <w:rPr>
          <w:noProof/>
        </w:rPr>
        <w:t>45</w:t>
      </w:r>
      <w:r w:rsidR="00D82A9D">
        <w:rPr>
          <w:noProof/>
        </w:rPr>
        <w:fldChar w:fldCharType="end"/>
      </w:r>
    </w:p>
    <w:p w:rsidR="00225241" w:rsidRDefault="00225241">
      <w:pPr>
        <w:pStyle w:val="Obsah1"/>
        <w:tabs>
          <w:tab w:val="right" w:leader="dot" w:pos="8777"/>
        </w:tabs>
        <w:rPr>
          <w:rFonts w:asciiTheme="minorHAnsi" w:eastAsiaTheme="minorEastAsia" w:hAnsiTheme="minorHAnsi" w:cstheme="minorBidi"/>
          <w:noProof/>
          <w:sz w:val="22"/>
          <w:szCs w:val="22"/>
          <w:lang w:eastAsia="cs-CZ"/>
        </w:rPr>
      </w:pPr>
      <w:r>
        <w:rPr>
          <w:noProof/>
        </w:rPr>
        <w:t>Tab. 5: Lednové měsíční výdaje domácností v USA za potraviny a pohonné hmoty (mld. dolarů)</w:t>
      </w:r>
      <w:r>
        <w:rPr>
          <w:noProof/>
        </w:rPr>
        <w:tab/>
      </w:r>
      <w:r w:rsidR="00D82A9D">
        <w:rPr>
          <w:noProof/>
        </w:rPr>
        <w:fldChar w:fldCharType="begin"/>
      </w:r>
      <w:r>
        <w:rPr>
          <w:noProof/>
        </w:rPr>
        <w:instrText xml:space="preserve"> PAGEREF _Toc279696262 \h </w:instrText>
      </w:r>
      <w:r w:rsidR="00D82A9D">
        <w:rPr>
          <w:noProof/>
        </w:rPr>
      </w:r>
      <w:r w:rsidR="00D82A9D">
        <w:rPr>
          <w:noProof/>
        </w:rPr>
        <w:fldChar w:fldCharType="separate"/>
      </w:r>
      <w:r w:rsidR="00093386">
        <w:rPr>
          <w:noProof/>
        </w:rPr>
        <w:t>65</w:t>
      </w:r>
      <w:r w:rsidR="00D82A9D">
        <w:rPr>
          <w:noProof/>
        </w:rPr>
        <w:fldChar w:fldCharType="end"/>
      </w:r>
    </w:p>
    <w:p w:rsidR="00225241" w:rsidRDefault="00225241">
      <w:pPr>
        <w:pStyle w:val="Obsah1"/>
        <w:tabs>
          <w:tab w:val="right" w:leader="dot" w:pos="8777"/>
        </w:tabs>
        <w:rPr>
          <w:rFonts w:asciiTheme="minorHAnsi" w:eastAsiaTheme="minorEastAsia" w:hAnsiTheme="minorHAnsi" w:cstheme="minorBidi"/>
          <w:noProof/>
          <w:sz w:val="22"/>
          <w:szCs w:val="22"/>
          <w:lang w:eastAsia="cs-CZ"/>
        </w:rPr>
      </w:pPr>
      <w:r>
        <w:rPr>
          <w:noProof/>
        </w:rPr>
        <w:t>Tab. 6: Meziroční růst maloobchodních tržeb v USA v období září 2007 – únor 2008</w:t>
      </w:r>
      <w:r>
        <w:rPr>
          <w:noProof/>
        </w:rPr>
        <w:tab/>
      </w:r>
      <w:r w:rsidR="00D82A9D">
        <w:rPr>
          <w:noProof/>
        </w:rPr>
        <w:fldChar w:fldCharType="begin"/>
      </w:r>
      <w:r>
        <w:rPr>
          <w:noProof/>
        </w:rPr>
        <w:instrText xml:space="preserve"> PAGEREF _Toc279696264 \h </w:instrText>
      </w:r>
      <w:r w:rsidR="00D82A9D">
        <w:rPr>
          <w:noProof/>
        </w:rPr>
      </w:r>
      <w:r w:rsidR="00D82A9D">
        <w:rPr>
          <w:noProof/>
        </w:rPr>
        <w:fldChar w:fldCharType="separate"/>
      </w:r>
      <w:r w:rsidR="00093386">
        <w:rPr>
          <w:noProof/>
        </w:rPr>
        <w:t>67</w:t>
      </w:r>
      <w:r w:rsidR="00D82A9D">
        <w:rPr>
          <w:noProof/>
        </w:rPr>
        <w:fldChar w:fldCharType="end"/>
      </w:r>
    </w:p>
    <w:p w:rsidR="00225241" w:rsidRDefault="00225241">
      <w:pPr>
        <w:pStyle w:val="Obsah1"/>
        <w:tabs>
          <w:tab w:val="right" w:leader="dot" w:pos="8777"/>
        </w:tabs>
        <w:rPr>
          <w:rFonts w:asciiTheme="minorHAnsi" w:eastAsiaTheme="minorEastAsia" w:hAnsiTheme="minorHAnsi" w:cstheme="minorBidi"/>
          <w:noProof/>
          <w:sz w:val="22"/>
          <w:szCs w:val="22"/>
          <w:lang w:eastAsia="cs-CZ"/>
        </w:rPr>
      </w:pPr>
      <w:r>
        <w:rPr>
          <w:noProof/>
          <w:lang w:eastAsia="cs-CZ"/>
        </w:rPr>
        <w:t>Tab. 7: Problémy finančních institucí v USA, chronologicky</w:t>
      </w:r>
      <w:r>
        <w:rPr>
          <w:noProof/>
        </w:rPr>
        <w:tab/>
      </w:r>
      <w:r w:rsidR="00D82A9D">
        <w:rPr>
          <w:noProof/>
        </w:rPr>
        <w:fldChar w:fldCharType="begin"/>
      </w:r>
      <w:r>
        <w:rPr>
          <w:noProof/>
        </w:rPr>
        <w:instrText xml:space="preserve"> PAGEREF _Toc279696267 \h </w:instrText>
      </w:r>
      <w:r w:rsidR="00D82A9D">
        <w:rPr>
          <w:noProof/>
        </w:rPr>
      </w:r>
      <w:r w:rsidR="00D82A9D">
        <w:rPr>
          <w:noProof/>
        </w:rPr>
        <w:fldChar w:fldCharType="separate"/>
      </w:r>
      <w:r w:rsidR="00093386">
        <w:rPr>
          <w:noProof/>
        </w:rPr>
        <w:t>69</w:t>
      </w:r>
      <w:r w:rsidR="00D82A9D">
        <w:rPr>
          <w:noProof/>
        </w:rPr>
        <w:fldChar w:fldCharType="end"/>
      </w:r>
    </w:p>
    <w:p w:rsidR="00225241" w:rsidRDefault="00225241">
      <w:pPr>
        <w:pStyle w:val="Obsah1"/>
        <w:tabs>
          <w:tab w:val="right" w:leader="dot" w:pos="8777"/>
        </w:tabs>
        <w:rPr>
          <w:rFonts w:asciiTheme="minorHAnsi" w:eastAsiaTheme="minorEastAsia" w:hAnsiTheme="minorHAnsi" w:cstheme="minorBidi"/>
          <w:noProof/>
          <w:sz w:val="22"/>
          <w:szCs w:val="22"/>
          <w:lang w:eastAsia="cs-CZ"/>
        </w:rPr>
      </w:pPr>
      <w:r>
        <w:rPr>
          <w:noProof/>
        </w:rPr>
        <w:t>Tab. 8: Opatření v rámci NPP (částky v mld. Kč)</w:t>
      </w:r>
      <w:r>
        <w:rPr>
          <w:noProof/>
        </w:rPr>
        <w:tab/>
      </w:r>
      <w:r w:rsidR="00D82A9D">
        <w:rPr>
          <w:noProof/>
        </w:rPr>
        <w:fldChar w:fldCharType="begin"/>
      </w:r>
      <w:r>
        <w:rPr>
          <w:noProof/>
        </w:rPr>
        <w:instrText xml:space="preserve"> PAGEREF _Toc279696281 \h </w:instrText>
      </w:r>
      <w:r w:rsidR="00D82A9D">
        <w:rPr>
          <w:noProof/>
        </w:rPr>
      </w:r>
      <w:r w:rsidR="00D82A9D">
        <w:rPr>
          <w:noProof/>
        </w:rPr>
        <w:fldChar w:fldCharType="separate"/>
      </w:r>
      <w:r w:rsidR="00093386">
        <w:rPr>
          <w:noProof/>
        </w:rPr>
        <w:t>87</w:t>
      </w:r>
      <w:r w:rsidR="00D82A9D">
        <w:rPr>
          <w:noProof/>
        </w:rPr>
        <w:fldChar w:fldCharType="end"/>
      </w:r>
    </w:p>
    <w:p w:rsidR="00225241" w:rsidRDefault="00225241">
      <w:pPr>
        <w:pStyle w:val="Obsah1"/>
        <w:tabs>
          <w:tab w:val="right" w:leader="dot" w:pos="8777"/>
        </w:tabs>
        <w:rPr>
          <w:rFonts w:asciiTheme="minorHAnsi" w:eastAsiaTheme="minorEastAsia" w:hAnsiTheme="minorHAnsi" w:cstheme="minorBidi"/>
          <w:noProof/>
          <w:sz w:val="22"/>
          <w:szCs w:val="22"/>
          <w:lang w:eastAsia="cs-CZ"/>
        </w:rPr>
      </w:pPr>
      <w:r>
        <w:rPr>
          <w:noProof/>
        </w:rPr>
        <w:t>Tab. 9: Původní opatření v rámci Janotova úsporného balíčku doplněné o odhad jejich dopad na státní rozpočet (částky v mld. Kč)</w:t>
      </w:r>
      <w:r>
        <w:rPr>
          <w:noProof/>
        </w:rPr>
        <w:tab/>
      </w:r>
      <w:r w:rsidR="00D82A9D">
        <w:rPr>
          <w:noProof/>
        </w:rPr>
        <w:fldChar w:fldCharType="begin"/>
      </w:r>
      <w:r>
        <w:rPr>
          <w:noProof/>
        </w:rPr>
        <w:instrText xml:space="preserve"> PAGEREF _Toc279696282 \h </w:instrText>
      </w:r>
      <w:r w:rsidR="00D82A9D">
        <w:rPr>
          <w:noProof/>
        </w:rPr>
      </w:r>
      <w:r w:rsidR="00D82A9D">
        <w:rPr>
          <w:noProof/>
        </w:rPr>
        <w:fldChar w:fldCharType="separate"/>
      </w:r>
      <w:r w:rsidR="00093386">
        <w:rPr>
          <w:noProof/>
        </w:rPr>
        <w:t>94</w:t>
      </w:r>
      <w:r w:rsidR="00D82A9D">
        <w:rPr>
          <w:noProof/>
        </w:rPr>
        <w:fldChar w:fldCharType="end"/>
      </w:r>
    </w:p>
    <w:p w:rsidR="00225241" w:rsidRDefault="00225241">
      <w:pPr>
        <w:pStyle w:val="Obsah1"/>
        <w:tabs>
          <w:tab w:val="right" w:leader="dot" w:pos="8777"/>
        </w:tabs>
        <w:rPr>
          <w:rFonts w:asciiTheme="minorHAnsi" w:eastAsiaTheme="minorEastAsia" w:hAnsiTheme="minorHAnsi" w:cstheme="minorBidi"/>
          <w:noProof/>
          <w:sz w:val="22"/>
          <w:szCs w:val="22"/>
          <w:lang w:eastAsia="cs-CZ"/>
        </w:rPr>
      </w:pPr>
      <w:r>
        <w:rPr>
          <w:noProof/>
        </w:rPr>
        <w:t>Tab. 10: Sazby daní z nemovitostí</w:t>
      </w:r>
      <w:r>
        <w:rPr>
          <w:noProof/>
        </w:rPr>
        <w:tab/>
      </w:r>
      <w:r w:rsidR="00D82A9D">
        <w:rPr>
          <w:noProof/>
        </w:rPr>
        <w:fldChar w:fldCharType="begin"/>
      </w:r>
      <w:r>
        <w:rPr>
          <w:noProof/>
        </w:rPr>
        <w:instrText xml:space="preserve"> PAGEREF _Toc279696283 \h </w:instrText>
      </w:r>
      <w:r w:rsidR="00D82A9D">
        <w:rPr>
          <w:noProof/>
        </w:rPr>
      </w:r>
      <w:r w:rsidR="00D82A9D">
        <w:rPr>
          <w:noProof/>
        </w:rPr>
        <w:fldChar w:fldCharType="separate"/>
      </w:r>
      <w:r w:rsidR="00093386">
        <w:rPr>
          <w:noProof/>
        </w:rPr>
        <w:t>96</w:t>
      </w:r>
      <w:r w:rsidR="00D82A9D">
        <w:rPr>
          <w:noProof/>
        </w:rPr>
        <w:fldChar w:fldCharType="end"/>
      </w:r>
    </w:p>
    <w:p w:rsidR="00225241" w:rsidRDefault="00225241">
      <w:pPr>
        <w:pStyle w:val="Obsah1"/>
        <w:tabs>
          <w:tab w:val="right" w:leader="dot" w:pos="8777"/>
        </w:tabs>
        <w:rPr>
          <w:rFonts w:asciiTheme="minorHAnsi" w:eastAsiaTheme="minorEastAsia" w:hAnsiTheme="minorHAnsi" w:cstheme="minorBidi"/>
          <w:noProof/>
          <w:sz w:val="22"/>
          <w:szCs w:val="22"/>
          <w:lang w:eastAsia="cs-CZ"/>
        </w:rPr>
      </w:pPr>
      <w:r>
        <w:rPr>
          <w:noProof/>
        </w:rPr>
        <w:t>Tab. 11: Změna spotřební daně pro rok 2010</w:t>
      </w:r>
      <w:r>
        <w:rPr>
          <w:noProof/>
        </w:rPr>
        <w:tab/>
      </w:r>
      <w:r w:rsidR="00D82A9D">
        <w:rPr>
          <w:noProof/>
        </w:rPr>
        <w:fldChar w:fldCharType="begin"/>
      </w:r>
      <w:r>
        <w:rPr>
          <w:noProof/>
        </w:rPr>
        <w:instrText xml:space="preserve"> PAGEREF _Toc279696284 \h </w:instrText>
      </w:r>
      <w:r w:rsidR="00D82A9D">
        <w:rPr>
          <w:noProof/>
        </w:rPr>
      </w:r>
      <w:r w:rsidR="00D82A9D">
        <w:rPr>
          <w:noProof/>
        </w:rPr>
        <w:fldChar w:fldCharType="separate"/>
      </w:r>
      <w:r w:rsidR="00093386">
        <w:rPr>
          <w:noProof/>
        </w:rPr>
        <w:t>96</w:t>
      </w:r>
      <w:r w:rsidR="00D82A9D">
        <w:rPr>
          <w:noProof/>
        </w:rPr>
        <w:fldChar w:fldCharType="end"/>
      </w:r>
    </w:p>
    <w:p w:rsidR="00B9439C" w:rsidRPr="007E3D67" w:rsidRDefault="00D82A9D" w:rsidP="00EF44D8">
      <w:pPr>
        <w:rPr>
          <w:b/>
        </w:rPr>
      </w:pPr>
      <w:r w:rsidRPr="007E3D67">
        <w:rPr>
          <w:b/>
        </w:rPr>
        <w:fldChar w:fldCharType="end"/>
      </w:r>
    </w:p>
    <w:p w:rsidR="00B9439C" w:rsidRPr="007E3D67" w:rsidRDefault="00B9439C" w:rsidP="00EF44D8">
      <w:pPr>
        <w:rPr>
          <w:b/>
        </w:rPr>
      </w:pPr>
    </w:p>
    <w:p w:rsidR="00B9439C" w:rsidRPr="007E3D67" w:rsidRDefault="00B9439C" w:rsidP="00EF44D8">
      <w:pPr>
        <w:rPr>
          <w:b/>
        </w:rPr>
      </w:pPr>
    </w:p>
    <w:p w:rsidR="00EF44D8" w:rsidRPr="007E3D67" w:rsidRDefault="00EF44D8" w:rsidP="00EF44D8">
      <w:pPr>
        <w:pStyle w:val="Nadpis1"/>
        <w:numPr>
          <w:ilvl w:val="0"/>
          <w:numId w:val="0"/>
        </w:numPr>
        <w:rPr>
          <w:lang w:val="cs-CZ"/>
        </w:rPr>
      </w:pPr>
      <w:bookmarkStart w:id="13" w:name="_Toc279310378"/>
      <w:bookmarkStart w:id="14" w:name="_Toc279425580"/>
      <w:bookmarkStart w:id="15" w:name="_Toc279426007"/>
      <w:bookmarkStart w:id="16" w:name="_Toc279438558"/>
      <w:bookmarkStart w:id="17" w:name="_Toc279693644"/>
      <w:bookmarkStart w:id="18" w:name="_Toc279696201"/>
      <w:r w:rsidRPr="007E3D67">
        <w:rPr>
          <w:lang w:val="cs-CZ"/>
        </w:rPr>
        <w:lastRenderedPageBreak/>
        <w:t>Seznam obrázků</w:t>
      </w:r>
      <w:bookmarkEnd w:id="13"/>
      <w:bookmarkEnd w:id="14"/>
      <w:bookmarkEnd w:id="15"/>
      <w:bookmarkEnd w:id="16"/>
      <w:bookmarkEnd w:id="17"/>
      <w:bookmarkEnd w:id="18"/>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r w:rsidRPr="00D82A9D">
        <w:fldChar w:fldCharType="begin"/>
      </w:r>
      <w:r w:rsidR="00B9439C" w:rsidRPr="007E3D67">
        <w:instrText xml:space="preserve"> TOC \h \z \t "Caption Introduction paragraph;1" </w:instrText>
      </w:r>
      <w:r w:rsidRPr="00D82A9D">
        <w:fldChar w:fldCharType="separate"/>
      </w:r>
      <w:hyperlink w:anchor="_Toc279696329" w:history="1">
        <w:r w:rsidR="00225241" w:rsidRPr="00BC3B0D">
          <w:rPr>
            <w:rStyle w:val="Hypertextovodkaz"/>
            <w:noProof/>
          </w:rPr>
          <w:t>Obr. 1: Složky institucionální soustavy</w:t>
        </w:r>
        <w:r w:rsidR="00225241">
          <w:rPr>
            <w:noProof/>
            <w:webHidden/>
          </w:rPr>
          <w:tab/>
        </w:r>
        <w:r>
          <w:rPr>
            <w:noProof/>
            <w:webHidden/>
          </w:rPr>
          <w:fldChar w:fldCharType="begin"/>
        </w:r>
        <w:r w:rsidR="00225241">
          <w:rPr>
            <w:noProof/>
            <w:webHidden/>
          </w:rPr>
          <w:instrText xml:space="preserve"> PAGEREF _Toc279696329 \h </w:instrText>
        </w:r>
        <w:r>
          <w:rPr>
            <w:noProof/>
            <w:webHidden/>
          </w:rPr>
        </w:r>
        <w:r>
          <w:rPr>
            <w:noProof/>
            <w:webHidden/>
          </w:rPr>
          <w:fldChar w:fldCharType="separate"/>
        </w:r>
        <w:r w:rsidR="00093386">
          <w:rPr>
            <w:noProof/>
            <w:webHidden/>
          </w:rPr>
          <w:t>15</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31" w:history="1">
        <w:r w:rsidR="00225241" w:rsidRPr="00BC3B0D">
          <w:rPr>
            <w:rStyle w:val="Hypertextovodkaz"/>
            <w:noProof/>
          </w:rPr>
          <w:t>Obr. 2: Hierarchie cílů hospodářské politiky</w:t>
        </w:r>
        <w:r w:rsidR="00225241">
          <w:rPr>
            <w:noProof/>
            <w:webHidden/>
          </w:rPr>
          <w:tab/>
        </w:r>
        <w:r>
          <w:rPr>
            <w:noProof/>
            <w:webHidden/>
          </w:rPr>
          <w:fldChar w:fldCharType="begin"/>
        </w:r>
        <w:r w:rsidR="00225241">
          <w:rPr>
            <w:noProof/>
            <w:webHidden/>
          </w:rPr>
          <w:instrText xml:space="preserve"> PAGEREF _Toc279696331 \h </w:instrText>
        </w:r>
        <w:r>
          <w:rPr>
            <w:noProof/>
            <w:webHidden/>
          </w:rPr>
        </w:r>
        <w:r>
          <w:rPr>
            <w:noProof/>
            <w:webHidden/>
          </w:rPr>
          <w:fldChar w:fldCharType="separate"/>
        </w:r>
        <w:r w:rsidR="00093386">
          <w:rPr>
            <w:noProof/>
            <w:webHidden/>
          </w:rPr>
          <w:t>23</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32" w:history="1">
        <w:r w:rsidR="00225241" w:rsidRPr="00BC3B0D">
          <w:rPr>
            <w:rStyle w:val="Hypertextovodkaz"/>
            <w:noProof/>
          </w:rPr>
          <w:t>Tab. 2: Obsah spotřebního koše pro výpočet indexů spotřebitelských cen v roce 2010.</w:t>
        </w:r>
        <w:r w:rsidR="00225241">
          <w:rPr>
            <w:noProof/>
            <w:webHidden/>
          </w:rPr>
          <w:tab/>
        </w:r>
        <w:r>
          <w:rPr>
            <w:noProof/>
            <w:webHidden/>
          </w:rPr>
          <w:fldChar w:fldCharType="begin"/>
        </w:r>
        <w:r w:rsidR="00225241">
          <w:rPr>
            <w:noProof/>
            <w:webHidden/>
          </w:rPr>
          <w:instrText xml:space="preserve"> PAGEREF _Toc279696332 \h </w:instrText>
        </w:r>
        <w:r>
          <w:rPr>
            <w:noProof/>
            <w:webHidden/>
          </w:rPr>
        </w:r>
        <w:r>
          <w:rPr>
            <w:noProof/>
            <w:webHidden/>
          </w:rPr>
          <w:fldChar w:fldCharType="separate"/>
        </w:r>
        <w:r w:rsidR="00093386">
          <w:rPr>
            <w:noProof/>
            <w:webHidden/>
          </w:rPr>
          <w:t>36</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34" w:history="1">
        <w:r w:rsidR="00225241" w:rsidRPr="00BC3B0D">
          <w:rPr>
            <w:rStyle w:val="Hypertextovodkaz"/>
            <w:noProof/>
          </w:rPr>
          <w:t>Obr. 3: Hospodářský cyklus</w:t>
        </w:r>
        <w:r w:rsidR="00225241">
          <w:rPr>
            <w:noProof/>
            <w:webHidden/>
          </w:rPr>
          <w:tab/>
        </w:r>
        <w:r>
          <w:rPr>
            <w:noProof/>
            <w:webHidden/>
          </w:rPr>
          <w:fldChar w:fldCharType="begin"/>
        </w:r>
        <w:r w:rsidR="00225241">
          <w:rPr>
            <w:noProof/>
            <w:webHidden/>
          </w:rPr>
          <w:instrText xml:space="preserve"> PAGEREF _Toc279696334 \h </w:instrText>
        </w:r>
        <w:r>
          <w:rPr>
            <w:noProof/>
            <w:webHidden/>
          </w:rPr>
        </w:r>
        <w:r>
          <w:rPr>
            <w:noProof/>
            <w:webHidden/>
          </w:rPr>
          <w:fldChar w:fldCharType="separate"/>
        </w:r>
        <w:r w:rsidR="00093386">
          <w:rPr>
            <w:noProof/>
            <w:webHidden/>
          </w:rPr>
          <w:t>39</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36" w:history="1">
        <w:r w:rsidR="00225241" w:rsidRPr="00BC3B0D">
          <w:rPr>
            <w:rStyle w:val="Hypertextovodkaz"/>
            <w:noProof/>
          </w:rPr>
          <w:t>Obr. 4: Poptávková hospodářská politika v modelu AS – AD</w:t>
        </w:r>
        <w:r w:rsidR="00225241">
          <w:rPr>
            <w:noProof/>
            <w:webHidden/>
          </w:rPr>
          <w:tab/>
        </w:r>
        <w:r>
          <w:rPr>
            <w:noProof/>
            <w:webHidden/>
          </w:rPr>
          <w:fldChar w:fldCharType="begin"/>
        </w:r>
        <w:r w:rsidR="00225241">
          <w:rPr>
            <w:noProof/>
            <w:webHidden/>
          </w:rPr>
          <w:instrText xml:space="preserve"> PAGEREF _Toc279696336 \h </w:instrText>
        </w:r>
        <w:r>
          <w:rPr>
            <w:noProof/>
            <w:webHidden/>
          </w:rPr>
        </w:r>
        <w:r>
          <w:rPr>
            <w:noProof/>
            <w:webHidden/>
          </w:rPr>
          <w:fldChar w:fldCharType="separate"/>
        </w:r>
        <w:r w:rsidR="00093386">
          <w:rPr>
            <w:noProof/>
            <w:webHidden/>
          </w:rPr>
          <w:t>47</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37" w:history="1">
        <w:r w:rsidR="00225241" w:rsidRPr="00BC3B0D">
          <w:rPr>
            <w:rStyle w:val="Hypertextovodkaz"/>
            <w:noProof/>
          </w:rPr>
          <w:t>Obr. 5: Nabídková hospodářská politika v modelu AS – AD</w:t>
        </w:r>
        <w:r w:rsidR="00225241">
          <w:rPr>
            <w:noProof/>
            <w:webHidden/>
          </w:rPr>
          <w:tab/>
        </w:r>
        <w:r>
          <w:rPr>
            <w:noProof/>
            <w:webHidden/>
          </w:rPr>
          <w:fldChar w:fldCharType="begin"/>
        </w:r>
        <w:r w:rsidR="00225241">
          <w:rPr>
            <w:noProof/>
            <w:webHidden/>
          </w:rPr>
          <w:instrText xml:space="preserve"> PAGEREF _Toc279696337 \h </w:instrText>
        </w:r>
        <w:r>
          <w:rPr>
            <w:noProof/>
            <w:webHidden/>
          </w:rPr>
        </w:r>
        <w:r>
          <w:rPr>
            <w:noProof/>
            <w:webHidden/>
          </w:rPr>
          <w:fldChar w:fldCharType="separate"/>
        </w:r>
        <w:r w:rsidR="00093386">
          <w:rPr>
            <w:noProof/>
            <w:webHidden/>
          </w:rPr>
          <w:t>48</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38" w:history="1">
        <w:r w:rsidR="00225241" w:rsidRPr="00BC3B0D">
          <w:rPr>
            <w:rStyle w:val="Hypertextovodkaz"/>
            <w:noProof/>
          </w:rPr>
          <w:t>Obr. 6: Lafferova křivka</w:t>
        </w:r>
        <w:r w:rsidR="00225241">
          <w:rPr>
            <w:noProof/>
            <w:webHidden/>
          </w:rPr>
          <w:tab/>
        </w:r>
        <w:r>
          <w:rPr>
            <w:noProof/>
            <w:webHidden/>
          </w:rPr>
          <w:fldChar w:fldCharType="begin"/>
        </w:r>
        <w:r w:rsidR="00225241">
          <w:rPr>
            <w:noProof/>
            <w:webHidden/>
          </w:rPr>
          <w:instrText xml:space="preserve"> PAGEREF _Toc279696338 \h </w:instrText>
        </w:r>
        <w:r>
          <w:rPr>
            <w:noProof/>
            <w:webHidden/>
          </w:rPr>
        </w:r>
        <w:r>
          <w:rPr>
            <w:noProof/>
            <w:webHidden/>
          </w:rPr>
          <w:fldChar w:fldCharType="separate"/>
        </w:r>
        <w:r w:rsidR="00093386">
          <w:rPr>
            <w:noProof/>
            <w:webHidden/>
          </w:rPr>
          <w:t>49</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39" w:history="1">
        <w:r w:rsidR="00225241" w:rsidRPr="00BC3B0D">
          <w:rPr>
            <w:rStyle w:val="Hypertextovodkaz"/>
            <w:noProof/>
          </w:rPr>
          <w:t>Obr. 7: Index NASDAQ v letech 1994 – 2005.</w:t>
        </w:r>
        <w:r w:rsidR="00225241">
          <w:rPr>
            <w:noProof/>
            <w:webHidden/>
          </w:rPr>
          <w:tab/>
        </w:r>
        <w:r>
          <w:rPr>
            <w:noProof/>
            <w:webHidden/>
          </w:rPr>
          <w:fldChar w:fldCharType="begin"/>
        </w:r>
        <w:r w:rsidR="00225241">
          <w:rPr>
            <w:noProof/>
            <w:webHidden/>
          </w:rPr>
          <w:instrText xml:space="preserve"> PAGEREF _Toc279696339 \h </w:instrText>
        </w:r>
        <w:r>
          <w:rPr>
            <w:noProof/>
            <w:webHidden/>
          </w:rPr>
        </w:r>
        <w:r>
          <w:rPr>
            <w:noProof/>
            <w:webHidden/>
          </w:rPr>
          <w:fldChar w:fldCharType="separate"/>
        </w:r>
        <w:r w:rsidR="00093386">
          <w:rPr>
            <w:noProof/>
            <w:webHidden/>
          </w:rPr>
          <w:t>51</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40" w:history="1">
        <w:r w:rsidR="00225241" w:rsidRPr="00BC3B0D">
          <w:rPr>
            <w:rStyle w:val="Hypertextovodkaz"/>
            <w:noProof/>
          </w:rPr>
          <w:t>Obr. 8: Změna HDP USA v letech 1996-2004 (%)</w:t>
        </w:r>
        <w:r w:rsidR="00225241">
          <w:rPr>
            <w:noProof/>
            <w:webHidden/>
          </w:rPr>
          <w:tab/>
        </w:r>
        <w:r>
          <w:rPr>
            <w:noProof/>
            <w:webHidden/>
          </w:rPr>
          <w:fldChar w:fldCharType="begin"/>
        </w:r>
        <w:r w:rsidR="00225241">
          <w:rPr>
            <w:noProof/>
            <w:webHidden/>
          </w:rPr>
          <w:instrText xml:space="preserve"> PAGEREF _Toc279696340 \h </w:instrText>
        </w:r>
        <w:r>
          <w:rPr>
            <w:noProof/>
            <w:webHidden/>
          </w:rPr>
        </w:r>
        <w:r>
          <w:rPr>
            <w:noProof/>
            <w:webHidden/>
          </w:rPr>
          <w:fldChar w:fldCharType="separate"/>
        </w:r>
        <w:r w:rsidR="00093386">
          <w:rPr>
            <w:noProof/>
            <w:webHidden/>
          </w:rPr>
          <w:t>54</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41" w:history="1">
        <w:r w:rsidR="00225241" w:rsidRPr="00BC3B0D">
          <w:rPr>
            <w:rStyle w:val="Hypertextovodkaz"/>
            <w:noProof/>
          </w:rPr>
          <w:t>Obr. 9: Míra nezaměstnanosti v USA v letech 1996-2004 (%)</w:t>
        </w:r>
        <w:r w:rsidR="00225241">
          <w:rPr>
            <w:noProof/>
            <w:webHidden/>
          </w:rPr>
          <w:tab/>
        </w:r>
        <w:r>
          <w:rPr>
            <w:noProof/>
            <w:webHidden/>
          </w:rPr>
          <w:fldChar w:fldCharType="begin"/>
        </w:r>
        <w:r w:rsidR="00225241">
          <w:rPr>
            <w:noProof/>
            <w:webHidden/>
          </w:rPr>
          <w:instrText xml:space="preserve"> PAGEREF _Toc279696341 \h </w:instrText>
        </w:r>
        <w:r>
          <w:rPr>
            <w:noProof/>
            <w:webHidden/>
          </w:rPr>
        </w:r>
        <w:r>
          <w:rPr>
            <w:noProof/>
            <w:webHidden/>
          </w:rPr>
          <w:fldChar w:fldCharType="separate"/>
        </w:r>
        <w:r w:rsidR="00093386">
          <w:rPr>
            <w:noProof/>
            <w:webHidden/>
          </w:rPr>
          <w:t>54</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42" w:history="1">
        <w:r w:rsidR="00225241" w:rsidRPr="00BC3B0D">
          <w:rPr>
            <w:rStyle w:val="Hypertextovodkaz"/>
            <w:noProof/>
          </w:rPr>
          <w:t>Obr. 10: Obchodní bilance USA v letech 1996-2008 (mld. USD)</w:t>
        </w:r>
        <w:r w:rsidR="00225241">
          <w:rPr>
            <w:noProof/>
            <w:webHidden/>
          </w:rPr>
          <w:tab/>
        </w:r>
        <w:r>
          <w:rPr>
            <w:noProof/>
            <w:webHidden/>
          </w:rPr>
          <w:fldChar w:fldCharType="begin"/>
        </w:r>
        <w:r w:rsidR="00225241">
          <w:rPr>
            <w:noProof/>
            <w:webHidden/>
          </w:rPr>
          <w:instrText xml:space="preserve"> PAGEREF _Toc279696342 \h </w:instrText>
        </w:r>
        <w:r>
          <w:rPr>
            <w:noProof/>
            <w:webHidden/>
          </w:rPr>
        </w:r>
        <w:r>
          <w:rPr>
            <w:noProof/>
            <w:webHidden/>
          </w:rPr>
          <w:fldChar w:fldCharType="separate"/>
        </w:r>
        <w:r w:rsidR="00093386">
          <w:rPr>
            <w:noProof/>
            <w:webHidden/>
          </w:rPr>
          <w:t>55</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43" w:history="1">
        <w:r w:rsidR="00225241" w:rsidRPr="00BC3B0D">
          <w:rPr>
            <w:rStyle w:val="Hypertextovodkaz"/>
            <w:noProof/>
          </w:rPr>
          <w:t>Obr. 11: Počet prodaných domů v USA v letech 1999-2006 (tis.)</w:t>
        </w:r>
        <w:r w:rsidR="00225241">
          <w:rPr>
            <w:noProof/>
            <w:webHidden/>
          </w:rPr>
          <w:tab/>
        </w:r>
        <w:r>
          <w:rPr>
            <w:noProof/>
            <w:webHidden/>
          </w:rPr>
          <w:fldChar w:fldCharType="begin"/>
        </w:r>
        <w:r w:rsidR="00225241">
          <w:rPr>
            <w:noProof/>
            <w:webHidden/>
          </w:rPr>
          <w:instrText xml:space="preserve"> PAGEREF _Toc279696343 \h </w:instrText>
        </w:r>
        <w:r>
          <w:rPr>
            <w:noProof/>
            <w:webHidden/>
          </w:rPr>
        </w:r>
        <w:r>
          <w:rPr>
            <w:noProof/>
            <w:webHidden/>
          </w:rPr>
          <w:fldChar w:fldCharType="separate"/>
        </w:r>
        <w:r w:rsidR="00093386">
          <w:rPr>
            <w:noProof/>
            <w:webHidden/>
          </w:rPr>
          <w:t>56</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44" w:history="1">
        <w:r w:rsidR="00225241" w:rsidRPr="00BC3B0D">
          <w:rPr>
            <w:rStyle w:val="Hypertextovodkaz"/>
            <w:noProof/>
          </w:rPr>
          <w:t>Obr. 12: Základní úroková sazba FED ke konci roku v letech 1996-2008 (%)</w:t>
        </w:r>
        <w:r w:rsidR="00225241">
          <w:rPr>
            <w:noProof/>
            <w:webHidden/>
          </w:rPr>
          <w:tab/>
        </w:r>
        <w:r>
          <w:rPr>
            <w:noProof/>
            <w:webHidden/>
          </w:rPr>
          <w:fldChar w:fldCharType="begin"/>
        </w:r>
        <w:r w:rsidR="00225241">
          <w:rPr>
            <w:noProof/>
            <w:webHidden/>
          </w:rPr>
          <w:instrText xml:space="preserve"> PAGEREF _Toc279696344 \h </w:instrText>
        </w:r>
        <w:r>
          <w:rPr>
            <w:noProof/>
            <w:webHidden/>
          </w:rPr>
        </w:r>
        <w:r>
          <w:rPr>
            <w:noProof/>
            <w:webHidden/>
          </w:rPr>
          <w:fldChar w:fldCharType="separate"/>
        </w:r>
        <w:r w:rsidR="00093386">
          <w:rPr>
            <w:noProof/>
            <w:webHidden/>
          </w:rPr>
          <w:t>57</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45" w:history="1">
        <w:r w:rsidR="00225241" w:rsidRPr="00BC3B0D">
          <w:rPr>
            <w:rStyle w:val="Hypertextovodkaz"/>
            <w:noProof/>
          </w:rPr>
          <w:t>Obr. 13: Počet prodaných nových rodinných domů v USA v letech 2001-2008 (tis.)</w:t>
        </w:r>
        <w:r w:rsidR="00225241">
          <w:rPr>
            <w:noProof/>
            <w:webHidden/>
          </w:rPr>
          <w:tab/>
        </w:r>
        <w:r>
          <w:rPr>
            <w:noProof/>
            <w:webHidden/>
          </w:rPr>
          <w:fldChar w:fldCharType="begin"/>
        </w:r>
        <w:r w:rsidR="00225241">
          <w:rPr>
            <w:noProof/>
            <w:webHidden/>
          </w:rPr>
          <w:instrText xml:space="preserve"> PAGEREF _Toc279696345 \h </w:instrText>
        </w:r>
        <w:r>
          <w:rPr>
            <w:noProof/>
            <w:webHidden/>
          </w:rPr>
        </w:r>
        <w:r>
          <w:rPr>
            <w:noProof/>
            <w:webHidden/>
          </w:rPr>
          <w:fldChar w:fldCharType="separate"/>
        </w:r>
        <w:r w:rsidR="00093386">
          <w:rPr>
            <w:noProof/>
            <w:webHidden/>
          </w:rPr>
          <w:t>58</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46" w:history="1">
        <w:r w:rsidR="00225241" w:rsidRPr="00BC3B0D">
          <w:rPr>
            <w:rStyle w:val="Hypertextovodkaz"/>
            <w:noProof/>
          </w:rPr>
          <w:t>Obr. 14: Prodejní cena nového rodinného domu v USA v letech 2001-2008 - medián (tis. USD)</w:t>
        </w:r>
        <w:r w:rsidR="00225241">
          <w:rPr>
            <w:noProof/>
            <w:webHidden/>
          </w:rPr>
          <w:tab/>
        </w:r>
        <w:r>
          <w:rPr>
            <w:noProof/>
            <w:webHidden/>
          </w:rPr>
          <w:fldChar w:fldCharType="begin"/>
        </w:r>
        <w:r w:rsidR="00225241">
          <w:rPr>
            <w:noProof/>
            <w:webHidden/>
          </w:rPr>
          <w:instrText xml:space="preserve"> PAGEREF _Toc279696346 \h </w:instrText>
        </w:r>
        <w:r>
          <w:rPr>
            <w:noProof/>
            <w:webHidden/>
          </w:rPr>
        </w:r>
        <w:r>
          <w:rPr>
            <w:noProof/>
            <w:webHidden/>
          </w:rPr>
          <w:fldChar w:fldCharType="separate"/>
        </w:r>
        <w:r w:rsidR="00093386">
          <w:rPr>
            <w:noProof/>
            <w:webHidden/>
          </w:rPr>
          <w:t>59</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47" w:history="1">
        <w:r w:rsidR="00225241" w:rsidRPr="00BC3B0D">
          <w:rPr>
            <w:rStyle w:val="Hypertextovodkaz"/>
            <w:noProof/>
          </w:rPr>
          <w:t>Obr. 15: Doba prodeje nového rodinného domu v USA v letech 2001-2008 (měsíce)</w:t>
        </w:r>
        <w:r w:rsidR="00225241">
          <w:rPr>
            <w:noProof/>
            <w:webHidden/>
          </w:rPr>
          <w:tab/>
        </w:r>
        <w:r>
          <w:rPr>
            <w:noProof/>
            <w:webHidden/>
          </w:rPr>
          <w:fldChar w:fldCharType="begin"/>
        </w:r>
        <w:r w:rsidR="00225241">
          <w:rPr>
            <w:noProof/>
            <w:webHidden/>
          </w:rPr>
          <w:instrText xml:space="preserve"> PAGEREF _Toc279696347 \h </w:instrText>
        </w:r>
        <w:r>
          <w:rPr>
            <w:noProof/>
            <w:webHidden/>
          </w:rPr>
        </w:r>
        <w:r>
          <w:rPr>
            <w:noProof/>
            <w:webHidden/>
          </w:rPr>
          <w:fldChar w:fldCharType="separate"/>
        </w:r>
        <w:r w:rsidR="00093386">
          <w:rPr>
            <w:noProof/>
            <w:webHidden/>
          </w:rPr>
          <w:t>59</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48" w:history="1">
        <w:r w:rsidR="00225241" w:rsidRPr="00BC3B0D">
          <w:rPr>
            <w:rStyle w:val="Hypertextovodkaz"/>
            <w:noProof/>
          </w:rPr>
          <w:t>Obr. 16: Cena 1 galonu benzinu v USA v letech 2001-2008 (dollar cent)</w:t>
        </w:r>
        <w:r w:rsidR="00225241">
          <w:rPr>
            <w:noProof/>
            <w:webHidden/>
          </w:rPr>
          <w:tab/>
        </w:r>
        <w:r>
          <w:rPr>
            <w:noProof/>
            <w:webHidden/>
          </w:rPr>
          <w:fldChar w:fldCharType="begin"/>
        </w:r>
        <w:r w:rsidR="00225241">
          <w:rPr>
            <w:noProof/>
            <w:webHidden/>
          </w:rPr>
          <w:instrText xml:space="preserve"> PAGEREF _Toc279696348 \h </w:instrText>
        </w:r>
        <w:r>
          <w:rPr>
            <w:noProof/>
            <w:webHidden/>
          </w:rPr>
        </w:r>
        <w:r>
          <w:rPr>
            <w:noProof/>
            <w:webHidden/>
          </w:rPr>
          <w:fldChar w:fldCharType="separate"/>
        </w:r>
        <w:r w:rsidR="00093386">
          <w:rPr>
            <w:noProof/>
            <w:webHidden/>
          </w:rPr>
          <w:t>61</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49" w:history="1">
        <w:r w:rsidR="00225241" w:rsidRPr="00BC3B0D">
          <w:rPr>
            <w:rStyle w:val="Hypertextovodkaz"/>
            <w:noProof/>
          </w:rPr>
          <w:t>Obr. 17: Růst spotřebitelský cen – inflace v USA v období květen 2007 – prosinec 2007 (%)</w:t>
        </w:r>
        <w:r w:rsidR="00225241">
          <w:rPr>
            <w:noProof/>
            <w:webHidden/>
          </w:rPr>
          <w:tab/>
        </w:r>
        <w:r>
          <w:rPr>
            <w:noProof/>
            <w:webHidden/>
          </w:rPr>
          <w:fldChar w:fldCharType="begin"/>
        </w:r>
        <w:r w:rsidR="00225241">
          <w:rPr>
            <w:noProof/>
            <w:webHidden/>
          </w:rPr>
          <w:instrText xml:space="preserve"> PAGEREF _Toc279696349 \h </w:instrText>
        </w:r>
        <w:r>
          <w:rPr>
            <w:noProof/>
            <w:webHidden/>
          </w:rPr>
        </w:r>
        <w:r>
          <w:rPr>
            <w:noProof/>
            <w:webHidden/>
          </w:rPr>
          <w:fldChar w:fldCharType="separate"/>
        </w:r>
        <w:r w:rsidR="00093386">
          <w:rPr>
            <w:noProof/>
            <w:webHidden/>
          </w:rPr>
          <w:t>62</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50" w:history="1">
        <w:r w:rsidR="00225241" w:rsidRPr="00BC3B0D">
          <w:rPr>
            <w:rStyle w:val="Hypertextovodkaz"/>
            <w:noProof/>
          </w:rPr>
          <w:t>Obr. 18: Počet prodaných nových rodinných domů v USA – čtvrtletní medián (tis.)</w:t>
        </w:r>
        <w:r w:rsidR="00225241">
          <w:rPr>
            <w:noProof/>
            <w:webHidden/>
          </w:rPr>
          <w:tab/>
        </w:r>
        <w:r>
          <w:rPr>
            <w:noProof/>
            <w:webHidden/>
          </w:rPr>
          <w:fldChar w:fldCharType="begin"/>
        </w:r>
        <w:r w:rsidR="00225241">
          <w:rPr>
            <w:noProof/>
            <w:webHidden/>
          </w:rPr>
          <w:instrText xml:space="preserve"> PAGEREF _Toc279696350 \h </w:instrText>
        </w:r>
        <w:r>
          <w:rPr>
            <w:noProof/>
            <w:webHidden/>
          </w:rPr>
        </w:r>
        <w:r>
          <w:rPr>
            <w:noProof/>
            <w:webHidden/>
          </w:rPr>
          <w:fldChar w:fldCharType="separate"/>
        </w:r>
        <w:r w:rsidR="00093386">
          <w:rPr>
            <w:noProof/>
            <w:webHidden/>
          </w:rPr>
          <w:t>64</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52" w:history="1">
        <w:r w:rsidR="00225241" w:rsidRPr="00BC3B0D">
          <w:rPr>
            <w:rStyle w:val="Hypertextovodkaz"/>
            <w:noProof/>
          </w:rPr>
          <w:t>Obr. 19: Krize subprime hypoték – cyklus zabavení nemovitostí a bankovní nestability</w:t>
        </w:r>
        <w:r w:rsidR="00225241">
          <w:rPr>
            <w:noProof/>
            <w:webHidden/>
          </w:rPr>
          <w:tab/>
        </w:r>
        <w:r>
          <w:rPr>
            <w:noProof/>
            <w:webHidden/>
          </w:rPr>
          <w:fldChar w:fldCharType="begin"/>
        </w:r>
        <w:r w:rsidR="00225241">
          <w:rPr>
            <w:noProof/>
            <w:webHidden/>
          </w:rPr>
          <w:instrText xml:space="preserve"> PAGEREF _Toc279696352 \h </w:instrText>
        </w:r>
        <w:r>
          <w:rPr>
            <w:noProof/>
            <w:webHidden/>
          </w:rPr>
        </w:r>
        <w:r>
          <w:rPr>
            <w:noProof/>
            <w:webHidden/>
          </w:rPr>
          <w:fldChar w:fldCharType="separate"/>
        </w:r>
        <w:r w:rsidR="00093386">
          <w:rPr>
            <w:noProof/>
            <w:webHidden/>
          </w:rPr>
          <w:t>66</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54" w:history="1">
        <w:r w:rsidR="00225241" w:rsidRPr="00BC3B0D">
          <w:rPr>
            <w:rStyle w:val="Hypertextovodkaz"/>
            <w:noProof/>
          </w:rPr>
          <w:t>Obr. 20: Čtvrtletní změna reálného HDP USA v letech 2006 – 2009 (%)</w:t>
        </w:r>
        <w:r w:rsidR="00225241">
          <w:rPr>
            <w:noProof/>
            <w:webHidden/>
          </w:rPr>
          <w:tab/>
        </w:r>
        <w:r>
          <w:rPr>
            <w:noProof/>
            <w:webHidden/>
          </w:rPr>
          <w:fldChar w:fldCharType="begin"/>
        </w:r>
        <w:r w:rsidR="00225241">
          <w:rPr>
            <w:noProof/>
            <w:webHidden/>
          </w:rPr>
          <w:instrText xml:space="preserve"> PAGEREF _Toc279696354 \h </w:instrText>
        </w:r>
        <w:r>
          <w:rPr>
            <w:noProof/>
            <w:webHidden/>
          </w:rPr>
        </w:r>
        <w:r>
          <w:rPr>
            <w:noProof/>
            <w:webHidden/>
          </w:rPr>
          <w:fldChar w:fldCharType="separate"/>
        </w:r>
        <w:r w:rsidR="00093386">
          <w:rPr>
            <w:noProof/>
            <w:webHidden/>
          </w:rPr>
          <w:t>67</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55" w:history="1">
        <w:r w:rsidR="00225241" w:rsidRPr="00BC3B0D">
          <w:rPr>
            <w:rStyle w:val="Hypertextovodkaz"/>
            <w:noProof/>
          </w:rPr>
          <w:t>Obr. 21: Míra nezaměstnanosti USA v období leden 2008 - leden 2010, čtvrtletní medián (%)</w:t>
        </w:r>
        <w:r w:rsidR="00225241">
          <w:rPr>
            <w:noProof/>
            <w:webHidden/>
          </w:rPr>
          <w:tab/>
        </w:r>
        <w:r>
          <w:rPr>
            <w:noProof/>
            <w:webHidden/>
          </w:rPr>
          <w:fldChar w:fldCharType="begin"/>
        </w:r>
        <w:r w:rsidR="00225241">
          <w:rPr>
            <w:noProof/>
            <w:webHidden/>
          </w:rPr>
          <w:instrText xml:space="preserve"> PAGEREF _Toc279696355 \h </w:instrText>
        </w:r>
        <w:r>
          <w:rPr>
            <w:noProof/>
            <w:webHidden/>
          </w:rPr>
        </w:r>
        <w:r>
          <w:rPr>
            <w:noProof/>
            <w:webHidden/>
          </w:rPr>
          <w:fldChar w:fldCharType="separate"/>
        </w:r>
        <w:r w:rsidR="00093386">
          <w:rPr>
            <w:noProof/>
            <w:webHidden/>
          </w:rPr>
          <w:t>68</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57" w:history="1">
        <w:r w:rsidR="00225241" w:rsidRPr="00BC3B0D">
          <w:rPr>
            <w:rStyle w:val="Hypertextovodkaz"/>
            <w:noProof/>
          </w:rPr>
          <w:t>Obr. 22: Podíly na aktivech finančního sektoru (v %, v roce 2008)</w:t>
        </w:r>
        <w:r w:rsidR="00225241">
          <w:rPr>
            <w:noProof/>
            <w:webHidden/>
          </w:rPr>
          <w:tab/>
        </w:r>
        <w:r>
          <w:rPr>
            <w:noProof/>
            <w:webHidden/>
          </w:rPr>
          <w:fldChar w:fldCharType="begin"/>
        </w:r>
        <w:r w:rsidR="00225241">
          <w:rPr>
            <w:noProof/>
            <w:webHidden/>
          </w:rPr>
          <w:instrText xml:space="preserve"> PAGEREF _Toc279696357 \h </w:instrText>
        </w:r>
        <w:r>
          <w:rPr>
            <w:noProof/>
            <w:webHidden/>
          </w:rPr>
        </w:r>
        <w:r>
          <w:rPr>
            <w:noProof/>
            <w:webHidden/>
          </w:rPr>
          <w:fldChar w:fldCharType="separate"/>
        </w:r>
        <w:r w:rsidR="00093386">
          <w:rPr>
            <w:noProof/>
            <w:webHidden/>
          </w:rPr>
          <w:t>74</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58" w:history="1">
        <w:r w:rsidR="00225241" w:rsidRPr="00BC3B0D">
          <w:rPr>
            <w:rStyle w:val="Hypertextovodkaz"/>
            <w:noProof/>
          </w:rPr>
          <w:t>Obr. 23: Poměr primárních vkladů k úvěrům ve vybraných zemích EU (v %, rezidentské úvěry a vklady, nebankovní subjekty v roce 2008)</w:t>
        </w:r>
        <w:r w:rsidR="00225241">
          <w:rPr>
            <w:noProof/>
            <w:webHidden/>
          </w:rPr>
          <w:tab/>
        </w:r>
        <w:r>
          <w:rPr>
            <w:noProof/>
            <w:webHidden/>
          </w:rPr>
          <w:fldChar w:fldCharType="begin"/>
        </w:r>
        <w:r w:rsidR="00225241">
          <w:rPr>
            <w:noProof/>
            <w:webHidden/>
          </w:rPr>
          <w:instrText xml:space="preserve"> PAGEREF _Toc279696358 \h </w:instrText>
        </w:r>
        <w:r>
          <w:rPr>
            <w:noProof/>
            <w:webHidden/>
          </w:rPr>
        </w:r>
        <w:r>
          <w:rPr>
            <w:noProof/>
            <w:webHidden/>
          </w:rPr>
          <w:fldChar w:fldCharType="separate"/>
        </w:r>
        <w:r w:rsidR="00093386">
          <w:rPr>
            <w:noProof/>
            <w:webHidden/>
          </w:rPr>
          <w:t>75</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59" w:history="1">
        <w:r w:rsidR="00225241" w:rsidRPr="00BC3B0D">
          <w:rPr>
            <w:rStyle w:val="Hypertextovodkaz"/>
            <w:noProof/>
          </w:rPr>
          <w:t>Obr. 24: Čistá externí pozice bankovních sektorů vybraných zemí EU (v % HDP v roce 2008)</w:t>
        </w:r>
        <w:r w:rsidR="00225241">
          <w:rPr>
            <w:noProof/>
            <w:webHidden/>
          </w:rPr>
          <w:tab/>
        </w:r>
        <w:r>
          <w:rPr>
            <w:noProof/>
            <w:webHidden/>
          </w:rPr>
          <w:fldChar w:fldCharType="begin"/>
        </w:r>
        <w:r w:rsidR="00225241">
          <w:rPr>
            <w:noProof/>
            <w:webHidden/>
          </w:rPr>
          <w:instrText xml:space="preserve"> PAGEREF _Toc279696359 \h </w:instrText>
        </w:r>
        <w:r>
          <w:rPr>
            <w:noProof/>
            <w:webHidden/>
          </w:rPr>
        </w:r>
        <w:r>
          <w:rPr>
            <w:noProof/>
            <w:webHidden/>
          </w:rPr>
          <w:fldChar w:fldCharType="separate"/>
        </w:r>
        <w:r w:rsidR="00093386">
          <w:rPr>
            <w:noProof/>
            <w:webHidden/>
          </w:rPr>
          <w:t>76</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60" w:history="1">
        <w:r w:rsidR="00225241" w:rsidRPr="00BC3B0D">
          <w:rPr>
            <w:rStyle w:val="Hypertextovodkaz"/>
            <w:noProof/>
          </w:rPr>
          <w:t>Obr. 25: Úvěry se selháním (v % z celkového objemu úvěrů v daném segmentu v období 2006-2009)</w:t>
        </w:r>
        <w:r w:rsidR="00225241">
          <w:rPr>
            <w:noProof/>
            <w:webHidden/>
          </w:rPr>
          <w:tab/>
        </w:r>
        <w:r>
          <w:rPr>
            <w:noProof/>
            <w:webHidden/>
          </w:rPr>
          <w:fldChar w:fldCharType="begin"/>
        </w:r>
        <w:r w:rsidR="00225241">
          <w:rPr>
            <w:noProof/>
            <w:webHidden/>
          </w:rPr>
          <w:instrText xml:space="preserve"> PAGEREF _Toc279696360 \h </w:instrText>
        </w:r>
        <w:r>
          <w:rPr>
            <w:noProof/>
            <w:webHidden/>
          </w:rPr>
        </w:r>
        <w:r>
          <w:rPr>
            <w:noProof/>
            <w:webHidden/>
          </w:rPr>
          <w:fldChar w:fldCharType="separate"/>
        </w:r>
        <w:r w:rsidR="00093386">
          <w:rPr>
            <w:noProof/>
            <w:webHidden/>
          </w:rPr>
          <w:t>77</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61" w:history="1">
        <w:r w:rsidR="00225241" w:rsidRPr="00BC3B0D">
          <w:rPr>
            <w:rStyle w:val="Hypertextovodkaz"/>
            <w:noProof/>
          </w:rPr>
          <w:t>Obr. 26: Vývoj čistého zisku v bankovním sektoru ČR (v mld. Kč, v období 1990-2009)</w:t>
        </w:r>
        <w:r w:rsidR="00225241">
          <w:rPr>
            <w:noProof/>
            <w:webHidden/>
          </w:rPr>
          <w:tab/>
        </w:r>
        <w:r>
          <w:rPr>
            <w:noProof/>
            <w:webHidden/>
          </w:rPr>
          <w:fldChar w:fldCharType="begin"/>
        </w:r>
        <w:r w:rsidR="00225241">
          <w:rPr>
            <w:noProof/>
            <w:webHidden/>
          </w:rPr>
          <w:instrText xml:space="preserve"> PAGEREF _Toc279696361 \h </w:instrText>
        </w:r>
        <w:r>
          <w:rPr>
            <w:noProof/>
            <w:webHidden/>
          </w:rPr>
        </w:r>
        <w:r>
          <w:rPr>
            <w:noProof/>
            <w:webHidden/>
          </w:rPr>
          <w:fldChar w:fldCharType="separate"/>
        </w:r>
        <w:r w:rsidR="00093386">
          <w:rPr>
            <w:noProof/>
            <w:webHidden/>
          </w:rPr>
          <w:t>78</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62" w:history="1">
        <w:r w:rsidR="00225241" w:rsidRPr="00BC3B0D">
          <w:rPr>
            <w:rStyle w:val="Hypertextovodkaz"/>
            <w:noProof/>
          </w:rPr>
          <w:t>Obr. 27: Příspěvky k meziročnímu růstu HDP ČR (v mld. KČ, v období 2008-2009)</w:t>
        </w:r>
        <w:r w:rsidR="00225241">
          <w:rPr>
            <w:noProof/>
            <w:webHidden/>
          </w:rPr>
          <w:tab/>
        </w:r>
        <w:r>
          <w:rPr>
            <w:noProof/>
            <w:webHidden/>
          </w:rPr>
          <w:fldChar w:fldCharType="begin"/>
        </w:r>
        <w:r w:rsidR="00225241">
          <w:rPr>
            <w:noProof/>
            <w:webHidden/>
          </w:rPr>
          <w:instrText xml:space="preserve"> PAGEREF _Toc279696362 \h </w:instrText>
        </w:r>
        <w:r>
          <w:rPr>
            <w:noProof/>
            <w:webHidden/>
          </w:rPr>
        </w:r>
        <w:r>
          <w:rPr>
            <w:noProof/>
            <w:webHidden/>
          </w:rPr>
          <w:fldChar w:fldCharType="separate"/>
        </w:r>
        <w:r w:rsidR="00093386">
          <w:rPr>
            <w:noProof/>
            <w:webHidden/>
          </w:rPr>
          <w:t>79</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63" w:history="1">
        <w:r w:rsidR="00225241" w:rsidRPr="00BC3B0D">
          <w:rPr>
            <w:rStyle w:val="Hypertextovodkaz"/>
            <w:noProof/>
          </w:rPr>
          <w:t>Obr. 28: Míra inflace vyjádřená přírůstkem indexu spotřebitelských cen ke stejnému měsíci předchozího roku</w:t>
        </w:r>
        <w:r w:rsidR="00225241">
          <w:rPr>
            <w:noProof/>
            <w:webHidden/>
          </w:rPr>
          <w:tab/>
        </w:r>
        <w:r>
          <w:rPr>
            <w:noProof/>
            <w:webHidden/>
          </w:rPr>
          <w:fldChar w:fldCharType="begin"/>
        </w:r>
        <w:r w:rsidR="00225241">
          <w:rPr>
            <w:noProof/>
            <w:webHidden/>
          </w:rPr>
          <w:instrText xml:space="preserve"> PAGEREF _Toc279696363 \h </w:instrText>
        </w:r>
        <w:r>
          <w:rPr>
            <w:noProof/>
            <w:webHidden/>
          </w:rPr>
        </w:r>
        <w:r>
          <w:rPr>
            <w:noProof/>
            <w:webHidden/>
          </w:rPr>
          <w:fldChar w:fldCharType="separate"/>
        </w:r>
        <w:r w:rsidR="00093386">
          <w:rPr>
            <w:noProof/>
            <w:webHidden/>
          </w:rPr>
          <w:t>80</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64" w:history="1">
        <w:r w:rsidR="00225241" w:rsidRPr="00BC3B0D">
          <w:rPr>
            <w:rStyle w:val="Hypertextovodkaz"/>
            <w:noProof/>
          </w:rPr>
          <w:t>Obr. 29: Celková míra nezaměstnanosti v ČR (v %, v období 1993-2009)</w:t>
        </w:r>
        <w:r w:rsidR="00225241">
          <w:rPr>
            <w:noProof/>
            <w:webHidden/>
          </w:rPr>
          <w:tab/>
        </w:r>
        <w:r>
          <w:rPr>
            <w:noProof/>
            <w:webHidden/>
          </w:rPr>
          <w:fldChar w:fldCharType="begin"/>
        </w:r>
        <w:r w:rsidR="00225241">
          <w:rPr>
            <w:noProof/>
            <w:webHidden/>
          </w:rPr>
          <w:instrText xml:space="preserve"> PAGEREF _Toc279696364 \h </w:instrText>
        </w:r>
        <w:r>
          <w:rPr>
            <w:noProof/>
            <w:webHidden/>
          </w:rPr>
        </w:r>
        <w:r>
          <w:rPr>
            <w:noProof/>
            <w:webHidden/>
          </w:rPr>
          <w:fldChar w:fldCharType="separate"/>
        </w:r>
        <w:r w:rsidR="00093386">
          <w:rPr>
            <w:noProof/>
            <w:webHidden/>
          </w:rPr>
          <w:t>80</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65" w:history="1">
        <w:r w:rsidR="00225241" w:rsidRPr="00BC3B0D">
          <w:rPr>
            <w:rStyle w:val="Hypertextovodkaz"/>
            <w:noProof/>
          </w:rPr>
          <w:t>Obr. 30: Průmysloví produkce (meziroční změny v %, v období 2005-2010)</w:t>
        </w:r>
        <w:r w:rsidR="00225241">
          <w:rPr>
            <w:noProof/>
            <w:webHidden/>
          </w:rPr>
          <w:tab/>
        </w:r>
        <w:r>
          <w:rPr>
            <w:noProof/>
            <w:webHidden/>
          </w:rPr>
          <w:fldChar w:fldCharType="begin"/>
        </w:r>
        <w:r w:rsidR="00225241">
          <w:rPr>
            <w:noProof/>
            <w:webHidden/>
          </w:rPr>
          <w:instrText xml:space="preserve"> PAGEREF _Toc279696365 \h </w:instrText>
        </w:r>
        <w:r>
          <w:rPr>
            <w:noProof/>
            <w:webHidden/>
          </w:rPr>
        </w:r>
        <w:r>
          <w:rPr>
            <w:noProof/>
            <w:webHidden/>
          </w:rPr>
          <w:fldChar w:fldCharType="separate"/>
        </w:r>
        <w:r w:rsidR="00093386">
          <w:rPr>
            <w:noProof/>
            <w:webHidden/>
          </w:rPr>
          <w:t>81</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66" w:history="1">
        <w:r w:rsidR="00225241" w:rsidRPr="00BC3B0D">
          <w:rPr>
            <w:rStyle w:val="Hypertextovodkaz"/>
            <w:noProof/>
          </w:rPr>
          <w:t>Obr. 31: Stavební produkce v ČR (meziroční změna v %, v období 2005-2009)</w:t>
        </w:r>
        <w:r w:rsidR="00225241">
          <w:rPr>
            <w:noProof/>
            <w:webHidden/>
          </w:rPr>
          <w:tab/>
        </w:r>
        <w:r>
          <w:rPr>
            <w:noProof/>
            <w:webHidden/>
          </w:rPr>
          <w:fldChar w:fldCharType="begin"/>
        </w:r>
        <w:r w:rsidR="00225241">
          <w:rPr>
            <w:noProof/>
            <w:webHidden/>
          </w:rPr>
          <w:instrText xml:space="preserve"> PAGEREF _Toc279696366 \h </w:instrText>
        </w:r>
        <w:r>
          <w:rPr>
            <w:noProof/>
            <w:webHidden/>
          </w:rPr>
        </w:r>
        <w:r>
          <w:rPr>
            <w:noProof/>
            <w:webHidden/>
          </w:rPr>
          <w:fldChar w:fldCharType="separate"/>
        </w:r>
        <w:r w:rsidR="00093386">
          <w:rPr>
            <w:noProof/>
            <w:webHidden/>
          </w:rPr>
          <w:t>82</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67" w:history="1">
        <w:r w:rsidR="00225241" w:rsidRPr="00BC3B0D">
          <w:rPr>
            <w:rStyle w:val="Hypertextovodkaz"/>
            <w:noProof/>
          </w:rPr>
          <w:t>Obr. 32: Maloobchodní tržby v ČR (meziroční změna v %, v období 2005-2009)</w:t>
        </w:r>
        <w:r w:rsidR="00225241">
          <w:rPr>
            <w:noProof/>
            <w:webHidden/>
          </w:rPr>
          <w:tab/>
        </w:r>
        <w:r>
          <w:rPr>
            <w:noProof/>
            <w:webHidden/>
          </w:rPr>
          <w:fldChar w:fldCharType="begin"/>
        </w:r>
        <w:r w:rsidR="00225241">
          <w:rPr>
            <w:noProof/>
            <w:webHidden/>
          </w:rPr>
          <w:instrText xml:space="preserve"> PAGEREF _Toc279696367 \h </w:instrText>
        </w:r>
        <w:r>
          <w:rPr>
            <w:noProof/>
            <w:webHidden/>
          </w:rPr>
        </w:r>
        <w:r>
          <w:rPr>
            <w:noProof/>
            <w:webHidden/>
          </w:rPr>
          <w:fldChar w:fldCharType="separate"/>
        </w:r>
        <w:r w:rsidR="00093386">
          <w:rPr>
            <w:noProof/>
            <w:webHidden/>
          </w:rPr>
          <w:t>83</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68" w:history="1">
        <w:r w:rsidR="00225241" w:rsidRPr="00BC3B0D">
          <w:rPr>
            <w:rStyle w:val="Hypertextovodkaz"/>
            <w:noProof/>
          </w:rPr>
          <w:t>Obr. 33: Tržby ve službách v ČR (stejné období předchozího roku = 100, stálé ceny bez DPH, v období 2006-2009)</w:t>
        </w:r>
        <w:r w:rsidR="00225241">
          <w:rPr>
            <w:noProof/>
            <w:webHidden/>
          </w:rPr>
          <w:tab/>
        </w:r>
        <w:r>
          <w:rPr>
            <w:noProof/>
            <w:webHidden/>
          </w:rPr>
          <w:fldChar w:fldCharType="begin"/>
        </w:r>
        <w:r w:rsidR="00225241">
          <w:rPr>
            <w:noProof/>
            <w:webHidden/>
          </w:rPr>
          <w:instrText xml:space="preserve"> PAGEREF _Toc279696368 \h </w:instrText>
        </w:r>
        <w:r>
          <w:rPr>
            <w:noProof/>
            <w:webHidden/>
          </w:rPr>
        </w:r>
        <w:r>
          <w:rPr>
            <w:noProof/>
            <w:webHidden/>
          </w:rPr>
          <w:fldChar w:fldCharType="separate"/>
        </w:r>
        <w:r w:rsidR="00093386">
          <w:rPr>
            <w:noProof/>
            <w:webHidden/>
          </w:rPr>
          <w:t>84</w:t>
        </w:r>
        <w:r>
          <w:rPr>
            <w:noProof/>
            <w:webHidden/>
          </w:rPr>
          <w:fldChar w:fldCharType="end"/>
        </w:r>
      </w:hyperlink>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hyperlink w:anchor="_Toc279696369" w:history="1">
        <w:r w:rsidR="00225241" w:rsidRPr="00BC3B0D">
          <w:rPr>
            <w:rStyle w:val="Hypertextovodkaz"/>
            <w:noProof/>
          </w:rPr>
          <w:t>Obr. 34: Ilustrace uvedení v platnost vybraných protikrizových opatření na časové ose.</w:t>
        </w:r>
        <w:r w:rsidR="00225241">
          <w:rPr>
            <w:noProof/>
            <w:webHidden/>
          </w:rPr>
          <w:tab/>
        </w:r>
        <w:r>
          <w:rPr>
            <w:noProof/>
            <w:webHidden/>
          </w:rPr>
          <w:fldChar w:fldCharType="begin"/>
        </w:r>
        <w:r w:rsidR="00225241">
          <w:rPr>
            <w:noProof/>
            <w:webHidden/>
          </w:rPr>
          <w:instrText xml:space="preserve"> PAGEREF _Toc279696369 \h </w:instrText>
        </w:r>
        <w:r>
          <w:rPr>
            <w:noProof/>
            <w:webHidden/>
          </w:rPr>
        </w:r>
        <w:r>
          <w:rPr>
            <w:noProof/>
            <w:webHidden/>
          </w:rPr>
          <w:fldChar w:fldCharType="separate"/>
        </w:r>
        <w:r w:rsidR="00093386">
          <w:rPr>
            <w:noProof/>
            <w:webHidden/>
          </w:rPr>
          <w:t>86</w:t>
        </w:r>
        <w:r>
          <w:rPr>
            <w:noProof/>
            <w:webHidden/>
          </w:rPr>
          <w:fldChar w:fldCharType="end"/>
        </w:r>
      </w:hyperlink>
    </w:p>
    <w:p w:rsidR="00B9439C" w:rsidRPr="007E3D67" w:rsidRDefault="00D82A9D" w:rsidP="00225241">
      <w:pPr>
        <w:pStyle w:val="Nadpis2"/>
        <w:numPr>
          <w:ilvl w:val="0"/>
          <w:numId w:val="0"/>
        </w:numPr>
      </w:pPr>
      <w:r w:rsidRPr="007E3D67">
        <w:fldChar w:fldCharType="end"/>
      </w:r>
    </w:p>
    <w:bookmarkStart w:id="19" w:name="_Toc227131916"/>
    <w:p w:rsidR="00875104" w:rsidRPr="007E3D67" w:rsidRDefault="00D82A9D" w:rsidP="003E2D50">
      <w:pPr>
        <w:pStyle w:val="Nadpis1"/>
        <w:numPr>
          <w:ilvl w:val="0"/>
          <w:numId w:val="0"/>
        </w:numPr>
        <w:ind w:left="432"/>
        <w:rPr>
          <w:lang w:val="cs-CZ"/>
        </w:rPr>
      </w:pPr>
      <w:r w:rsidRPr="007E3D67">
        <w:rPr>
          <w:lang w:val="cs-CZ"/>
        </w:rPr>
        <w:lastRenderedPageBreak/>
        <w:fldChar w:fldCharType="begin"/>
      </w:r>
      <w:r w:rsidR="00875104" w:rsidRPr="007E3D67">
        <w:rPr>
          <w:lang w:val="cs-CZ"/>
        </w:rPr>
        <w:instrText xml:space="preserve"> TOC \h \z \c "Obrázek" </w:instrText>
      </w:r>
      <w:r w:rsidRPr="007E3D67">
        <w:rPr>
          <w:lang w:val="cs-CZ"/>
        </w:rPr>
        <w:fldChar w:fldCharType="end"/>
      </w:r>
      <w:bookmarkStart w:id="20" w:name="_Toc279310379"/>
      <w:bookmarkStart w:id="21" w:name="_Toc279696202"/>
      <w:r w:rsidR="00875104" w:rsidRPr="007E3D67">
        <w:rPr>
          <w:lang w:val="cs-CZ"/>
        </w:rPr>
        <w:t>Úvod</w:t>
      </w:r>
      <w:bookmarkEnd w:id="19"/>
      <w:bookmarkEnd w:id="20"/>
      <w:bookmarkEnd w:id="21"/>
    </w:p>
    <w:p w:rsidR="004213C7" w:rsidRPr="007E3D67" w:rsidRDefault="00165A7D" w:rsidP="00875104">
      <w:r w:rsidRPr="007E3D67">
        <w:t>V kontextu globální</w:t>
      </w:r>
      <w:r w:rsidR="00924531" w:rsidRPr="007E3D67">
        <w:t xml:space="preserve"> </w:t>
      </w:r>
      <w:r w:rsidRPr="007E3D67">
        <w:t>ekonomické krize</w:t>
      </w:r>
      <w:r w:rsidR="00924531" w:rsidRPr="007E3D67">
        <w:t xml:space="preserve">, která svými projevy a dopady ovlivnila i Českou republiku, nabývá správně cílené a systematické uplatňování hospodářské politiky </w:t>
      </w:r>
      <w:r w:rsidRPr="007E3D67">
        <w:t>vitálního významu. Tato ekonomická krize</w:t>
      </w:r>
      <w:r w:rsidR="00CC598A" w:rsidRPr="007E3D67">
        <w:t xml:space="preserve"> měla kořeny v USA ve formě krize</w:t>
      </w:r>
      <w:r w:rsidRPr="007E3D67">
        <w:t xml:space="preserve"> hypoteční</w:t>
      </w:r>
      <w:r w:rsidR="00CC598A" w:rsidRPr="007E3D67">
        <w:t>. Její důsledky, které se během let 2008 až do současné chvíle zpracování této práce, se díky globální provázanosti finančních trhů exportoval</w:t>
      </w:r>
      <w:r w:rsidR="005D6486" w:rsidRPr="007E3D67">
        <w:t>y</w:t>
      </w:r>
      <w:r w:rsidR="00CC598A" w:rsidRPr="007E3D67">
        <w:t xml:space="preserve"> do ostatních zemí světa. Následky byly pro některé ekonomiky, po s</w:t>
      </w:r>
      <w:r w:rsidRPr="007E3D67">
        <w:t>ynergii</w:t>
      </w:r>
      <w:r w:rsidR="00CC598A" w:rsidRPr="007E3D67">
        <w:t xml:space="preserve"> s lokálními problémy některých států, drastické. </w:t>
      </w:r>
    </w:p>
    <w:p w:rsidR="004213C7" w:rsidRPr="007E3D67" w:rsidRDefault="004213C7" w:rsidP="00875104"/>
    <w:p w:rsidR="004213C7" w:rsidRPr="007E3D67" w:rsidRDefault="004213C7" w:rsidP="00875104">
      <w:r w:rsidRPr="007E3D67">
        <w:t>Důvodem sepsání této práce byla snaha zachytit tento v historii ekonomie si</w:t>
      </w:r>
      <w:r w:rsidR="00165A7D" w:rsidRPr="007E3D67">
        <w:t>gnifikantní jev, se zaměřením</w:t>
      </w:r>
      <w:r w:rsidRPr="007E3D67">
        <w:t xml:space="preserve"> na lokální příčiny, projevy a dopady v prostředí české ekonomiky.</w:t>
      </w:r>
    </w:p>
    <w:p w:rsidR="004213C7" w:rsidRPr="007E3D67" w:rsidRDefault="004213C7" w:rsidP="00875104"/>
    <w:p w:rsidR="00C632CB" w:rsidRPr="007E3D67" w:rsidRDefault="00C632CB" w:rsidP="00C632CB">
      <w:r w:rsidRPr="007E3D67">
        <w:t xml:space="preserve">Tato práce si klade za cíl zmapování toho jevu, v souvislosti s krizí hypoteční. Hlavní pozornost bude upřena na jeho počátky v USA, především pak popis jeho indicií, zjištění jeho průběhu a analýzu dopadů. V prostředí české ekonomiky se práce bude zabývat především analyzováním opatření tvůrců hospodářské politiky, která byla aplikována ve sledovaném období. Toto implikuje, že cílem práce nebude stanovení doporučení pro českou ekonomiku v dlouhodobém výhledu v oblasti hospodářské politiky. V této práci nebude obsažen dopad na globální ekonomiku nebo jiné ekonomiky kromě české, resp. ekonomiku USA.  </w:t>
      </w:r>
    </w:p>
    <w:p w:rsidR="00BC79C8" w:rsidRPr="007E3D67" w:rsidRDefault="00BC79C8" w:rsidP="00875104"/>
    <w:p w:rsidR="00BC79C8" w:rsidRPr="007E3D67" w:rsidRDefault="00BC79C8" w:rsidP="00875104">
      <w:r w:rsidRPr="007E3D67">
        <w:t xml:space="preserve">Práce má </w:t>
      </w:r>
      <w:r w:rsidR="0002485D" w:rsidRPr="007E3D67">
        <w:t>také</w:t>
      </w:r>
      <w:r w:rsidRPr="007E3D67">
        <w:t xml:space="preserve"> za cíl nalezení odpovědi na následující problém:</w:t>
      </w:r>
    </w:p>
    <w:p w:rsidR="00BC79C8" w:rsidRPr="007E3D67" w:rsidRDefault="006618FF" w:rsidP="00875104">
      <w:r w:rsidRPr="007E3D67">
        <w:t>Byla provedená opatření tvůrců hospodářské politiky České republiky v kontextu ekonomické krize dostatečně účinná?</w:t>
      </w:r>
    </w:p>
    <w:p w:rsidR="006618FF" w:rsidRPr="007E3D67" w:rsidRDefault="006618FF" w:rsidP="00875104"/>
    <w:p w:rsidR="006618FF" w:rsidRPr="007E3D67" w:rsidRDefault="006618FF" w:rsidP="00875104">
      <w:r w:rsidRPr="007E3D67">
        <w:t>Metody pro zpracování této práce b</w:t>
      </w:r>
      <w:r w:rsidR="00747426">
        <w:t>yly</w:t>
      </w:r>
      <w:r w:rsidRPr="007E3D67">
        <w:t xml:space="preserve"> </w:t>
      </w:r>
      <w:r w:rsidR="00747426">
        <w:t>zvoleny</w:t>
      </w:r>
      <w:r w:rsidRPr="007E3D67">
        <w:t xml:space="preserve"> selektivně v souvislosti s kapitolou, ve které byly použity. </w:t>
      </w:r>
      <w:r w:rsidR="00A37A07">
        <w:t xml:space="preserve">V první kapitole, obsahující teoretické podklady pro další postup práce, byla zvolena metoda </w:t>
      </w:r>
      <w:r w:rsidR="00C96F43">
        <w:t>generalizace textu</w:t>
      </w:r>
      <w:r w:rsidR="00A37A07">
        <w:t>. Pro kapitolu druhou byla vybrána metoda</w:t>
      </w:r>
      <w:r w:rsidR="00C96F43">
        <w:t xml:space="preserve"> ekonomické</w:t>
      </w:r>
      <w:r w:rsidR="00A37A07">
        <w:t xml:space="preserve"> anal</w:t>
      </w:r>
      <w:r w:rsidR="00C96F43">
        <w:t>ýzy</w:t>
      </w:r>
      <w:r w:rsidR="00A37A07">
        <w:t xml:space="preserve">, jež za pomoci rozkladu děje </w:t>
      </w:r>
      <w:r w:rsidR="001120F5">
        <w:t>na</w:t>
      </w:r>
      <w:r w:rsidR="00A37A07">
        <w:t xml:space="preserve"> více fragmentů, umožní zkoumaný jev obsáhle charakterizovat. Třetí kapitola bude zpracována </w:t>
      </w:r>
      <w:r w:rsidR="005D7D2E">
        <w:t>kvantitativními metodami</w:t>
      </w:r>
      <w:r w:rsidR="00A37A07">
        <w:t>, za využití bohatého, podpůrného grafického materiálu. V poslední kapitole hlavní textové části</w:t>
      </w:r>
      <w:r w:rsidR="001120F5">
        <w:t xml:space="preserve"> byla </w:t>
      </w:r>
      <w:r w:rsidR="001120F5">
        <w:lastRenderedPageBreak/>
        <w:t>zvolena metoda analýzy, formou verbální dedukce. Tato metoda, s využitím vložení vlastních komentářů, byla vybrána pro svou vhodnost k obsáhnutí tohoto jevu.</w:t>
      </w:r>
    </w:p>
    <w:p w:rsidR="006618FF" w:rsidRPr="007E3D67" w:rsidRDefault="006618FF" w:rsidP="00875104"/>
    <w:p w:rsidR="006618FF" w:rsidRPr="007E3D67" w:rsidRDefault="006618FF" w:rsidP="00875104">
      <w:r w:rsidRPr="007E3D67">
        <w:t xml:space="preserve">S ohledem na </w:t>
      </w:r>
      <w:r w:rsidR="00765C7D" w:rsidRPr="007E3D67">
        <w:t xml:space="preserve">období </w:t>
      </w:r>
      <w:r w:rsidRPr="007E3D67">
        <w:t>vznik</w:t>
      </w:r>
      <w:r w:rsidR="00765C7D" w:rsidRPr="007E3D67">
        <w:t>u</w:t>
      </w:r>
      <w:r w:rsidRPr="007E3D67">
        <w:t xml:space="preserve"> práce a komplexitu sledovaných jevů, bylo stanoveno </w:t>
      </w:r>
      <w:r w:rsidR="00765C7D" w:rsidRPr="007E3D67">
        <w:t>datování práce od prvotních indicií hypoteční krize na americkém trhu, až do poloviny roku 2010 v podmínkách české ekonomiky.</w:t>
      </w:r>
    </w:p>
    <w:p w:rsidR="00765C7D" w:rsidRPr="007E3D67" w:rsidRDefault="00765C7D" w:rsidP="00875104"/>
    <w:p w:rsidR="00765C7D" w:rsidRPr="007E3D67" w:rsidRDefault="00765C7D" w:rsidP="00875104">
      <w:r w:rsidRPr="007E3D67">
        <w:t xml:space="preserve">V hlavní textové části budou uvedeny čtyři kapitoly. V první kapitole budou uvedeny teoretické podklady a souvislosti v oblasti hospodářské politiky. V jakém prostředí hospodářská politika vzniká, jaké skupiny se na jejím vzniku podílí, jakých forem může nabývat, jaké k tomu používá nástroje a jaké má projevy. V druhé kapitole bude obsažen popis a zhodnocení hypoteční krize v USA. Co jí předcházelo, </w:t>
      </w:r>
      <w:r w:rsidR="0089368C" w:rsidRPr="007E3D67">
        <w:t>jak probíhala, její</w:t>
      </w:r>
      <w:r w:rsidRPr="007E3D67">
        <w:t xml:space="preserve"> dopad na ekonomiku a ekonomické subjekty</w:t>
      </w:r>
      <w:r w:rsidR="0089368C" w:rsidRPr="007E3D67">
        <w:t xml:space="preserve"> a protiopatření její souvislosti. Třetí kapitola obsáhne popis makroekonomických i mikroekonomický dat ve sledovaném období a stanoví výchozí pozici české ekonomiky pro tvorbu opatření k jejím změnám. Ve čtvrté kapitole bude uveden výčet opatření, která byla nebo mohla být realizována jako odpověď na stav ekonomiky. Tento výčet bude doplněn verbálními analýzami a zakončen subjektivním verdiktem autora této práce.</w:t>
      </w:r>
    </w:p>
    <w:p w:rsidR="00630347" w:rsidRPr="007E3D67" w:rsidRDefault="00630347" w:rsidP="0055436F">
      <w:pPr>
        <w:pStyle w:val="Nadpis1"/>
        <w:rPr>
          <w:lang w:val="cs-CZ"/>
        </w:rPr>
      </w:pPr>
      <w:bookmarkStart w:id="22" w:name="_Toc279696203"/>
      <w:r w:rsidRPr="007E3D67">
        <w:rPr>
          <w:lang w:val="cs-CZ"/>
        </w:rPr>
        <w:lastRenderedPageBreak/>
        <w:t>Hospodářská politika</w:t>
      </w:r>
      <w:bookmarkEnd w:id="0"/>
      <w:bookmarkEnd w:id="22"/>
    </w:p>
    <w:p w:rsidR="00743498" w:rsidRPr="007E3D67" w:rsidRDefault="0020388C" w:rsidP="009B7DD8">
      <w:pPr>
        <w:pStyle w:val="Nadpis2"/>
        <w:rPr>
          <w:rFonts w:cs="Times New Roman"/>
        </w:rPr>
      </w:pPr>
      <w:bookmarkStart w:id="23" w:name="_Toc278920716"/>
      <w:bookmarkStart w:id="24" w:name="_Toc279696204"/>
      <w:r w:rsidRPr="007E3D67">
        <w:rPr>
          <w:rFonts w:cs="Times New Roman"/>
        </w:rPr>
        <w:t>Teorie hospodářské politiky</w:t>
      </w:r>
      <w:bookmarkEnd w:id="23"/>
      <w:bookmarkEnd w:id="24"/>
    </w:p>
    <w:p w:rsidR="00743498" w:rsidRPr="007E3D67" w:rsidRDefault="00743498" w:rsidP="008F3DE7">
      <w:r w:rsidRPr="007E3D67">
        <w:t xml:space="preserve">Hospodářskou politiku můžeme chápat ve dvou rovinách. V té první, praktické, jako přístup státu k ekonomice své země. Jde o činnost, při níž nositelé hospodářské politiky používají určitých nástrojů a svěřených pravomocí k tomu, aby ovlivnili ekonomický a sociální vývoj, přičemž se snaží docílit určitých ekonomických a celospolečenských cílů. </w:t>
      </w:r>
      <w:r w:rsidR="000D52BC" w:rsidRPr="007E3D67">
        <w:t>Např. vláda navrhuje státní rozpočet a v demokratické společnosti jej předkládá parlamentu ke schválení, schvaluje výši daňové zátěže. Centrální banka s ohledem na inflaci, resp. kurz domácí měny může, může měnit základní úrokové sazby, příp. ovlivňovat svými nástroji výši kurzu. Antimonopolní úřad dohlíží nad dodržováním pravidel hospodářské soutěže.</w:t>
      </w:r>
    </w:p>
    <w:p w:rsidR="00814329" w:rsidRPr="007E3D67" w:rsidRDefault="00814329" w:rsidP="008F3DE7"/>
    <w:p w:rsidR="000D52BC" w:rsidRPr="007E3D67" w:rsidRDefault="000D52BC" w:rsidP="008F3DE7">
      <w:r w:rsidRPr="007E3D67">
        <w:t xml:space="preserve">Druhý aspekt hospodářské politiky spočívá v jejím pojetí jakožto teoretické disciplíny.  Teorie hospodářské politiky je poměrně mladou disciplínou, která se začala formovat až po 2. světové válce. </w:t>
      </w:r>
      <w:r w:rsidR="00154FB6" w:rsidRPr="007E3D67">
        <w:t>Je zaměřena na analýzu probíhajících jevů</w:t>
      </w:r>
      <w:r w:rsidR="00AF203A" w:rsidRPr="007E3D67">
        <w:t xml:space="preserve"> a</w:t>
      </w:r>
      <w:r w:rsidR="00154FB6" w:rsidRPr="007E3D67">
        <w:t xml:space="preserve"> </w:t>
      </w:r>
      <w:r w:rsidR="00A22C42" w:rsidRPr="007E3D67">
        <w:t>násled</w:t>
      </w:r>
      <w:r w:rsidR="00AF203A" w:rsidRPr="007E3D67">
        <w:t>n</w:t>
      </w:r>
      <w:r w:rsidR="00F863E1" w:rsidRPr="007E3D67">
        <w:t>é</w:t>
      </w:r>
      <w:r w:rsidR="00A22C42" w:rsidRPr="007E3D67">
        <w:t xml:space="preserve"> návrhy opa</w:t>
      </w:r>
      <w:r w:rsidR="00AF203A" w:rsidRPr="007E3D67">
        <w:t>t</w:t>
      </w:r>
      <w:r w:rsidR="00A22C42" w:rsidRPr="007E3D67">
        <w:t xml:space="preserve">ření na </w:t>
      </w:r>
      <w:r w:rsidR="00AF203A" w:rsidRPr="007E3D67">
        <w:t>řešení těchto jevů za pomoci konkrétních nástrojů. Jaké nástroje a za jakým účelem budou použity, rozhoduje</w:t>
      </w:r>
      <w:r w:rsidR="0091119A" w:rsidRPr="007E3D67">
        <w:t xml:space="preserve"> převažující teoretické zázemí, ze kterého vláda, potažmo stát vychází. </w:t>
      </w:r>
    </w:p>
    <w:p w:rsidR="00743498" w:rsidRPr="007E3D67" w:rsidRDefault="006D5BDD" w:rsidP="008F3DE7">
      <w:r w:rsidRPr="007E3D67">
        <w:t>(</w:t>
      </w:r>
      <w:r w:rsidR="00DA3749" w:rsidRPr="007E3D67">
        <w:t>KLIKOVÁ</w:t>
      </w:r>
      <w:r w:rsidRPr="007E3D67">
        <w:t xml:space="preserve"> 2003</w:t>
      </w:r>
      <w:r w:rsidR="00DA3749" w:rsidRPr="007E3D67">
        <w:t>:</w:t>
      </w:r>
      <w:r w:rsidR="00107F13" w:rsidRPr="007E3D67">
        <w:t>11</w:t>
      </w:r>
      <w:r w:rsidRPr="007E3D67">
        <w:t>)</w:t>
      </w:r>
    </w:p>
    <w:p w:rsidR="00D85110" w:rsidRPr="007E3D67" w:rsidRDefault="00D85110" w:rsidP="008F3DE7"/>
    <w:p w:rsidR="0020388C" w:rsidRPr="007E3D67" w:rsidRDefault="0020388C" w:rsidP="008F3DE7">
      <w:pPr>
        <w:pStyle w:val="Nadpis3"/>
        <w:rPr>
          <w:rFonts w:cs="Times New Roman"/>
        </w:rPr>
      </w:pPr>
      <w:bookmarkStart w:id="25" w:name="_Toc278920717"/>
      <w:bookmarkStart w:id="26" w:name="_Toc279696205"/>
      <w:r w:rsidRPr="007E3D67">
        <w:rPr>
          <w:rFonts w:cs="Times New Roman"/>
        </w:rPr>
        <w:t>Institucionální prostředí hospodářské politiky</w:t>
      </w:r>
      <w:bookmarkEnd w:id="25"/>
      <w:bookmarkEnd w:id="26"/>
    </w:p>
    <w:p w:rsidR="0020388C" w:rsidRPr="007E3D67" w:rsidRDefault="00F566D2" w:rsidP="008F3DE7">
      <w:r w:rsidRPr="007E3D67">
        <w:t>Hospodářská politika je vždy realizována v konkrétních podmínkách té které země. Tyto podmínky mohou být pro více zemí různé až zce</w:t>
      </w:r>
      <w:r w:rsidR="008D69ED" w:rsidRPr="007E3D67">
        <w:t xml:space="preserve">la odlišné. Tyto odlišnosti jsou dány tradicemi, náboženským vnímáním, sociálním cítěním, převažujícími zvyklostmi, kulturou, historickým vývojem, zkušenostmi, vazbami na zahraničí atd. </w:t>
      </w:r>
    </w:p>
    <w:p w:rsidR="00B31433" w:rsidRPr="007E3D67" w:rsidRDefault="00B31433" w:rsidP="008F3DE7"/>
    <w:p w:rsidR="008D69ED" w:rsidRPr="007E3D67" w:rsidRDefault="008D69ED" w:rsidP="008F3DE7">
      <w:r w:rsidRPr="007E3D67">
        <w:t>Složky institucionální soustavy jsou společné, ovšem jednotlivé prvky soustavy mohou mít v každé zemi jinou váhu. Tyto složky tvoří:</w:t>
      </w:r>
    </w:p>
    <w:p w:rsidR="009B7DD8" w:rsidRPr="007E3D67" w:rsidRDefault="009B7DD8" w:rsidP="008F3DE7"/>
    <w:p w:rsidR="007634CD" w:rsidRPr="007E3D67" w:rsidRDefault="007634CD" w:rsidP="008F3DE7">
      <w:pPr>
        <w:rPr>
          <w:lang w:eastAsia="cs-CZ"/>
        </w:rPr>
      </w:pPr>
      <w:r w:rsidRPr="007E3D67">
        <w:rPr>
          <w:noProof/>
          <w:lang w:eastAsia="cs-CZ"/>
        </w:rPr>
        <w:lastRenderedPageBreak/>
        <w:drawing>
          <wp:inline distT="0" distB="0" distL="0" distR="0">
            <wp:extent cx="5486400" cy="1314450"/>
            <wp:effectExtent l="76200" t="0" r="5715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B31433" w:rsidRPr="007E3D67" w:rsidRDefault="00B31433" w:rsidP="00AB317A">
      <w:pPr>
        <w:pStyle w:val="CaptionIntroductionparagraph"/>
      </w:pPr>
      <w:bookmarkStart w:id="27" w:name="_Toc279307125"/>
      <w:bookmarkStart w:id="28" w:name="_Toc279438606"/>
      <w:bookmarkStart w:id="29" w:name="_Toc279696240"/>
      <w:bookmarkStart w:id="30" w:name="_Toc279696329"/>
      <w:r w:rsidRPr="007E3D67">
        <w:t>Obr. 1: Složky institucionální soustavy</w:t>
      </w:r>
      <w:bookmarkEnd w:id="27"/>
      <w:bookmarkEnd w:id="28"/>
      <w:bookmarkEnd w:id="29"/>
      <w:bookmarkEnd w:id="30"/>
    </w:p>
    <w:p w:rsidR="007634CD" w:rsidRPr="007E3D67" w:rsidRDefault="00B31433" w:rsidP="008F3DE7">
      <w:pPr>
        <w:rPr>
          <w:i/>
          <w:sz w:val="20"/>
          <w:lang w:eastAsia="cs-CZ"/>
        </w:rPr>
      </w:pPr>
      <w:r w:rsidRPr="007E3D67">
        <w:rPr>
          <w:i/>
          <w:sz w:val="20"/>
          <w:lang w:eastAsia="cs-CZ"/>
        </w:rPr>
        <w:t>Zdroj</w:t>
      </w:r>
      <w:r w:rsidR="007634CD" w:rsidRPr="007E3D67">
        <w:rPr>
          <w:i/>
          <w:sz w:val="20"/>
          <w:lang w:eastAsia="cs-CZ"/>
        </w:rPr>
        <w:t>: Vlastní konstrukce</w:t>
      </w:r>
    </w:p>
    <w:p w:rsidR="007634CD" w:rsidRPr="007E3D67" w:rsidRDefault="007634CD" w:rsidP="008F3DE7"/>
    <w:p w:rsidR="00796AE1" w:rsidRPr="007E3D67" w:rsidRDefault="00733C55" w:rsidP="008F3DE7">
      <w:pPr>
        <w:rPr>
          <w:b/>
        </w:rPr>
      </w:pPr>
      <w:r w:rsidRPr="007E3D67">
        <w:rPr>
          <w:b/>
        </w:rPr>
        <w:t>Hospodářský systém</w:t>
      </w:r>
    </w:p>
    <w:p w:rsidR="005C7D60" w:rsidRPr="007E3D67" w:rsidRDefault="005C7D60" w:rsidP="008F3DE7"/>
    <w:p w:rsidR="00733C55" w:rsidRPr="007E3D67" w:rsidRDefault="00733C55" w:rsidP="008F3DE7">
      <w:r w:rsidRPr="007E3D67">
        <w:t>V každé ekonomice existuj</w:t>
      </w:r>
      <w:r w:rsidR="006201BE" w:rsidRPr="007E3D67">
        <w:t>e</w:t>
      </w:r>
      <w:r w:rsidRPr="007E3D67">
        <w:t xml:space="preserve"> </w:t>
      </w:r>
      <w:r w:rsidR="006201BE" w:rsidRPr="007E3D67">
        <w:t>nespočet</w:t>
      </w:r>
      <w:r w:rsidRPr="007E3D67">
        <w:t xml:space="preserve"> anonymních a navzájem se neznajících ekonomických subjektů, které jsou navzájem v určité míře propojeny. Tato síť vazeb je definována jako koordinační systém. Teoreticky lze tyto systémy rozdělit do dvou kategorií:</w:t>
      </w:r>
    </w:p>
    <w:p w:rsidR="00733C55" w:rsidRPr="007E3D67" w:rsidRDefault="00733C55" w:rsidP="00E311BA">
      <w:pPr>
        <w:pStyle w:val="Odstavecseseznamem"/>
        <w:numPr>
          <w:ilvl w:val="0"/>
          <w:numId w:val="5"/>
        </w:numPr>
        <w:spacing w:line="360" w:lineRule="auto"/>
        <w:rPr>
          <w:rFonts w:ascii="Times New Roman" w:hAnsi="Times New Roman" w:cs="Times New Roman"/>
        </w:rPr>
      </w:pPr>
      <w:r w:rsidRPr="007E3D67">
        <w:rPr>
          <w:rFonts w:ascii="Times New Roman" w:hAnsi="Times New Roman" w:cs="Times New Roman"/>
        </w:rPr>
        <w:t>Koordinační systém tržně cenový.</w:t>
      </w:r>
    </w:p>
    <w:p w:rsidR="00733C55" w:rsidRPr="007E3D67" w:rsidRDefault="00733C55" w:rsidP="00E311BA">
      <w:pPr>
        <w:pStyle w:val="Odstavecseseznamem"/>
        <w:numPr>
          <w:ilvl w:val="0"/>
          <w:numId w:val="5"/>
        </w:numPr>
        <w:spacing w:line="360" w:lineRule="auto"/>
        <w:rPr>
          <w:rFonts w:ascii="Times New Roman" w:hAnsi="Times New Roman" w:cs="Times New Roman"/>
        </w:rPr>
      </w:pPr>
      <w:r w:rsidRPr="007E3D67">
        <w:rPr>
          <w:rFonts w:ascii="Times New Roman" w:hAnsi="Times New Roman" w:cs="Times New Roman"/>
        </w:rPr>
        <w:t>Koordinační systém organizačně příkazový.</w:t>
      </w:r>
    </w:p>
    <w:p w:rsidR="00733C55" w:rsidRPr="007E3D67" w:rsidRDefault="000D3BDB" w:rsidP="008F3DE7">
      <w:r w:rsidRPr="007E3D67">
        <w:t>Nejlepší podmínky pro optimální volbu cílů jednotlivých subjektů a efektivní využití prostředků v demokratickém státě je spojeno s tržně cenovým koordinačním systémem.</w:t>
      </w:r>
      <w:r w:rsidR="00B069DE" w:rsidRPr="007E3D67">
        <w:t xml:space="preserve"> Jeho podstatou je </w:t>
      </w:r>
      <w:r w:rsidR="009B3AB2" w:rsidRPr="007E3D67">
        <w:t>kauzalita</w:t>
      </w:r>
      <w:r w:rsidR="00B069DE" w:rsidRPr="007E3D67">
        <w:t xml:space="preserve"> mezi poptávkou – cenou – nabídkou, kdy růst poptávky po určitém druhu statku vede</w:t>
      </w:r>
      <w:r w:rsidR="009B3AB2" w:rsidRPr="007E3D67">
        <w:t xml:space="preserve"> k růstu jeho ceny, což zvyšuje zisk jeho výrobci. Výroba tohoto statku se stávává atraktivní a přiláká do odvětví další producenty. Dochází k růstu nabídky a následně k poklesu ceny. Tento proces pokračuje až do vyrovnání poptávky a nabídky na trhu.</w:t>
      </w:r>
      <w:r w:rsidR="00A631CA" w:rsidRPr="007E3D67">
        <w:t xml:space="preserve"> Zásadním úkolem hospodářské politiky je vytvoření funkčního hospodářského systému, založeného na tržních principech, zajistit volnou tvorbu cen bez intervencí stát</w:t>
      </w:r>
      <w:r w:rsidR="0067511C" w:rsidRPr="007E3D67">
        <w:t>u</w:t>
      </w:r>
      <w:r w:rsidR="00A631CA" w:rsidRPr="007E3D67">
        <w:t xml:space="preserve"> nebo podniků s dominantním postavením. Všechny subjekty na trhu musí mít stejný přístup k informacím, které mají vliv na rozhodování podnikatelů i spotřebitelů.  </w:t>
      </w:r>
    </w:p>
    <w:p w:rsidR="00F339C5" w:rsidRPr="007E3D67" w:rsidRDefault="00F339C5" w:rsidP="008F3DE7"/>
    <w:p w:rsidR="00F339C5" w:rsidRPr="007E3D67" w:rsidRDefault="00F339C5" w:rsidP="008F3DE7">
      <w:r w:rsidRPr="007E3D67">
        <w:t xml:space="preserve">V současnosti většina ekonomů zastává názor, že právě cenově tržní koordinační mechanismus vede k optimální alokaci zdrojů, k maximální hospodárnosti jejich využívání a tedy i k maximálnímu stupni uspokojování potřeb. </w:t>
      </w:r>
      <w:r w:rsidR="00C67B5B" w:rsidRPr="007E3D67">
        <w:t>Měl by tedy platit konsensus mezi aplikací hospodářské politiky s demokratickým politickým zřízením daného státu. Pouze v takovém právním, sociálním, ekonomickém a kulturním prostředí, budou demokraticky uspokojovány i ekonomické zájmy lidí</w:t>
      </w:r>
      <w:r w:rsidR="0067511C" w:rsidRPr="007E3D67">
        <w:t>.</w:t>
      </w:r>
    </w:p>
    <w:p w:rsidR="00C67B5B" w:rsidRPr="007E3D67" w:rsidRDefault="00C67B5B" w:rsidP="008F3DE7"/>
    <w:p w:rsidR="00C67B5B" w:rsidRPr="007E3D67" w:rsidRDefault="006C3D5C" w:rsidP="008F3DE7">
      <w:r w:rsidRPr="007E3D67">
        <w:t xml:space="preserve">Organizačně příkazový koordinační mechanismus je založen na existenci organizací. Tyto organizace jsou chápány jako soustava vědomě koordinovaných činností a sil 2 a více osob. Jednotliví členové organizace se navzájem znají a svým členstvím sledují </w:t>
      </w:r>
      <w:r w:rsidR="00F71505" w:rsidRPr="007E3D67">
        <w:t xml:space="preserve">konkrétní, předem určené </w:t>
      </w:r>
      <w:r w:rsidRPr="007E3D67">
        <w:t xml:space="preserve">cíle. </w:t>
      </w:r>
      <w:r w:rsidR="007C31F0" w:rsidRPr="007E3D67">
        <w:t xml:space="preserve">K dosažení tohoto cíle je nutné, aby všechny zainteresované osoby dodržovaly platná pravidla. Což znamená, že v organizaci mají jednotlivé vazby mezi jejími účastníky převážně vertikální charakter a mají povahu nadřízenosti a podřízenosti. Dosahování cílů je uskutečňováno pomocí </w:t>
      </w:r>
      <w:r w:rsidR="001F2DA3" w:rsidRPr="007E3D67">
        <w:t>plánování. Tvorba plánů zahrnuje posloupnost kroků, pomocí kterých bude cíle dosaženo.</w:t>
      </w:r>
    </w:p>
    <w:p w:rsidR="000635D4" w:rsidRPr="007E3D67" w:rsidRDefault="000635D4" w:rsidP="008F3DE7"/>
    <w:p w:rsidR="000635D4" w:rsidRPr="007E3D67" w:rsidRDefault="000635D4" w:rsidP="008F3DE7">
      <w:pPr>
        <w:rPr>
          <w:b/>
        </w:rPr>
      </w:pPr>
      <w:r w:rsidRPr="007E3D67">
        <w:rPr>
          <w:b/>
        </w:rPr>
        <w:t>Politický systém</w:t>
      </w:r>
    </w:p>
    <w:p w:rsidR="006C3D5C" w:rsidRPr="007E3D67" w:rsidRDefault="006C3D5C" w:rsidP="008F3DE7"/>
    <w:p w:rsidR="00B80AB5" w:rsidRPr="007E3D67" w:rsidRDefault="00B80AB5" w:rsidP="008F3DE7">
      <w:r w:rsidRPr="007E3D67">
        <w:t>Praktikovaná hospodářská politika je výsledkem politické v</w:t>
      </w:r>
      <w:r w:rsidR="003C105F" w:rsidRPr="007E3D67">
        <w:t>l</w:t>
      </w:r>
      <w:r w:rsidRPr="007E3D67">
        <w:t xml:space="preserve">ády. Nositeli politických názorů jsou politické strany, přičemž jednotlivé politické strany se od sebe liší svým hospodářsko-politickým programem, deklarovanými cíli a způsoby jak jich dosáhnout. Pro výběr legitimního názoru se v demokratické společnosti používají veřejné volby. Tento mechanismus je jednou ze základních podmínek pro fungování politické demokracie. Svobodné, tajné a rovné volby zaručují stejné možnosti svobodného rozhodování pro všechny občany. </w:t>
      </w:r>
      <w:r w:rsidR="006F2AFA" w:rsidRPr="007E3D67">
        <w:t>Systém politické demokracie reflektuje přání většiny, což se projevuje ve výsledku voleb.</w:t>
      </w:r>
    </w:p>
    <w:p w:rsidR="0067511C" w:rsidRPr="007E3D67" w:rsidRDefault="0067511C" w:rsidP="008F3DE7"/>
    <w:p w:rsidR="00B80AB5" w:rsidRPr="007E3D67" w:rsidRDefault="00AE270B" w:rsidP="008F3DE7">
      <w:r w:rsidRPr="007E3D67">
        <w:t>Tento systém má i řadu nedostatků. Prvním vyplívá z toho, že ani výše popsaný volební systém není schopen zaručit, že ve společnosti bude dosaženo potřebného s</w:t>
      </w:r>
      <w:r w:rsidR="00471CDD" w:rsidRPr="007E3D67">
        <w:t>p</w:t>
      </w:r>
      <w:r w:rsidRPr="007E3D67">
        <w:t>olečného zájmu.</w:t>
      </w:r>
    </w:p>
    <w:p w:rsidR="0067511C" w:rsidRPr="007E3D67" w:rsidRDefault="0067511C" w:rsidP="008F3DE7"/>
    <w:p w:rsidR="00AE270B" w:rsidRPr="007E3D67" w:rsidRDefault="00AE270B" w:rsidP="008F3DE7">
      <w:r w:rsidRPr="007E3D67">
        <w:t>Druhý nedostatek je spojen s možnou patovou situací po volbách, kdy ani jedna parlamentní strana nezíská většinu.</w:t>
      </w:r>
      <w:r w:rsidR="000B40D8" w:rsidRPr="007E3D67">
        <w:t xml:space="preserve"> Vítězná strana j</w:t>
      </w:r>
      <w:r w:rsidRPr="007E3D67">
        <w:t>e tedy nucena formou koaliční vlády spolupracovat s další z úspěšných politických stran, se kterou má blízký hospodářsk</w:t>
      </w:r>
      <w:r w:rsidR="00471CDD" w:rsidRPr="007E3D67">
        <w:t>o-politický</w:t>
      </w:r>
      <w:r w:rsidRPr="007E3D67">
        <w:t xml:space="preserve"> program.</w:t>
      </w:r>
      <w:r w:rsidR="001E39EA" w:rsidRPr="007E3D67">
        <w:t xml:space="preserve"> Všechny koaliční strany musí formou částečných ústupků dospět ke vzájemnému konsensu. Tyto ústupky ovšem negují splnění zájmů a cílů většinové skupiny obyvatelstva, která volila vítěznou stranu ve volbách.</w:t>
      </w:r>
    </w:p>
    <w:p w:rsidR="005C7D60" w:rsidRPr="007E3D67" w:rsidRDefault="005C7D60" w:rsidP="008F3DE7">
      <w:pPr>
        <w:rPr>
          <w:b/>
        </w:rPr>
      </w:pPr>
    </w:p>
    <w:p w:rsidR="001E39EA" w:rsidRPr="007E3D67" w:rsidRDefault="001E39EA" w:rsidP="008F3DE7">
      <w:pPr>
        <w:rPr>
          <w:b/>
        </w:rPr>
      </w:pPr>
      <w:r w:rsidRPr="007E3D67">
        <w:rPr>
          <w:b/>
        </w:rPr>
        <w:lastRenderedPageBreak/>
        <w:t>Existence byrokracie</w:t>
      </w:r>
    </w:p>
    <w:p w:rsidR="001E39EA" w:rsidRPr="007E3D67" w:rsidRDefault="001E39EA" w:rsidP="008F3DE7">
      <w:pPr>
        <w:rPr>
          <w:b/>
        </w:rPr>
      </w:pPr>
    </w:p>
    <w:p w:rsidR="001E39EA" w:rsidRPr="007E3D67" w:rsidRDefault="003E4A39" w:rsidP="008F3DE7">
      <w:pPr>
        <w:rPr>
          <w:b/>
        </w:rPr>
      </w:pPr>
      <w:r w:rsidRPr="007E3D67">
        <w:t>Realizaci h</w:t>
      </w:r>
      <w:r w:rsidR="001E39EA" w:rsidRPr="007E3D67">
        <w:t>ospodářsko-politick</w:t>
      </w:r>
      <w:r w:rsidRPr="007E3D67">
        <w:t>ých</w:t>
      </w:r>
      <w:r w:rsidR="001E39EA" w:rsidRPr="007E3D67">
        <w:t xml:space="preserve"> rozhodnutí</w:t>
      </w:r>
      <w:r w:rsidRPr="007E3D67">
        <w:t>,</w:t>
      </w:r>
      <w:r w:rsidR="001E39EA" w:rsidRPr="007E3D67">
        <w:t xml:space="preserve"> přijat</w:t>
      </w:r>
      <w:r w:rsidRPr="007E3D67">
        <w:t>ých</w:t>
      </w:r>
      <w:r w:rsidR="001E39EA" w:rsidRPr="007E3D67">
        <w:t xml:space="preserve"> parlamentem a vládou </w:t>
      </w:r>
      <w:r w:rsidR="00DC1B2A" w:rsidRPr="007E3D67">
        <w:t xml:space="preserve">zajišťuje „výkonný aparát“. Jedním z hlavních znaků tohoto aparátu je jeho hierarchická struktura vycházející ze sestupné posloupnosti kompetencí. </w:t>
      </w:r>
      <w:r w:rsidR="002338E2" w:rsidRPr="007E3D67">
        <w:t xml:space="preserve">Tento aparát se posupně sává byrokratickým a nepodléhá (anebo jen částečně) tržním sankcím. Nemusí respektovat individuální potřeby adresátům jeho služeb. Nenese náklady svých rozhodnutí. Disponuje zdroji, které nejsou  jeho vlastnictvím. Vzhledem k uvedeným premisám může nastat situace, kdy při nedostatečném nebo nedokonalém kontrolním mechanismu </w:t>
      </w:r>
      <w:r w:rsidR="000E0202" w:rsidRPr="007E3D67">
        <w:t>dojde k relativnímu osamostatnění se této úřednické složky a k prosazování jejích vlastních cílů.</w:t>
      </w:r>
    </w:p>
    <w:p w:rsidR="006C4EE2" w:rsidRPr="007E3D67" w:rsidRDefault="006C4EE2" w:rsidP="008F3DE7"/>
    <w:p w:rsidR="006C4EE2" w:rsidRPr="007E3D67" w:rsidRDefault="006C4EE2" w:rsidP="008F3DE7">
      <w:pPr>
        <w:rPr>
          <w:b/>
        </w:rPr>
      </w:pPr>
      <w:r w:rsidRPr="007E3D67">
        <w:rPr>
          <w:b/>
        </w:rPr>
        <w:t>Velké zájmové skupiny</w:t>
      </w:r>
    </w:p>
    <w:p w:rsidR="00B80AB5" w:rsidRPr="007E3D67" w:rsidRDefault="00B80AB5" w:rsidP="008F3DE7"/>
    <w:p w:rsidR="006C4EE2" w:rsidRPr="007E3D67" w:rsidRDefault="00E62FE5" w:rsidP="008F3DE7">
      <w:r w:rsidRPr="007E3D67">
        <w:t>Významná a důležitá jednání z hlediska hospodářské politiky, mohou probíhat i mimo parlament a vládu, především prostřednictvím velkých zájmových skupin. Mezi ně můžeme zařadit odbory, různé zemědělské svazy apod. Tyto skupiny sledují svůj vlastní cíl a je v podstatě jedno, jestli organizovaně (již zmíněné zaměstnanecké s</w:t>
      </w:r>
      <w:r w:rsidR="00685415" w:rsidRPr="007E3D67">
        <w:t>v</w:t>
      </w:r>
      <w:r w:rsidRPr="007E3D67">
        <w:t xml:space="preserve">azy, hospodářské odbory apod.) nebo neorganizovaně (např. nejvlivnější </w:t>
      </w:r>
      <w:r w:rsidR="00233762" w:rsidRPr="007E3D67">
        <w:t>neorganizovanou skupinu u nás tvoří důchodci).</w:t>
      </w:r>
      <w:r w:rsidR="00991165" w:rsidRPr="007E3D67">
        <w:t xml:space="preserve"> Zájmové skupiny mají snahu ovlivňovat hospodářsko-politická rozhodnutí vlády</w:t>
      </w:r>
      <w:r w:rsidR="007C6516" w:rsidRPr="007E3D67">
        <w:t>,</w:t>
      </w:r>
      <w:r w:rsidR="00991165" w:rsidRPr="007E3D67">
        <w:t xml:space="preserve"> buď ve svůj prospěch</w:t>
      </w:r>
      <w:r w:rsidR="007C6516" w:rsidRPr="007E3D67">
        <w:t>,</w:t>
      </w:r>
      <w:r w:rsidR="00991165" w:rsidRPr="007E3D67">
        <w:t xml:space="preserve"> nebo aby tato rozhodnutí je přinejmenším nepoškodila. </w:t>
      </w:r>
      <w:r w:rsidR="00EA7041" w:rsidRPr="007E3D67">
        <w:t>Čím více se daří určité skupině prosazovat tyto své zájmy, tím více se odklání aplikovaná hospodářská politika od původně vytyčeného cíle.</w:t>
      </w:r>
      <w:r w:rsidR="00F94E4C" w:rsidRPr="007E3D67">
        <w:t xml:space="preserve"> </w:t>
      </w:r>
      <w:r w:rsidR="005B1809" w:rsidRPr="007E3D67">
        <w:t>Příkladem mohou být různá tripartitní jednání, při nichž svaz podnikatelů, odbor</w:t>
      </w:r>
      <w:r w:rsidR="00A31162" w:rsidRPr="007E3D67">
        <w:t>y a vláda vyjednávají společný konsensus některých aspektů hospodářské polit</w:t>
      </w:r>
      <w:r w:rsidR="00E60C6D" w:rsidRPr="007E3D67">
        <w:t>iky.</w:t>
      </w:r>
    </w:p>
    <w:p w:rsidR="00E60C6D" w:rsidRPr="007E3D67" w:rsidRDefault="00E60C6D" w:rsidP="008F3DE7"/>
    <w:p w:rsidR="0090175E" w:rsidRPr="007E3D67" w:rsidRDefault="0090175E" w:rsidP="008F3DE7">
      <w:pPr>
        <w:rPr>
          <w:b/>
        </w:rPr>
      </w:pPr>
      <w:r w:rsidRPr="007E3D67">
        <w:rPr>
          <w:b/>
        </w:rPr>
        <w:t>Nadnárodní a mezinárodní organizace</w:t>
      </w:r>
    </w:p>
    <w:p w:rsidR="0090175E" w:rsidRPr="007E3D67" w:rsidRDefault="0090175E" w:rsidP="008F3DE7">
      <w:pPr>
        <w:rPr>
          <w:b/>
        </w:rPr>
      </w:pPr>
    </w:p>
    <w:p w:rsidR="00740C0F" w:rsidRPr="007E3D67" w:rsidRDefault="00E07DAF" w:rsidP="008F3DE7">
      <w:r w:rsidRPr="007E3D67">
        <w:t>Hospodářsko-politická rozhodnutí musí reflektovat povinnosti a závazky plynoucí z členství státu v mezinárodních a nadnárodních organizacích.</w:t>
      </w:r>
      <w:r w:rsidR="00F94E4C" w:rsidRPr="007E3D67">
        <w:t xml:space="preserve"> </w:t>
      </w:r>
      <w:r w:rsidR="00F34086" w:rsidRPr="007E3D67">
        <w:t xml:space="preserve">Státy, které se angažují při mezinárodní směně zboží a služeb, nemohou ignorovat existenci odborných nadnárodních organizací jako </w:t>
      </w:r>
      <w:r w:rsidR="00F34086" w:rsidRPr="007E3D67">
        <w:rPr>
          <w:i/>
        </w:rPr>
        <w:t>The World Bank</w:t>
      </w:r>
      <w:r w:rsidR="00F34086" w:rsidRPr="007E3D67">
        <w:t xml:space="preserve">, </w:t>
      </w:r>
      <w:r w:rsidR="00F34086" w:rsidRPr="007E3D67">
        <w:rPr>
          <w:i/>
        </w:rPr>
        <w:t>Organisation for Economic Co-operation and Development</w:t>
      </w:r>
      <w:r w:rsidR="00F34086" w:rsidRPr="007E3D67">
        <w:t xml:space="preserve"> (</w:t>
      </w:r>
      <w:r w:rsidR="009A0726" w:rsidRPr="007E3D67">
        <w:t xml:space="preserve">dále jen </w:t>
      </w:r>
      <w:r w:rsidR="00F34086" w:rsidRPr="007E3D67">
        <w:t xml:space="preserve">OECD), </w:t>
      </w:r>
      <w:r w:rsidR="00F34086" w:rsidRPr="007E3D67">
        <w:rPr>
          <w:i/>
        </w:rPr>
        <w:t>International Monetary Fund</w:t>
      </w:r>
      <w:r w:rsidR="00F34086" w:rsidRPr="007E3D67">
        <w:t xml:space="preserve"> (</w:t>
      </w:r>
      <w:r w:rsidR="009A0726" w:rsidRPr="007E3D67">
        <w:t xml:space="preserve">dále jen </w:t>
      </w:r>
      <w:r w:rsidR="00F34086" w:rsidRPr="007E3D67">
        <w:t>IMF)</w:t>
      </w:r>
      <w:r w:rsidR="000D6635" w:rsidRPr="007E3D67">
        <w:t xml:space="preserve">, </w:t>
      </w:r>
      <w:r w:rsidR="000D6635" w:rsidRPr="007E3D67">
        <w:rPr>
          <w:i/>
        </w:rPr>
        <w:t xml:space="preserve">The World </w:t>
      </w:r>
      <w:r w:rsidR="000D6635" w:rsidRPr="007E3D67">
        <w:rPr>
          <w:i/>
        </w:rPr>
        <w:lastRenderedPageBreak/>
        <w:t>Trade Organisation</w:t>
      </w:r>
      <w:r w:rsidR="000D6635" w:rsidRPr="007E3D67">
        <w:t xml:space="preserve"> (</w:t>
      </w:r>
      <w:r w:rsidR="009A0726" w:rsidRPr="007E3D67">
        <w:t xml:space="preserve">dále jen </w:t>
      </w:r>
      <w:r w:rsidR="000D6635" w:rsidRPr="007E3D67">
        <w:t>WTO)</w:t>
      </w:r>
      <w:r w:rsidR="005D58CB" w:rsidRPr="007E3D67">
        <w:t xml:space="preserve"> atd.</w:t>
      </w:r>
      <w:r w:rsidR="00F94E4C" w:rsidRPr="007E3D67">
        <w:t xml:space="preserve"> </w:t>
      </w:r>
      <w:r w:rsidR="000D6635" w:rsidRPr="007E3D67">
        <w:t>Činnost těchto institucí ve většině případů omezuje manévrovací schopnosti vlády k aplikování efektivní hospodářské politiky, nicméně členským zemím poskytuje i četné výhody (WTO</w:t>
      </w:r>
      <w:r w:rsidR="008E2AE8" w:rsidRPr="007E3D67">
        <w:t xml:space="preserve"> kupř. zavazuje členské země nepoužívat vyšší cla vůči jiným členským zemím a zakazuje disk</w:t>
      </w:r>
      <w:r w:rsidR="00740C0F" w:rsidRPr="007E3D67">
        <w:t xml:space="preserve">riminaci v zahraničním obchodě). </w:t>
      </w:r>
    </w:p>
    <w:p w:rsidR="00FB3768" w:rsidRPr="007E3D67" w:rsidRDefault="00FB3768" w:rsidP="008F3DE7">
      <w:r w:rsidRPr="007E3D67">
        <w:t>(</w:t>
      </w:r>
      <w:r w:rsidR="00DA3749" w:rsidRPr="007E3D67">
        <w:t>KLIKOVÁ</w:t>
      </w:r>
      <w:r w:rsidRPr="007E3D67">
        <w:t xml:space="preserve"> 2003</w:t>
      </w:r>
      <w:r w:rsidR="00F94E4C" w:rsidRPr="007E3D67">
        <w:t>:</w:t>
      </w:r>
      <w:r w:rsidRPr="007E3D67">
        <w:t>13</w:t>
      </w:r>
      <w:r w:rsidR="00740C0F" w:rsidRPr="007E3D67">
        <w:t>-</w:t>
      </w:r>
      <w:r w:rsidR="00C67B5B" w:rsidRPr="007E3D67">
        <w:t>1</w:t>
      </w:r>
      <w:r w:rsidR="006C4EE2" w:rsidRPr="007E3D67">
        <w:t>7</w:t>
      </w:r>
      <w:r w:rsidRPr="007E3D67">
        <w:t>)</w:t>
      </w:r>
    </w:p>
    <w:p w:rsidR="00A77695" w:rsidRPr="007E3D67" w:rsidRDefault="00A77695" w:rsidP="008F3DE7"/>
    <w:p w:rsidR="00102448" w:rsidRPr="007E3D67" w:rsidRDefault="00102448" w:rsidP="008F3DE7">
      <w:pPr>
        <w:pStyle w:val="Nadpis3"/>
        <w:rPr>
          <w:rFonts w:cs="Times New Roman"/>
        </w:rPr>
      </w:pPr>
      <w:bookmarkStart w:id="31" w:name="_Toc278920718"/>
      <w:bookmarkStart w:id="32" w:name="_Toc279696206"/>
      <w:r w:rsidRPr="007E3D67">
        <w:rPr>
          <w:rFonts w:cs="Times New Roman"/>
        </w:rPr>
        <w:t>Nositelé hospodářské politiky</w:t>
      </w:r>
      <w:bookmarkEnd w:id="31"/>
      <w:bookmarkEnd w:id="32"/>
    </w:p>
    <w:p w:rsidR="00C67B5B" w:rsidRPr="007E3D67" w:rsidRDefault="00B6195A" w:rsidP="008F3DE7">
      <w:r w:rsidRPr="007E3D67">
        <w:t xml:space="preserve">Nositelé hospodářské politiky jsou státní a nestátní instituce, které hrají aktivní roli při tvorbě, realizaci a kontrole hospodářské politiky. </w:t>
      </w:r>
      <w:r w:rsidR="003F2B3F" w:rsidRPr="007E3D67">
        <w:t>Institucionální nositelé hospodářské politiky mohou být rozděleny do skupin:</w:t>
      </w:r>
    </w:p>
    <w:p w:rsidR="003F2B3F" w:rsidRPr="007E3D67" w:rsidRDefault="003F2B3F" w:rsidP="008F3DE7"/>
    <w:p w:rsidR="007B7A49" w:rsidRPr="007E3D67" w:rsidRDefault="007B7A49" w:rsidP="00E311BA">
      <w:pPr>
        <w:pStyle w:val="Odstavecseseznamem"/>
        <w:numPr>
          <w:ilvl w:val="0"/>
          <w:numId w:val="6"/>
        </w:numPr>
        <w:spacing w:line="360" w:lineRule="auto"/>
        <w:rPr>
          <w:rFonts w:ascii="Times New Roman" w:hAnsi="Times New Roman" w:cs="Times New Roman"/>
        </w:rPr>
      </w:pPr>
      <w:r w:rsidRPr="007E3D67">
        <w:rPr>
          <w:rFonts w:ascii="Times New Roman" w:hAnsi="Times New Roman" w:cs="Times New Roman"/>
        </w:rPr>
        <w:t>Zákonodárné instituce (parlament)</w:t>
      </w:r>
      <w:r w:rsidR="00E01720" w:rsidRPr="007E3D67">
        <w:rPr>
          <w:rFonts w:ascii="Times New Roman" w:hAnsi="Times New Roman" w:cs="Times New Roman"/>
        </w:rPr>
        <w:t>.</w:t>
      </w:r>
    </w:p>
    <w:p w:rsidR="007B7A49" w:rsidRPr="007E3D67" w:rsidRDefault="007B7A49" w:rsidP="00E311BA">
      <w:pPr>
        <w:pStyle w:val="Odstavecseseznamem"/>
        <w:numPr>
          <w:ilvl w:val="0"/>
          <w:numId w:val="6"/>
        </w:numPr>
        <w:spacing w:line="360" w:lineRule="auto"/>
        <w:rPr>
          <w:rFonts w:ascii="Times New Roman" w:hAnsi="Times New Roman" w:cs="Times New Roman"/>
        </w:rPr>
      </w:pPr>
      <w:r w:rsidRPr="007E3D67">
        <w:rPr>
          <w:rFonts w:ascii="Times New Roman" w:hAnsi="Times New Roman" w:cs="Times New Roman"/>
        </w:rPr>
        <w:t>Vládní instituce (vláda, ministerstva či jiné státní instituce např. celní a daňové orgány, živnostenské úřady)</w:t>
      </w:r>
      <w:r w:rsidR="00E01720" w:rsidRPr="007E3D67">
        <w:rPr>
          <w:rFonts w:ascii="Times New Roman" w:hAnsi="Times New Roman" w:cs="Times New Roman"/>
        </w:rPr>
        <w:t>.</w:t>
      </w:r>
    </w:p>
    <w:p w:rsidR="007B7A49" w:rsidRPr="007E3D67" w:rsidRDefault="007B7A49" w:rsidP="00E311BA">
      <w:pPr>
        <w:pStyle w:val="Odstavecseseznamem"/>
        <w:numPr>
          <w:ilvl w:val="0"/>
          <w:numId w:val="6"/>
        </w:numPr>
        <w:spacing w:line="360" w:lineRule="auto"/>
        <w:rPr>
          <w:rFonts w:ascii="Times New Roman" w:hAnsi="Times New Roman" w:cs="Times New Roman"/>
        </w:rPr>
      </w:pPr>
      <w:r w:rsidRPr="007E3D67">
        <w:rPr>
          <w:rFonts w:ascii="Times New Roman" w:hAnsi="Times New Roman" w:cs="Times New Roman"/>
        </w:rPr>
        <w:t>Centrální banka jako nositel monetární politiky</w:t>
      </w:r>
      <w:r w:rsidR="00E01720" w:rsidRPr="007E3D67">
        <w:rPr>
          <w:rFonts w:ascii="Times New Roman" w:hAnsi="Times New Roman" w:cs="Times New Roman"/>
        </w:rPr>
        <w:t>.</w:t>
      </w:r>
    </w:p>
    <w:p w:rsidR="007B7A49" w:rsidRPr="007E3D67" w:rsidRDefault="007B7A49" w:rsidP="00E311BA">
      <w:pPr>
        <w:pStyle w:val="Odstavecseseznamem"/>
        <w:numPr>
          <w:ilvl w:val="0"/>
          <w:numId w:val="6"/>
        </w:numPr>
        <w:spacing w:line="360" w:lineRule="auto"/>
        <w:rPr>
          <w:rFonts w:ascii="Times New Roman" w:hAnsi="Times New Roman" w:cs="Times New Roman"/>
        </w:rPr>
      </w:pPr>
      <w:r w:rsidRPr="007E3D67">
        <w:rPr>
          <w:rFonts w:ascii="Times New Roman" w:hAnsi="Times New Roman" w:cs="Times New Roman"/>
        </w:rPr>
        <w:t>Instituce vytvářející tržní prostředí a dohlížející na jeho kvalitu (Úřad pro ochranu hospodářské soutěže)</w:t>
      </w:r>
      <w:r w:rsidR="00E01720" w:rsidRPr="007E3D67">
        <w:rPr>
          <w:rFonts w:ascii="Times New Roman" w:hAnsi="Times New Roman" w:cs="Times New Roman"/>
        </w:rPr>
        <w:t>.</w:t>
      </w:r>
    </w:p>
    <w:p w:rsidR="007B7A49" w:rsidRPr="007E3D67" w:rsidRDefault="00AB437D" w:rsidP="00E311BA">
      <w:pPr>
        <w:pStyle w:val="Odstavecseseznamem"/>
        <w:numPr>
          <w:ilvl w:val="0"/>
          <w:numId w:val="6"/>
        </w:numPr>
        <w:spacing w:line="360" w:lineRule="auto"/>
        <w:rPr>
          <w:rFonts w:ascii="Times New Roman" w:hAnsi="Times New Roman" w:cs="Times New Roman"/>
        </w:rPr>
      </w:pPr>
      <w:r w:rsidRPr="007E3D67">
        <w:rPr>
          <w:rFonts w:ascii="Times New Roman" w:hAnsi="Times New Roman" w:cs="Times New Roman"/>
        </w:rPr>
        <w:t>Soudní instituce, jež zaručují vymahatelnost zákonem stanovených pravidel</w:t>
      </w:r>
      <w:r w:rsidR="00E01720" w:rsidRPr="007E3D67">
        <w:rPr>
          <w:rFonts w:ascii="Times New Roman" w:hAnsi="Times New Roman" w:cs="Times New Roman"/>
        </w:rPr>
        <w:t>.</w:t>
      </w:r>
    </w:p>
    <w:p w:rsidR="00AB437D" w:rsidRPr="007E3D67" w:rsidRDefault="00AB437D" w:rsidP="00E311BA">
      <w:pPr>
        <w:pStyle w:val="Odstavecseseznamem"/>
        <w:numPr>
          <w:ilvl w:val="0"/>
          <w:numId w:val="6"/>
        </w:numPr>
        <w:spacing w:line="360" w:lineRule="auto"/>
        <w:rPr>
          <w:rFonts w:ascii="Times New Roman" w:hAnsi="Times New Roman" w:cs="Times New Roman"/>
        </w:rPr>
      </w:pPr>
      <w:r w:rsidRPr="007E3D67">
        <w:rPr>
          <w:rFonts w:ascii="Times New Roman" w:hAnsi="Times New Roman" w:cs="Times New Roman"/>
        </w:rPr>
        <w:t>Instituce protivážných sil či nositelé vlivu, které nepatří k formální organizaci hospodářské politiky, ale přímo či nepřímo ji ovlivňují (odbory, organizace zaměstnavatelů, politické strany apod.)</w:t>
      </w:r>
      <w:r w:rsidR="00E01720" w:rsidRPr="007E3D67">
        <w:rPr>
          <w:rFonts w:ascii="Times New Roman" w:hAnsi="Times New Roman" w:cs="Times New Roman"/>
        </w:rPr>
        <w:t>.</w:t>
      </w:r>
    </w:p>
    <w:p w:rsidR="008805E4" w:rsidRPr="007E3D67" w:rsidRDefault="008805E4" w:rsidP="008F3DE7">
      <w:pPr>
        <w:pStyle w:val="Odstavecseseznamem"/>
        <w:spacing w:line="360" w:lineRule="auto"/>
        <w:rPr>
          <w:rFonts w:ascii="Times New Roman" w:hAnsi="Times New Roman" w:cs="Times New Roman"/>
        </w:rPr>
      </w:pPr>
    </w:p>
    <w:p w:rsidR="00E01720" w:rsidRPr="007E3D67" w:rsidRDefault="008805E4" w:rsidP="008F3DE7">
      <w:pPr>
        <w:pStyle w:val="Nadpis3"/>
        <w:rPr>
          <w:rFonts w:cs="Times New Roman"/>
        </w:rPr>
      </w:pPr>
      <w:bookmarkStart w:id="33" w:name="_Toc278920719"/>
      <w:bookmarkStart w:id="34" w:name="_Toc279696207"/>
      <w:r w:rsidRPr="007E3D67">
        <w:rPr>
          <w:rFonts w:cs="Times New Roman"/>
        </w:rPr>
        <w:t>Nástroje hospodářské politiky</w:t>
      </w:r>
      <w:bookmarkEnd w:id="33"/>
      <w:bookmarkEnd w:id="34"/>
    </w:p>
    <w:p w:rsidR="00AB437D" w:rsidRPr="007E3D67" w:rsidRDefault="00794687" w:rsidP="008F3DE7">
      <w:r w:rsidRPr="007E3D67">
        <w:t>Prostředkem (nástrojem) hospodářské politiky rozumíme ekonomickou veličinu nebo ekonomicky relevantní veličinu</w:t>
      </w:r>
      <w:r w:rsidR="00462076" w:rsidRPr="007E3D67">
        <w:t>, kterou mohou hospodářští politikové stanovit nebo měnit, a působit tak na cílové proměnné. Tato ekonomická veličina může být např. cena, daňová sazba, ekonomicky relevantní veličinou pak např. bankovní zákon, kartelový zákon aj.</w:t>
      </w:r>
      <w:r w:rsidR="009A0726" w:rsidRPr="007E3D67">
        <w:t xml:space="preserve"> </w:t>
      </w:r>
      <w:r w:rsidRPr="007E3D67">
        <w:t>Za nástroje hospodářská politiky se</w:t>
      </w:r>
      <w:r w:rsidR="00462076" w:rsidRPr="007E3D67">
        <w:t xml:space="preserve"> tedy</w:t>
      </w:r>
      <w:r w:rsidRPr="007E3D67">
        <w:t xml:space="preserve"> označují prostředky, které jsou pod kontrolou státu a jsou využívány k dosažení vytyčených cílů. </w:t>
      </w:r>
    </w:p>
    <w:p w:rsidR="00C86509" w:rsidRPr="007E3D67" w:rsidRDefault="00C86509" w:rsidP="008F3DE7"/>
    <w:p w:rsidR="00C86509" w:rsidRPr="007E3D67" w:rsidRDefault="00C86509" w:rsidP="008F3DE7">
      <w:pPr>
        <w:rPr>
          <w:b/>
        </w:rPr>
      </w:pPr>
      <w:r w:rsidRPr="007E3D67">
        <w:rPr>
          <w:b/>
        </w:rPr>
        <w:t>Soustava nástrojů</w:t>
      </w:r>
    </w:p>
    <w:p w:rsidR="00C86509" w:rsidRPr="007E3D67" w:rsidRDefault="00C86509" w:rsidP="008F3DE7">
      <w:pPr>
        <w:rPr>
          <w:b/>
        </w:rPr>
      </w:pPr>
    </w:p>
    <w:p w:rsidR="00C86509" w:rsidRPr="007E3D67" w:rsidRDefault="00C86509" w:rsidP="008F3DE7">
      <w:r w:rsidRPr="007E3D67">
        <w:t xml:space="preserve">Hospodářská politika disponuje mnoha různými nástroji. </w:t>
      </w:r>
      <w:r w:rsidR="00211054" w:rsidRPr="007E3D67">
        <w:t>Kolik nástrojů a které nástroje budou použity v konkrétní situaci, závis</w:t>
      </w:r>
      <w:r w:rsidR="00E052EE" w:rsidRPr="007E3D67">
        <w:t>í</w:t>
      </w:r>
      <w:r w:rsidR="00211054" w:rsidRPr="007E3D67">
        <w:t xml:space="preserve"> na řadě činitelů. Především na vytyčených cílech, na rozsahu odchylky od předpokládaného stavu, na předpokládané reakci a postoji subjektů na trhu apod. </w:t>
      </w:r>
    </w:p>
    <w:p w:rsidR="00E052EE" w:rsidRPr="007E3D67" w:rsidRDefault="00E052EE" w:rsidP="008F3DE7"/>
    <w:p w:rsidR="00211054" w:rsidRPr="007E3D67" w:rsidRDefault="00211054" w:rsidP="008F3DE7">
      <w:r w:rsidRPr="007E3D67">
        <w:t>Soustava nástrojů může být rozdělena podle několika hledisek:</w:t>
      </w:r>
    </w:p>
    <w:p w:rsidR="00AC3EE3" w:rsidRPr="007E3D67" w:rsidRDefault="007F4F31" w:rsidP="00E311BA">
      <w:pPr>
        <w:numPr>
          <w:ilvl w:val="0"/>
          <w:numId w:val="7"/>
        </w:numPr>
      </w:pPr>
      <w:r w:rsidRPr="007E3D67">
        <w:t>Podle úrovně působení</w:t>
      </w:r>
      <w:r w:rsidR="00C67378" w:rsidRPr="007E3D67">
        <w:t>:</w:t>
      </w:r>
    </w:p>
    <w:p w:rsidR="00AC3EE3" w:rsidRPr="007E3D67" w:rsidRDefault="00C67378" w:rsidP="00E311BA">
      <w:pPr>
        <w:numPr>
          <w:ilvl w:val="1"/>
          <w:numId w:val="7"/>
        </w:numPr>
      </w:pPr>
      <w:r w:rsidRPr="007E3D67">
        <w:t>Makroekonomické</w:t>
      </w:r>
    </w:p>
    <w:p w:rsidR="00AC3EE3" w:rsidRPr="007E3D67" w:rsidRDefault="00C67378" w:rsidP="00E311BA">
      <w:pPr>
        <w:numPr>
          <w:ilvl w:val="1"/>
          <w:numId w:val="7"/>
        </w:numPr>
      </w:pPr>
      <w:r w:rsidRPr="007E3D67">
        <w:t>Mikroekonomické</w:t>
      </w:r>
    </w:p>
    <w:p w:rsidR="00AC3EE3" w:rsidRPr="007E3D67" w:rsidRDefault="00C67378" w:rsidP="00E311BA">
      <w:pPr>
        <w:numPr>
          <w:ilvl w:val="0"/>
          <w:numId w:val="7"/>
        </w:numPr>
      </w:pPr>
      <w:r w:rsidRPr="007E3D67">
        <w:t>Podle charakteru vlivu:</w:t>
      </w:r>
    </w:p>
    <w:p w:rsidR="00AC3EE3" w:rsidRPr="007E3D67" w:rsidRDefault="00C67378" w:rsidP="00E311BA">
      <w:pPr>
        <w:numPr>
          <w:ilvl w:val="1"/>
          <w:numId w:val="7"/>
        </w:numPr>
      </w:pPr>
      <w:r w:rsidRPr="007E3D67">
        <w:t>Přímé</w:t>
      </w:r>
    </w:p>
    <w:p w:rsidR="00AC3EE3" w:rsidRPr="007E3D67" w:rsidRDefault="00C67378" w:rsidP="00E311BA">
      <w:pPr>
        <w:numPr>
          <w:ilvl w:val="1"/>
          <w:numId w:val="7"/>
        </w:numPr>
      </w:pPr>
      <w:r w:rsidRPr="007E3D67">
        <w:t>Nepřímé</w:t>
      </w:r>
    </w:p>
    <w:p w:rsidR="00AC3EE3" w:rsidRPr="007E3D67" w:rsidRDefault="00C67378" w:rsidP="00E311BA">
      <w:pPr>
        <w:numPr>
          <w:ilvl w:val="0"/>
          <w:numId w:val="7"/>
        </w:numPr>
      </w:pPr>
      <w:r w:rsidRPr="007E3D67">
        <w:t>Podle oblasti působení:</w:t>
      </w:r>
    </w:p>
    <w:p w:rsidR="00AC3EE3" w:rsidRPr="007E3D67" w:rsidRDefault="003C105F" w:rsidP="00E311BA">
      <w:pPr>
        <w:numPr>
          <w:ilvl w:val="1"/>
          <w:numId w:val="7"/>
        </w:numPr>
      </w:pPr>
      <w:r w:rsidRPr="007E3D67">
        <w:t>Monetární</w:t>
      </w:r>
    </w:p>
    <w:p w:rsidR="00AC3EE3" w:rsidRPr="007E3D67" w:rsidRDefault="00C67378" w:rsidP="00E311BA">
      <w:pPr>
        <w:numPr>
          <w:ilvl w:val="1"/>
          <w:numId w:val="7"/>
        </w:numPr>
      </w:pPr>
      <w:r w:rsidRPr="007E3D67">
        <w:t>Fiskální</w:t>
      </w:r>
    </w:p>
    <w:p w:rsidR="00AC3EE3" w:rsidRPr="007E3D67" w:rsidRDefault="00C67378" w:rsidP="00E311BA">
      <w:pPr>
        <w:numPr>
          <w:ilvl w:val="0"/>
          <w:numId w:val="7"/>
        </w:numPr>
      </w:pPr>
      <w:r w:rsidRPr="007E3D67">
        <w:t>Podle sféry vlivu:</w:t>
      </w:r>
    </w:p>
    <w:p w:rsidR="00AC3EE3" w:rsidRPr="007E3D67" w:rsidRDefault="003C105F" w:rsidP="00E311BA">
      <w:pPr>
        <w:numPr>
          <w:ilvl w:val="1"/>
          <w:numId w:val="7"/>
        </w:numPr>
      </w:pPr>
      <w:r w:rsidRPr="007E3D67">
        <w:t>Globální</w:t>
      </w:r>
    </w:p>
    <w:p w:rsidR="00AC3EE3" w:rsidRPr="007E3D67" w:rsidRDefault="00C67378" w:rsidP="00E311BA">
      <w:pPr>
        <w:numPr>
          <w:ilvl w:val="1"/>
          <w:numId w:val="7"/>
        </w:numPr>
      </w:pPr>
      <w:r w:rsidRPr="007E3D67">
        <w:t>Selektivní</w:t>
      </w:r>
    </w:p>
    <w:p w:rsidR="007F4F31" w:rsidRPr="007E3D67" w:rsidRDefault="007F4F31" w:rsidP="008F3DE7"/>
    <w:p w:rsidR="00103CA9" w:rsidRPr="007E3D67" w:rsidRDefault="00C92040" w:rsidP="008F3DE7">
      <w:r w:rsidRPr="007E3D67">
        <w:t xml:space="preserve">Základním kritériem pro členění je však skutečnost, jak daný nástroj působí na vývoj vztahů mezi účastníky trhu a na ekonomiku. </w:t>
      </w:r>
    </w:p>
    <w:p w:rsidR="00C92040" w:rsidRPr="007E3D67" w:rsidRDefault="00C92040" w:rsidP="008F3DE7">
      <w:pPr>
        <w:rPr>
          <w:b/>
        </w:rPr>
      </w:pPr>
    </w:p>
    <w:p w:rsidR="00C92040" w:rsidRPr="007E3D67" w:rsidRDefault="00C92040" w:rsidP="008F3DE7">
      <w:r w:rsidRPr="007E3D67">
        <w:t>Podle toho rozlišujeme nástroje:</w:t>
      </w:r>
    </w:p>
    <w:p w:rsidR="00AC3EE3" w:rsidRPr="007E3D67" w:rsidRDefault="00C67378" w:rsidP="00E311BA">
      <w:pPr>
        <w:numPr>
          <w:ilvl w:val="0"/>
          <w:numId w:val="8"/>
        </w:numPr>
      </w:pPr>
      <w:r w:rsidRPr="007E3D67">
        <w:t>Systémové (kvalitativní)</w:t>
      </w:r>
    </w:p>
    <w:p w:rsidR="00AC3EE3" w:rsidRPr="007E3D67" w:rsidRDefault="00C67378" w:rsidP="00E311BA">
      <w:pPr>
        <w:numPr>
          <w:ilvl w:val="0"/>
          <w:numId w:val="8"/>
        </w:numPr>
      </w:pPr>
      <w:r w:rsidRPr="007E3D67">
        <w:t>Nástroje běžné hospodářské politiky (kvantitativní)</w:t>
      </w:r>
    </w:p>
    <w:p w:rsidR="0002485D" w:rsidRPr="007E3D67" w:rsidRDefault="0002485D" w:rsidP="008F3DE7">
      <w:pPr>
        <w:rPr>
          <w:b/>
        </w:rPr>
      </w:pPr>
    </w:p>
    <w:p w:rsidR="00D9438A" w:rsidRPr="007E3D67" w:rsidRDefault="00E825C9" w:rsidP="008F3DE7">
      <w:pPr>
        <w:rPr>
          <w:b/>
        </w:rPr>
      </w:pPr>
      <w:r w:rsidRPr="007E3D67">
        <w:rPr>
          <w:b/>
        </w:rPr>
        <w:t>Nástroje systémové (kvalitativní)</w:t>
      </w:r>
    </w:p>
    <w:p w:rsidR="00E825C9" w:rsidRPr="007E3D67" w:rsidRDefault="00E825C9" w:rsidP="008F3DE7">
      <w:pPr>
        <w:rPr>
          <w:b/>
        </w:rPr>
      </w:pPr>
    </w:p>
    <w:p w:rsidR="00E825C9" w:rsidRPr="007E3D67" w:rsidRDefault="00BE2419" w:rsidP="008F3DE7">
      <w:r w:rsidRPr="007E3D67">
        <w:lastRenderedPageBreak/>
        <w:t>Těmito nástroji rozumíme pravidla chování pro nositele rozhodování (ekonomické subjekty, kter</w:t>
      </w:r>
      <w:r w:rsidR="00E052EE" w:rsidRPr="007E3D67">
        <w:t>é</w:t>
      </w:r>
      <w:r w:rsidRPr="007E3D67">
        <w:t xml:space="preserve"> mění systémové prvky</w:t>
      </w:r>
      <w:r w:rsidR="00E052EE" w:rsidRPr="007E3D67">
        <w:t>)</w:t>
      </w:r>
      <w:r w:rsidRPr="007E3D67">
        <w:t>. Jedná se např. o změnu cenového systému z pevně sta</w:t>
      </w:r>
      <w:r w:rsidR="00E052EE" w:rsidRPr="007E3D67">
        <w:t xml:space="preserve">novených na tržně tvořené ceny, </w:t>
      </w:r>
      <w:r w:rsidRPr="007E3D67">
        <w:t>liberalizaci zahraničně-obchodních vztahů z původně centrálně řízeného obchodu</w:t>
      </w:r>
      <w:r w:rsidR="009D7CAE" w:rsidRPr="007E3D67">
        <w:t xml:space="preserve"> apod. </w:t>
      </w:r>
    </w:p>
    <w:p w:rsidR="009D7CAE" w:rsidRPr="007E3D67" w:rsidRDefault="009D7CAE" w:rsidP="008F3DE7"/>
    <w:p w:rsidR="007A64D8" w:rsidRPr="007E3D67" w:rsidRDefault="00410389" w:rsidP="008F3DE7">
      <w:pPr>
        <w:rPr>
          <w:b/>
        </w:rPr>
      </w:pPr>
      <w:r w:rsidRPr="007E3D67">
        <w:rPr>
          <w:b/>
        </w:rPr>
        <w:t>Nástroje běžné hospodářské politiky (kvantitativní)</w:t>
      </w:r>
    </w:p>
    <w:p w:rsidR="00420431" w:rsidRPr="007E3D67" w:rsidRDefault="00420431" w:rsidP="008F3DE7">
      <w:pPr>
        <w:rPr>
          <w:b/>
        </w:rPr>
      </w:pPr>
    </w:p>
    <w:p w:rsidR="00420431" w:rsidRPr="007E3D67" w:rsidRDefault="00CF6DDE" w:rsidP="008F3DE7">
      <w:r w:rsidRPr="007E3D67">
        <w:t>Tyto nástroje nemění organizaci ekonomického systému (způsob organizace ekonomických aktivit), mění pouze kvantitativně data, ze kterých v</w:t>
      </w:r>
      <w:r w:rsidR="00EA0BB2" w:rsidRPr="007E3D67">
        <w:t>y</w:t>
      </w:r>
      <w:r w:rsidRPr="007E3D67">
        <w:t>cházejí ekonomické subjekty při svém rozhodování (např. změna úrokové sazby, změna daňového zatížení aj.)</w:t>
      </w:r>
    </w:p>
    <w:p w:rsidR="008F5A06" w:rsidRPr="007E3D67" w:rsidRDefault="008F5A06" w:rsidP="008F3DE7"/>
    <w:p w:rsidR="00C82F72" w:rsidRPr="007E3D67" w:rsidRDefault="002C3970" w:rsidP="008F3DE7">
      <w:r w:rsidRPr="007E3D67">
        <w:t>U nástrojů</w:t>
      </w:r>
      <w:r w:rsidR="008F5A06" w:rsidRPr="007E3D67">
        <w:t xml:space="preserve"> běžné hospodářské politiky,</w:t>
      </w:r>
      <w:r w:rsidRPr="007E3D67">
        <w:t xml:space="preserve"> lze poměrně přesně </w:t>
      </w:r>
      <w:r w:rsidR="00BB552E" w:rsidRPr="007E3D67">
        <w:t xml:space="preserve">predikovat důsledky prováděných změn a na základě toho sestavit krátkodobý </w:t>
      </w:r>
      <w:r w:rsidR="00BB552E" w:rsidRPr="007E3D67">
        <w:rPr>
          <w:i/>
        </w:rPr>
        <w:t>forecast</w:t>
      </w:r>
      <w:r w:rsidR="00BB552E" w:rsidRPr="007E3D67">
        <w:t xml:space="preserve"> hospodářsko-politického vývoje. </w:t>
      </w:r>
      <w:r w:rsidR="00C82F72" w:rsidRPr="007E3D67">
        <w:t>Oproti tomu u systémových nástrojů je predikce jejich dopadů na ekonomiku v podstatě nemožná, zásahy do koordinace hospodářského systému jsou natolik komplikované, že jejich důsledky lze jen velmi obtížně určovat.</w:t>
      </w:r>
    </w:p>
    <w:p w:rsidR="00C82F72" w:rsidRPr="007E3D67" w:rsidRDefault="00C82F72" w:rsidP="008F3DE7"/>
    <w:p w:rsidR="00C82F72" w:rsidRPr="007E3D67" w:rsidRDefault="004C4E4A" w:rsidP="008F3DE7">
      <w:pPr>
        <w:pStyle w:val="Nadpis3"/>
        <w:rPr>
          <w:rFonts w:cs="Times New Roman"/>
        </w:rPr>
      </w:pPr>
      <w:bookmarkStart w:id="35" w:name="_Toc278920720"/>
      <w:bookmarkStart w:id="36" w:name="_Toc279696208"/>
      <w:r w:rsidRPr="007E3D67">
        <w:rPr>
          <w:rFonts w:cs="Times New Roman"/>
        </w:rPr>
        <w:t>Konformita nástrojů a cílů</w:t>
      </w:r>
      <w:bookmarkEnd w:id="35"/>
      <w:bookmarkEnd w:id="36"/>
    </w:p>
    <w:p w:rsidR="004C4E4A" w:rsidRPr="007E3D67" w:rsidRDefault="004C4E4A" w:rsidP="008F3DE7">
      <w:r w:rsidRPr="007E3D67">
        <w:t xml:space="preserve">Racionální hospodářská politika se neptá, jaké účinky má jeden konkrétní nástroj na jeden z cílů, ale ptá se nato, jaká kombinace nástrojů zajistí realizaci celého souboru, zejména tradičních, vytyčených cílů. Pouze na základě dostatečných znalostí o účincích nástrojů můžeme fundovaně odpovědět, které nástroje a v jaké formě je třeba spojit, aby bylo těchto výsledků dosaženo. </w:t>
      </w:r>
    </w:p>
    <w:p w:rsidR="00DA3749" w:rsidRPr="007E3D67" w:rsidRDefault="00DA3749" w:rsidP="008F3DE7"/>
    <w:p w:rsidR="00512B7A" w:rsidRPr="007E3D67" w:rsidRDefault="00512B7A" w:rsidP="008F3DE7">
      <w:r w:rsidRPr="007E3D67">
        <w:t xml:space="preserve">Při výběru nástrojů by měl být dodržen požadavek jejich systémové konformity. To znamená použít v každém systému jen takové nástroje, které jsou s tímto systémem v souladu, které tomuto systému odpovídají a v žádném případě ho nenarušují. Kupř. v tržním systému by neměl být používán systém centrálně řízených cen, a naopak </w:t>
      </w:r>
      <w:r w:rsidR="00F44CBB" w:rsidRPr="007E3D67">
        <w:t xml:space="preserve">v </w:t>
      </w:r>
      <w:r w:rsidRPr="007E3D67">
        <w:t>centrálně řízen</w:t>
      </w:r>
      <w:r w:rsidR="00F44CBB" w:rsidRPr="007E3D67">
        <w:t>é</w:t>
      </w:r>
      <w:r w:rsidRPr="007E3D67">
        <w:t xml:space="preserve"> ekonomi</w:t>
      </w:r>
      <w:r w:rsidR="00F44CBB" w:rsidRPr="007E3D67">
        <w:t>ce</w:t>
      </w:r>
      <w:r w:rsidRPr="007E3D67">
        <w:t xml:space="preserve"> by neměl</w:t>
      </w:r>
      <w:r w:rsidR="00F44CBB" w:rsidRPr="007E3D67">
        <w:t xml:space="preserve"> být</w:t>
      </w:r>
      <w:r w:rsidRPr="007E3D67">
        <w:t xml:space="preserve"> </w:t>
      </w:r>
      <w:r w:rsidR="00F44CBB" w:rsidRPr="007E3D67">
        <w:t>zaveden systém volné tvorby cen.</w:t>
      </w:r>
      <w:r w:rsidR="00B530FF" w:rsidRPr="007E3D67">
        <w:t xml:space="preserve"> Tento požadavek je znám jako Euckenovo pravidlo, které požaduje co největší stálost hospodářské politiky. </w:t>
      </w:r>
    </w:p>
    <w:p w:rsidR="00B31433" w:rsidRPr="007E3D67" w:rsidRDefault="00B31433" w:rsidP="008F3DE7"/>
    <w:p w:rsidR="009239B5" w:rsidRPr="007E3D67" w:rsidRDefault="009239B5" w:rsidP="008F3DE7">
      <w:r w:rsidRPr="007E3D67">
        <w:t>Podle toho, jaká opatření (a v jejich rámci i nástroje) jsou uplatněna, rozlišujeme:</w:t>
      </w:r>
    </w:p>
    <w:p w:rsidR="007F4F31" w:rsidRPr="007E3D67" w:rsidRDefault="009239B5" w:rsidP="00E311BA">
      <w:pPr>
        <w:pStyle w:val="Odstavecseseznamem"/>
        <w:numPr>
          <w:ilvl w:val="0"/>
          <w:numId w:val="9"/>
        </w:numPr>
        <w:spacing w:line="360" w:lineRule="auto"/>
        <w:rPr>
          <w:rFonts w:ascii="Times New Roman" w:hAnsi="Times New Roman" w:cs="Times New Roman"/>
        </w:rPr>
      </w:pPr>
      <w:r w:rsidRPr="007E3D67">
        <w:rPr>
          <w:rFonts w:ascii="Times New Roman" w:hAnsi="Times New Roman" w:cs="Times New Roman"/>
        </w:rPr>
        <w:t>Systémově nutná opatření, která ustanovují specifické koordinační postupy v převážně tržním systému hospodářství (rozdělení kompetencí, právní ustanovení atd.).</w:t>
      </w:r>
    </w:p>
    <w:p w:rsidR="009239B5" w:rsidRPr="007E3D67" w:rsidRDefault="009239B5" w:rsidP="00E311BA">
      <w:pPr>
        <w:pStyle w:val="Odstavecseseznamem"/>
        <w:numPr>
          <w:ilvl w:val="0"/>
          <w:numId w:val="9"/>
        </w:numPr>
        <w:spacing w:line="360" w:lineRule="auto"/>
        <w:rPr>
          <w:rFonts w:ascii="Times New Roman" w:hAnsi="Times New Roman" w:cs="Times New Roman"/>
        </w:rPr>
      </w:pPr>
      <w:r w:rsidRPr="007E3D67">
        <w:rPr>
          <w:rFonts w:ascii="Times New Roman" w:hAnsi="Times New Roman" w:cs="Times New Roman"/>
        </w:rPr>
        <w:t xml:space="preserve">Systém podporující opatření, která zmenšují funkční </w:t>
      </w:r>
      <w:r w:rsidR="00834969" w:rsidRPr="007E3D67">
        <w:rPr>
          <w:rFonts w:ascii="Times New Roman" w:hAnsi="Times New Roman" w:cs="Times New Roman"/>
        </w:rPr>
        <w:t>nesladěnost systému</w:t>
      </w:r>
      <w:r w:rsidRPr="007E3D67">
        <w:rPr>
          <w:rFonts w:ascii="Times New Roman" w:hAnsi="Times New Roman" w:cs="Times New Roman"/>
        </w:rPr>
        <w:t xml:space="preserve"> (</w:t>
      </w:r>
      <w:r w:rsidR="00834969" w:rsidRPr="007E3D67">
        <w:rPr>
          <w:rFonts w:ascii="Times New Roman" w:hAnsi="Times New Roman" w:cs="Times New Roman"/>
        </w:rPr>
        <w:t>preferenční opatření z oblasti alokačních,</w:t>
      </w:r>
      <w:r w:rsidR="00C216F9" w:rsidRPr="007E3D67">
        <w:rPr>
          <w:rFonts w:ascii="Times New Roman" w:hAnsi="Times New Roman" w:cs="Times New Roman"/>
        </w:rPr>
        <w:t xml:space="preserve"> stabilizačních, aj. problémů).</w:t>
      </w:r>
    </w:p>
    <w:p w:rsidR="00AA580D" w:rsidRPr="007E3D67" w:rsidRDefault="00AA580D" w:rsidP="00E311BA">
      <w:pPr>
        <w:pStyle w:val="Odstavecseseznamem"/>
        <w:numPr>
          <w:ilvl w:val="0"/>
          <w:numId w:val="9"/>
        </w:numPr>
        <w:spacing w:line="360" w:lineRule="auto"/>
        <w:rPr>
          <w:rFonts w:ascii="Times New Roman" w:hAnsi="Times New Roman" w:cs="Times New Roman"/>
        </w:rPr>
      </w:pPr>
      <w:r w:rsidRPr="007E3D67">
        <w:rPr>
          <w:rFonts w:ascii="Times New Roman" w:hAnsi="Times New Roman" w:cs="Times New Roman"/>
        </w:rPr>
        <w:t xml:space="preserve">Systému odpovídající opatření, které působí souběžně </w:t>
      </w:r>
      <w:r w:rsidR="001F7023" w:rsidRPr="007E3D67">
        <w:rPr>
          <w:rFonts w:ascii="Times New Roman" w:hAnsi="Times New Roman" w:cs="Times New Roman"/>
        </w:rPr>
        <w:t>se systémem.</w:t>
      </w:r>
    </w:p>
    <w:p w:rsidR="001F7023" w:rsidRPr="007E3D67" w:rsidRDefault="001F7023" w:rsidP="00E311BA">
      <w:pPr>
        <w:pStyle w:val="Odstavecseseznamem"/>
        <w:numPr>
          <w:ilvl w:val="0"/>
          <w:numId w:val="9"/>
        </w:numPr>
        <w:spacing w:line="360" w:lineRule="auto"/>
        <w:rPr>
          <w:rFonts w:ascii="Times New Roman" w:hAnsi="Times New Roman" w:cs="Times New Roman"/>
        </w:rPr>
      </w:pPr>
      <w:r w:rsidRPr="007E3D67">
        <w:rPr>
          <w:rFonts w:ascii="Times New Roman" w:hAnsi="Times New Roman" w:cs="Times New Roman"/>
        </w:rPr>
        <w:t>Systém zhoršující opatření, která snižují funkčnost daného systému (v tržním systému kupř. zákonná omezení trhu, zákonná omezení práv zákazníků, různá subvenční a intervenční opatření v zemědělství).</w:t>
      </w:r>
    </w:p>
    <w:p w:rsidR="009F107D" w:rsidRPr="007E3D67" w:rsidRDefault="009F107D" w:rsidP="00E311BA">
      <w:pPr>
        <w:pStyle w:val="Odstavecseseznamem"/>
        <w:numPr>
          <w:ilvl w:val="0"/>
          <w:numId w:val="9"/>
        </w:numPr>
        <w:spacing w:line="360" w:lineRule="auto"/>
        <w:rPr>
          <w:rFonts w:ascii="Times New Roman" w:hAnsi="Times New Roman" w:cs="Times New Roman"/>
        </w:rPr>
      </w:pPr>
      <w:r w:rsidRPr="007E3D67">
        <w:rPr>
          <w:rFonts w:ascii="Times New Roman" w:hAnsi="Times New Roman" w:cs="Times New Roman"/>
        </w:rPr>
        <w:t>Opatření systém narušující (v tržním systému kupř. kontrola a regulace cen a mezd, kontrola mezinárodního toku kapitálu apod.)</w:t>
      </w:r>
      <w:r w:rsidR="000472CB" w:rsidRPr="007E3D67">
        <w:rPr>
          <w:rFonts w:ascii="Times New Roman" w:hAnsi="Times New Roman" w:cs="Times New Roman"/>
        </w:rPr>
        <w:t>.</w:t>
      </w:r>
    </w:p>
    <w:p w:rsidR="000A7A05" w:rsidRPr="007E3D67" w:rsidRDefault="005D7858" w:rsidP="008F3DE7">
      <w:r w:rsidRPr="007E3D67">
        <w:t>(S</w:t>
      </w:r>
      <w:r w:rsidR="00DA3749" w:rsidRPr="007E3D67">
        <w:t>LANÝ</w:t>
      </w:r>
      <w:r w:rsidRPr="007E3D67">
        <w:t xml:space="preserve"> et al 1999</w:t>
      </w:r>
      <w:r w:rsidR="00DA3749" w:rsidRPr="007E3D67">
        <w:t>:</w:t>
      </w:r>
      <w:r w:rsidRPr="007E3D67">
        <w:t>16-18)</w:t>
      </w:r>
    </w:p>
    <w:p w:rsidR="0002485D" w:rsidRPr="007E3D67" w:rsidRDefault="0002485D" w:rsidP="008F3DE7"/>
    <w:p w:rsidR="005D7858" w:rsidRPr="007E3D67" w:rsidRDefault="005A0625" w:rsidP="005A0625">
      <w:pPr>
        <w:pStyle w:val="Nadpis3"/>
      </w:pPr>
      <w:bookmarkStart w:id="37" w:name="_Toc278920721"/>
      <w:bookmarkStart w:id="38" w:name="_Toc279696209"/>
      <w:r w:rsidRPr="007E3D67">
        <w:t xml:space="preserve">Fáze obecného modelu řízení </w:t>
      </w:r>
      <w:r w:rsidR="00E739FC" w:rsidRPr="007E3D67">
        <w:t>hospodářské politiky a časová zpoždění</w:t>
      </w:r>
      <w:bookmarkEnd w:id="37"/>
      <w:bookmarkEnd w:id="38"/>
    </w:p>
    <w:p w:rsidR="00E739FC" w:rsidRPr="007E3D67" w:rsidRDefault="00E739FC" w:rsidP="00E739FC">
      <w:r w:rsidRPr="007E3D67">
        <w:t>V hospodářské politice má obecný model řízení následující základní fáze:</w:t>
      </w:r>
    </w:p>
    <w:p w:rsidR="00E739FC" w:rsidRPr="007E3D67" w:rsidRDefault="00E739FC" w:rsidP="00E739FC">
      <w:pPr>
        <w:pStyle w:val="Odstavecseseznamem"/>
        <w:numPr>
          <w:ilvl w:val="0"/>
          <w:numId w:val="39"/>
        </w:numPr>
        <w:spacing w:line="360" w:lineRule="auto"/>
        <w:rPr>
          <w:rFonts w:ascii="Times New Roman" w:hAnsi="Times New Roman" w:cs="Times New Roman"/>
          <w:szCs w:val="24"/>
        </w:rPr>
      </w:pPr>
      <w:r w:rsidRPr="007E3D67">
        <w:rPr>
          <w:rFonts w:ascii="Times New Roman" w:hAnsi="Times New Roman" w:cs="Times New Roman"/>
          <w:szCs w:val="24"/>
        </w:rPr>
        <w:t>Makroekonomická analýza a diagnóza.</w:t>
      </w:r>
    </w:p>
    <w:p w:rsidR="00E739FC" w:rsidRPr="007E3D67" w:rsidRDefault="00A96891" w:rsidP="00E739FC">
      <w:pPr>
        <w:pStyle w:val="Odstavecseseznamem"/>
        <w:numPr>
          <w:ilvl w:val="0"/>
          <w:numId w:val="39"/>
        </w:numPr>
        <w:spacing w:line="360" w:lineRule="auto"/>
        <w:rPr>
          <w:rFonts w:ascii="Times New Roman" w:hAnsi="Times New Roman" w:cs="Times New Roman"/>
          <w:szCs w:val="24"/>
        </w:rPr>
      </w:pPr>
      <w:r w:rsidRPr="007E3D67">
        <w:rPr>
          <w:rFonts w:ascii="Times New Roman" w:hAnsi="Times New Roman" w:cs="Times New Roman"/>
          <w:szCs w:val="24"/>
        </w:rPr>
        <w:t>P</w:t>
      </w:r>
      <w:r w:rsidR="00E739FC" w:rsidRPr="007E3D67">
        <w:rPr>
          <w:rFonts w:ascii="Times New Roman" w:hAnsi="Times New Roman" w:cs="Times New Roman"/>
          <w:szCs w:val="24"/>
        </w:rPr>
        <w:t>rognóza a tvorba programu.</w:t>
      </w:r>
    </w:p>
    <w:p w:rsidR="00E739FC" w:rsidRPr="007E3D67" w:rsidRDefault="00E739FC" w:rsidP="00E739FC">
      <w:pPr>
        <w:pStyle w:val="Odstavecseseznamem"/>
        <w:numPr>
          <w:ilvl w:val="0"/>
          <w:numId w:val="39"/>
        </w:numPr>
        <w:spacing w:line="360" w:lineRule="auto"/>
        <w:rPr>
          <w:rFonts w:ascii="Times New Roman" w:hAnsi="Times New Roman" w:cs="Times New Roman"/>
          <w:szCs w:val="24"/>
        </w:rPr>
      </w:pPr>
      <w:r w:rsidRPr="007E3D67">
        <w:rPr>
          <w:rFonts w:ascii="Times New Roman" w:hAnsi="Times New Roman" w:cs="Times New Roman"/>
          <w:szCs w:val="24"/>
        </w:rPr>
        <w:t>Zavedení.</w:t>
      </w:r>
    </w:p>
    <w:p w:rsidR="00E739FC" w:rsidRPr="007E3D67" w:rsidRDefault="00E739FC" w:rsidP="00E739FC">
      <w:pPr>
        <w:pStyle w:val="Odstavecseseznamem"/>
        <w:numPr>
          <w:ilvl w:val="0"/>
          <w:numId w:val="39"/>
        </w:numPr>
        <w:spacing w:line="360" w:lineRule="auto"/>
        <w:rPr>
          <w:rFonts w:ascii="Times New Roman" w:hAnsi="Times New Roman" w:cs="Times New Roman"/>
          <w:szCs w:val="24"/>
        </w:rPr>
      </w:pPr>
      <w:r w:rsidRPr="007E3D67">
        <w:rPr>
          <w:rFonts w:ascii="Times New Roman" w:hAnsi="Times New Roman" w:cs="Times New Roman"/>
          <w:szCs w:val="24"/>
        </w:rPr>
        <w:t>Působení.</w:t>
      </w:r>
    </w:p>
    <w:p w:rsidR="00E739FC" w:rsidRPr="007E3D67" w:rsidRDefault="00E739FC" w:rsidP="00E739FC">
      <w:pPr>
        <w:pStyle w:val="Odstavecseseznamem"/>
        <w:numPr>
          <w:ilvl w:val="0"/>
          <w:numId w:val="39"/>
        </w:numPr>
        <w:spacing w:line="360" w:lineRule="auto"/>
        <w:rPr>
          <w:rFonts w:ascii="Times New Roman" w:hAnsi="Times New Roman" w:cs="Times New Roman"/>
          <w:szCs w:val="24"/>
        </w:rPr>
      </w:pPr>
      <w:r w:rsidRPr="007E3D67">
        <w:rPr>
          <w:rFonts w:ascii="Times New Roman" w:hAnsi="Times New Roman" w:cs="Times New Roman"/>
          <w:szCs w:val="24"/>
        </w:rPr>
        <w:t>Kontrola (makroekonomickou analýzou).</w:t>
      </w:r>
    </w:p>
    <w:p w:rsidR="00E739FC" w:rsidRPr="007E3D67" w:rsidRDefault="00E739FC" w:rsidP="00E739FC">
      <w:r w:rsidRPr="007E3D67">
        <w:t xml:space="preserve">Celý tento proces je označován jako makroekonomické plánování a mělo by být součástí každé komplexněji cílově orientované činnosti hospodářské politiky. </w:t>
      </w:r>
    </w:p>
    <w:p w:rsidR="00E739FC" w:rsidRPr="007E3D67" w:rsidRDefault="00E739FC" w:rsidP="00E739FC"/>
    <w:p w:rsidR="00E739FC" w:rsidRPr="007E3D67" w:rsidRDefault="00E739FC" w:rsidP="00E739FC">
      <w:r w:rsidRPr="007E3D67">
        <w:t>S přípravnými fázemi souvisí problematika časového zpoždění</w:t>
      </w:r>
      <w:r w:rsidR="000508A6" w:rsidRPr="007E3D67">
        <w:t>. Následující tabulka přiřazuje jednotlivým fázím konkrétní formu zpoždění.</w:t>
      </w:r>
    </w:p>
    <w:p w:rsidR="0002485D" w:rsidRPr="007E3D67" w:rsidRDefault="0002485D" w:rsidP="00AB317A">
      <w:pPr>
        <w:pStyle w:val="CaptionIntroductionparagraph"/>
      </w:pPr>
      <w:bookmarkStart w:id="39" w:name="_Toc279307365"/>
    </w:p>
    <w:p w:rsidR="000508A6" w:rsidRPr="007E3D67" w:rsidRDefault="000508A6" w:rsidP="00AB317A">
      <w:pPr>
        <w:pStyle w:val="CaptionIntroductionparagraph"/>
      </w:pPr>
      <w:bookmarkStart w:id="40" w:name="_Toc279438692"/>
      <w:bookmarkStart w:id="41" w:name="_Toc279696241"/>
      <w:bookmarkStart w:id="42" w:name="_Toc279696330"/>
      <w:r w:rsidRPr="007E3D67">
        <w:t>Tab. 1:</w:t>
      </w:r>
      <w:r w:rsidR="00AB317A" w:rsidRPr="007E3D67">
        <w:t xml:space="preserve"> Druhy zpoždění</w:t>
      </w:r>
      <w:bookmarkEnd w:id="39"/>
      <w:bookmarkEnd w:id="40"/>
      <w:bookmarkEnd w:id="41"/>
      <w:bookmarkEnd w:id="42"/>
    </w:p>
    <w:tbl>
      <w:tblPr>
        <w:tblW w:w="7146" w:type="dxa"/>
        <w:tblInd w:w="55" w:type="dxa"/>
        <w:tblCellMar>
          <w:left w:w="70" w:type="dxa"/>
          <w:right w:w="70" w:type="dxa"/>
        </w:tblCellMar>
        <w:tblLook w:val="04A0"/>
      </w:tblPr>
      <w:tblGrid>
        <w:gridCol w:w="3313"/>
        <w:gridCol w:w="1686"/>
        <w:gridCol w:w="2147"/>
      </w:tblGrid>
      <w:tr w:rsidR="000508A6" w:rsidRPr="007E3D67" w:rsidTr="00FC2E08">
        <w:trPr>
          <w:trHeight w:val="396"/>
        </w:trPr>
        <w:tc>
          <w:tcPr>
            <w:tcW w:w="3313" w:type="dxa"/>
            <w:tcBorders>
              <w:top w:val="single" w:sz="12" w:space="0" w:color="auto"/>
              <w:left w:val="single" w:sz="12" w:space="0" w:color="auto"/>
              <w:bottom w:val="single" w:sz="4" w:space="0" w:color="auto"/>
              <w:right w:val="single" w:sz="4" w:space="0" w:color="auto"/>
            </w:tcBorders>
            <w:shd w:val="clear" w:color="000000" w:fill="8DB4E3"/>
            <w:noWrap/>
            <w:vAlign w:val="bottom"/>
            <w:hideMark/>
          </w:tcPr>
          <w:p w:rsidR="000508A6" w:rsidRPr="007E3D67" w:rsidRDefault="000508A6" w:rsidP="000508A6">
            <w:pPr>
              <w:spacing w:line="240" w:lineRule="auto"/>
              <w:jc w:val="center"/>
              <w:rPr>
                <w:b/>
                <w:bCs/>
                <w:color w:val="FFFFFF"/>
                <w:sz w:val="22"/>
                <w:szCs w:val="22"/>
                <w:lang w:eastAsia="cs-CZ"/>
              </w:rPr>
            </w:pPr>
            <w:r w:rsidRPr="007E3D67">
              <w:rPr>
                <w:b/>
                <w:bCs/>
                <w:color w:val="FFFFFF"/>
                <w:sz w:val="22"/>
                <w:szCs w:val="22"/>
                <w:lang w:eastAsia="cs-CZ"/>
              </w:rPr>
              <w:t>Fáze</w:t>
            </w:r>
          </w:p>
        </w:tc>
        <w:tc>
          <w:tcPr>
            <w:tcW w:w="3833" w:type="dxa"/>
            <w:gridSpan w:val="2"/>
            <w:tcBorders>
              <w:top w:val="single" w:sz="12" w:space="0" w:color="auto"/>
              <w:left w:val="single" w:sz="4" w:space="0" w:color="auto"/>
              <w:bottom w:val="single" w:sz="4" w:space="0" w:color="auto"/>
              <w:right w:val="single" w:sz="12" w:space="0" w:color="auto"/>
            </w:tcBorders>
            <w:shd w:val="clear" w:color="000000" w:fill="8DB4E3"/>
            <w:noWrap/>
            <w:vAlign w:val="bottom"/>
            <w:hideMark/>
          </w:tcPr>
          <w:p w:rsidR="000508A6" w:rsidRPr="007E3D67" w:rsidRDefault="000508A6" w:rsidP="000508A6">
            <w:pPr>
              <w:spacing w:line="240" w:lineRule="auto"/>
              <w:jc w:val="center"/>
              <w:rPr>
                <w:b/>
                <w:bCs/>
                <w:color w:val="FFFFFF"/>
                <w:sz w:val="22"/>
                <w:szCs w:val="22"/>
                <w:lang w:eastAsia="cs-CZ"/>
              </w:rPr>
            </w:pPr>
            <w:r w:rsidRPr="007E3D67">
              <w:rPr>
                <w:b/>
                <w:bCs/>
                <w:color w:val="FFFFFF"/>
                <w:sz w:val="22"/>
                <w:szCs w:val="22"/>
                <w:lang w:eastAsia="cs-CZ"/>
              </w:rPr>
              <w:t>Zpoždění</w:t>
            </w:r>
          </w:p>
        </w:tc>
      </w:tr>
      <w:tr w:rsidR="000508A6" w:rsidRPr="007E3D67" w:rsidTr="00FC2E08">
        <w:trPr>
          <w:trHeight w:val="417"/>
        </w:trPr>
        <w:tc>
          <w:tcPr>
            <w:tcW w:w="3313" w:type="dxa"/>
            <w:tcBorders>
              <w:top w:val="nil"/>
              <w:left w:val="single" w:sz="12" w:space="0" w:color="auto"/>
              <w:bottom w:val="single" w:sz="4" w:space="0" w:color="auto"/>
              <w:right w:val="single" w:sz="4" w:space="0" w:color="auto"/>
            </w:tcBorders>
            <w:shd w:val="clear" w:color="auto" w:fill="auto"/>
            <w:noWrap/>
            <w:vAlign w:val="bottom"/>
            <w:hideMark/>
          </w:tcPr>
          <w:p w:rsidR="000508A6" w:rsidRPr="007E3D67" w:rsidRDefault="000508A6" w:rsidP="000508A6">
            <w:pPr>
              <w:spacing w:line="240" w:lineRule="auto"/>
              <w:jc w:val="left"/>
              <w:rPr>
                <w:color w:val="000000"/>
                <w:sz w:val="22"/>
                <w:szCs w:val="22"/>
                <w:lang w:eastAsia="cs-CZ"/>
              </w:rPr>
            </w:pPr>
            <w:r w:rsidRPr="007E3D67">
              <w:rPr>
                <w:color w:val="000000"/>
                <w:sz w:val="22"/>
                <w:szCs w:val="22"/>
                <w:lang w:eastAsia="cs-CZ"/>
              </w:rPr>
              <w:lastRenderedPageBreak/>
              <w:t>Makroekonomická analýza</w:t>
            </w:r>
          </w:p>
        </w:tc>
        <w:tc>
          <w:tcPr>
            <w:tcW w:w="1686" w:type="dxa"/>
            <w:tcBorders>
              <w:top w:val="nil"/>
              <w:left w:val="nil"/>
              <w:bottom w:val="single" w:sz="4" w:space="0" w:color="auto"/>
              <w:right w:val="single" w:sz="4" w:space="0" w:color="auto"/>
            </w:tcBorders>
            <w:shd w:val="clear" w:color="auto" w:fill="auto"/>
            <w:noWrap/>
            <w:vAlign w:val="bottom"/>
            <w:hideMark/>
          </w:tcPr>
          <w:p w:rsidR="000508A6" w:rsidRPr="007E3D67" w:rsidRDefault="000508A6" w:rsidP="000508A6">
            <w:pPr>
              <w:spacing w:line="240" w:lineRule="auto"/>
              <w:jc w:val="left"/>
              <w:rPr>
                <w:color w:val="000000"/>
                <w:sz w:val="22"/>
                <w:szCs w:val="22"/>
                <w:lang w:eastAsia="cs-CZ"/>
              </w:rPr>
            </w:pPr>
            <w:r w:rsidRPr="007E3D67">
              <w:rPr>
                <w:color w:val="000000"/>
                <w:sz w:val="22"/>
                <w:szCs w:val="22"/>
                <w:lang w:eastAsia="cs-CZ"/>
              </w:rPr>
              <w:t xml:space="preserve">Poznávací </w:t>
            </w:r>
          </w:p>
        </w:tc>
        <w:tc>
          <w:tcPr>
            <w:tcW w:w="2147" w:type="dxa"/>
            <w:vMerge w:val="restart"/>
            <w:tcBorders>
              <w:top w:val="nil"/>
              <w:left w:val="single" w:sz="4" w:space="0" w:color="auto"/>
              <w:bottom w:val="single" w:sz="4" w:space="0" w:color="000000"/>
              <w:right w:val="single" w:sz="12" w:space="0" w:color="auto"/>
            </w:tcBorders>
            <w:shd w:val="clear" w:color="auto" w:fill="auto"/>
            <w:noWrap/>
            <w:vAlign w:val="center"/>
            <w:hideMark/>
          </w:tcPr>
          <w:p w:rsidR="000508A6" w:rsidRPr="007E3D67" w:rsidRDefault="000508A6" w:rsidP="000508A6">
            <w:pPr>
              <w:spacing w:line="240" w:lineRule="auto"/>
              <w:jc w:val="center"/>
              <w:rPr>
                <w:color w:val="000000"/>
                <w:sz w:val="22"/>
                <w:szCs w:val="22"/>
                <w:lang w:eastAsia="cs-CZ"/>
              </w:rPr>
            </w:pPr>
            <w:r w:rsidRPr="007E3D67">
              <w:rPr>
                <w:color w:val="000000"/>
                <w:sz w:val="22"/>
                <w:szCs w:val="22"/>
                <w:lang w:eastAsia="cs-CZ"/>
              </w:rPr>
              <w:t>Vnitřní zpoždění</w:t>
            </w:r>
          </w:p>
        </w:tc>
      </w:tr>
      <w:tr w:rsidR="000508A6" w:rsidRPr="007E3D67" w:rsidTr="00FC2E08">
        <w:trPr>
          <w:trHeight w:val="417"/>
        </w:trPr>
        <w:tc>
          <w:tcPr>
            <w:tcW w:w="3313" w:type="dxa"/>
            <w:tcBorders>
              <w:top w:val="nil"/>
              <w:left w:val="single" w:sz="12" w:space="0" w:color="auto"/>
              <w:bottom w:val="single" w:sz="4" w:space="0" w:color="auto"/>
              <w:right w:val="single" w:sz="4" w:space="0" w:color="auto"/>
            </w:tcBorders>
            <w:shd w:val="clear" w:color="auto" w:fill="auto"/>
            <w:noWrap/>
            <w:vAlign w:val="bottom"/>
            <w:hideMark/>
          </w:tcPr>
          <w:p w:rsidR="000508A6" w:rsidRPr="007E3D67" w:rsidRDefault="000508A6" w:rsidP="000508A6">
            <w:pPr>
              <w:spacing w:line="240" w:lineRule="auto"/>
              <w:jc w:val="left"/>
              <w:rPr>
                <w:color w:val="000000"/>
                <w:sz w:val="22"/>
                <w:szCs w:val="22"/>
                <w:lang w:eastAsia="cs-CZ"/>
              </w:rPr>
            </w:pPr>
            <w:r w:rsidRPr="007E3D67">
              <w:rPr>
                <w:color w:val="000000"/>
                <w:sz w:val="22"/>
                <w:szCs w:val="22"/>
                <w:lang w:eastAsia="cs-CZ"/>
              </w:rPr>
              <w:t>Prognóza a program</w:t>
            </w:r>
          </w:p>
        </w:tc>
        <w:tc>
          <w:tcPr>
            <w:tcW w:w="1686" w:type="dxa"/>
            <w:tcBorders>
              <w:top w:val="nil"/>
              <w:left w:val="nil"/>
              <w:bottom w:val="single" w:sz="4" w:space="0" w:color="auto"/>
              <w:right w:val="single" w:sz="4" w:space="0" w:color="auto"/>
            </w:tcBorders>
            <w:shd w:val="clear" w:color="auto" w:fill="auto"/>
            <w:noWrap/>
            <w:vAlign w:val="bottom"/>
            <w:hideMark/>
          </w:tcPr>
          <w:p w:rsidR="000508A6" w:rsidRPr="007E3D67" w:rsidRDefault="000508A6" w:rsidP="000508A6">
            <w:pPr>
              <w:spacing w:line="240" w:lineRule="auto"/>
              <w:jc w:val="left"/>
              <w:rPr>
                <w:color w:val="000000"/>
                <w:sz w:val="22"/>
                <w:szCs w:val="22"/>
                <w:lang w:eastAsia="cs-CZ"/>
              </w:rPr>
            </w:pPr>
            <w:r w:rsidRPr="007E3D67">
              <w:rPr>
                <w:color w:val="000000"/>
                <w:sz w:val="22"/>
                <w:szCs w:val="22"/>
                <w:lang w:eastAsia="cs-CZ"/>
              </w:rPr>
              <w:t>Rozhodovací</w:t>
            </w:r>
          </w:p>
        </w:tc>
        <w:tc>
          <w:tcPr>
            <w:tcW w:w="2147" w:type="dxa"/>
            <w:vMerge/>
            <w:tcBorders>
              <w:top w:val="nil"/>
              <w:left w:val="single" w:sz="4" w:space="0" w:color="auto"/>
              <w:bottom w:val="single" w:sz="4" w:space="0" w:color="000000"/>
              <w:right w:val="single" w:sz="12" w:space="0" w:color="auto"/>
            </w:tcBorders>
            <w:vAlign w:val="center"/>
            <w:hideMark/>
          </w:tcPr>
          <w:p w:rsidR="000508A6" w:rsidRPr="007E3D67" w:rsidRDefault="000508A6" w:rsidP="000508A6">
            <w:pPr>
              <w:spacing w:line="240" w:lineRule="auto"/>
              <w:jc w:val="left"/>
              <w:rPr>
                <w:color w:val="000000"/>
                <w:sz w:val="22"/>
                <w:szCs w:val="22"/>
                <w:lang w:eastAsia="cs-CZ"/>
              </w:rPr>
            </w:pPr>
          </w:p>
        </w:tc>
      </w:tr>
      <w:tr w:rsidR="000508A6" w:rsidRPr="007E3D67" w:rsidTr="00FC2E08">
        <w:trPr>
          <w:trHeight w:val="417"/>
        </w:trPr>
        <w:tc>
          <w:tcPr>
            <w:tcW w:w="3313" w:type="dxa"/>
            <w:tcBorders>
              <w:top w:val="nil"/>
              <w:left w:val="single" w:sz="12" w:space="0" w:color="auto"/>
              <w:bottom w:val="single" w:sz="4" w:space="0" w:color="auto"/>
              <w:right w:val="single" w:sz="4" w:space="0" w:color="auto"/>
            </w:tcBorders>
            <w:shd w:val="clear" w:color="auto" w:fill="auto"/>
            <w:noWrap/>
            <w:vAlign w:val="bottom"/>
            <w:hideMark/>
          </w:tcPr>
          <w:p w:rsidR="000508A6" w:rsidRPr="007E3D67" w:rsidRDefault="000508A6" w:rsidP="000508A6">
            <w:pPr>
              <w:spacing w:line="240" w:lineRule="auto"/>
              <w:jc w:val="left"/>
              <w:rPr>
                <w:color w:val="000000"/>
                <w:sz w:val="22"/>
                <w:szCs w:val="22"/>
                <w:lang w:eastAsia="cs-CZ"/>
              </w:rPr>
            </w:pPr>
            <w:r w:rsidRPr="007E3D67">
              <w:rPr>
                <w:color w:val="000000"/>
                <w:sz w:val="22"/>
                <w:szCs w:val="22"/>
                <w:lang w:eastAsia="cs-CZ"/>
              </w:rPr>
              <w:t>Zavedení</w:t>
            </w:r>
          </w:p>
        </w:tc>
        <w:tc>
          <w:tcPr>
            <w:tcW w:w="1686" w:type="dxa"/>
            <w:tcBorders>
              <w:top w:val="nil"/>
              <w:left w:val="nil"/>
              <w:bottom w:val="single" w:sz="4" w:space="0" w:color="auto"/>
              <w:right w:val="single" w:sz="4" w:space="0" w:color="auto"/>
            </w:tcBorders>
            <w:shd w:val="clear" w:color="auto" w:fill="auto"/>
            <w:noWrap/>
            <w:vAlign w:val="bottom"/>
            <w:hideMark/>
          </w:tcPr>
          <w:p w:rsidR="000508A6" w:rsidRPr="007E3D67" w:rsidRDefault="000508A6" w:rsidP="000508A6">
            <w:pPr>
              <w:spacing w:line="240" w:lineRule="auto"/>
              <w:jc w:val="left"/>
              <w:rPr>
                <w:color w:val="000000"/>
                <w:sz w:val="22"/>
                <w:szCs w:val="22"/>
                <w:lang w:eastAsia="cs-CZ"/>
              </w:rPr>
            </w:pPr>
            <w:r w:rsidRPr="007E3D67">
              <w:rPr>
                <w:color w:val="000000"/>
                <w:sz w:val="22"/>
                <w:szCs w:val="22"/>
                <w:lang w:eastAsia="cs-CZ"/>
              </w:rPr>
              <w:t>Realizační</w:t>
            </w:r>
          </w:p>
        </w:tc>
        <w:tc>
          <w:tcPr>
            <w:tcW w:w="2147" w:type="dxa"/>
            <w:vMerge w:val="restart"/>
            <w:tcBorders>
              <w:top w:val="nil"/>
              <w:left w:val="single" w:sz="4" w:space="0" w:color="auto"/>
              <w:bottom w:val="single" w:sz="8" w:space="0" w:color="000000"/>
              <w:right w:val="single" w:sz="12" w:space="0" w:color="auto"/>
            </w:tcBorders>
            <w:shd w:val="clear" w:color="auto" w:fill="auto"/>
            <w:noWrap/>
            <w:vAlign w:val="center"/>
            <w:hideMark/>
          </w:tcPr>
          <w:p w:rsidR="000508A6" w:rsidRPr="007E3D67" w:rsidRDefault="000508A6" w:rsidP="000508A6">
            <w:pPr>
              <w:spacing w:line="240" w:lineRule="auto"/>
              <w:jc w:val="center"/>
              <w:rPr>
                <w:color w:val="000000"/>
                <w:sz w:val="22"/>
                <w:szCs w:val="22"/>
                <w:lang w:eastAsia="cs-CZ"/>
              </w:rPr>
            </w:pPr>
            <w:r w:rsidRPr="007E3D67">
              <w:rPr>
                <w:color w:val="000000"/>
                <w:sz w:val="22"/>
                <w:szCs w:val="22"/>
                <w:lang w:eastAsia="cs-CZ"/>
              </w:rPr>
              <w:t>Vnější zpoždění</w:t>
            </w:r>
          </w:p>
        </w:tc>
      </w:tr>
      <w:tr w:rsidR="000508A6" w:rsidRPr="007E3D67" w:rsidTr="00FC2E08">
        <w:trPr>
          <w:trHeight w:val="438"/>
        </w:trPr>
        <w:tc>
          <w:tcPr>
            <w:tcW w:w="3313" w:type="dxa"/>
            <w:tcBorders>
              <w:top w:val="nil"/>
              <w:left w:val="single" w:sz="12" w:space="0" w:color="auto"/>
              <w:bottom w:val="single" w:sz="12" w:space="0" w:color="auto"/>
              <w:right w:val="single" w:sz="4" w:space="0" w:color="auto"/>
            </w:tcBorders>
            <w:shd w:val="clear" w:color="auto" w:fill="auto"/>
            <w:noWrap/>
            <w:vAlign w:val="bottom"/>
            <w:hideMark/>
          </w:tcPr>
          <w:p w:rsidR="000508A6" w:rsidRPr="007E3D67" w:rsidRDefault="000508A6" w:rsidP="000508A6">
            <w:pPr>
              <w:spacing w:line="240" w:lineRule="auto"/>
              <w:jc w:val="left"/>
              <w:rPr>
                <w:color w:val="000000"/>
                <w:sz w:val="22"/>
                <w:szCs w:val="22"/>
                <w:lang w:eastAsia="cs-CZ"/>
              </w:rPr>
            </w:pPr>
            <w:r w:rsidRPr="007E3D67">
              <w:rPr>
                <w:color w:val="000000"/>
                <w:sz w:val="22"/>
                <w:szCs w:val="22"/>
                <w:lang w:eastAsia="cs-CZ"/>
              </w:rPr>
              <w:t>Působení</w:t>
            </w:r>
          </w:p>
        </w:tc>
        <w:tc>
          <w:tcPr>
            <w:tcW w:w="1686" w:type="dxa"/>
            <w:tcBorders>
              <w:top w:val="nil"/>
              <w:left w:val="nil"/>
              <w:bottom w:val="single" w:sz="12" w:space="0" w:color="auto"/>
              <w:right w:val="single" w:sz="4" w:space="0" w:color="auto"/>
            </w:tcBorders>
            <w:shd w:val="clear" w:color="auto" w:fill="auto"/>
            <w:noWrap/>
            <w:vAlign w:val="bottom"/>
            <w:hideMark/>
          </w:tcPr>
          <w:p w:rsidR="000508A6" w:rsidRPr="007E3D67" w:rsidRDefault="000508A6" w:rsidP="000508A6">
            <w:pPr>
              <w:spacing w:line="240" w:lineRule="auto"/>
              <w:jc w:val="left"/>
              <w:rPr>
                <w:color w:val="000000"/>
                <w:sz w:val="22"/>
                <w:szCs w:val="22"/>
                <w:lang w:eastAsia="cs-CZ"/>
              </w:rPr>
            </w:pPr>
            <w:r w:rsidRPr="007E3D67">
              <w:rPr>
                <w:color w:val="000000"/>
                <w:sz w:val="22"/>
                <w:szCs w:val="22"/>
                <w:lang w:eastAsia="cs-CZ"/>
              </w:rPr>
              <w:t>Účinnostní</w:t>
            </w:r>
          </w:p>
        </w:tc>
        <w:tc>
          <w:tcPr>
            <w:tcW w:w="2147" w:type="dxa"/>
            <w:vMerge/>
            <w:tcBorders>
              <w:top w:val="nil"/>
              <w:left w:val="single" w:sz="4" w:space="0" w:color="auto"/>
              <w:bottom w:val="single" w:sz="12" w:space="0" w:color="auto"/>
              <w:right w:val="single" w:sz="12" w:space="0" w:color="auto"/>
            </w:tcBorders>
            <w:vAlign w:val="center"/>
            <w:hideMark/>
          </w:tcPr>
          <w:p w:rsidR="000508A6" w:rsidRPr="007E3D67" w:rsidRDefault="000508A6" w:rsidP="000508A6">
            <w:pPr>
              <w:spacing w:line="240" w:lineRule="auto"/>
              <w:jc w:val="left"/>
              <w:rPr>
                <w:color w:val="000000"/>
                <w:sz w:val="22"/>
                <w:szCs w:val="22"/>
                <w:lang w:eastAsia="cs-CZ"/>
              </w:rPr>
            </w:pPr>
          </w:p>
        </w:tc>
      </w:tr>
    </w:tbl>
    <w:p w:rsidR="000508A6" w:rsidRPr="007E3D67" w:rsidRDefault="00FC2E08" w:rsidP="00E739FC">
      <w:r w:rsidRPr="007E3D67">
        <w:rPr>
          <w:i/>
          <w:sz w:val="20"/>
          <w:lang w:eastAsia="cs-CZ"/>
        </w:rPr>
        <w:t>Tabulka: vlastní konstrukce</w:t>
      </w:r>
    </w:p>
    <w:p w:rsidR="00E739FC" w:rsidRPr="007E3D67" w:rsidRDefault="00E739FC" w:rsidP="00E739FC"/>
    <w:p w:rsidR="00FC2E08" w:rsidRPr="007E3D67" w:rsidRDefault="00FC2E08" w:rsidP="00E739FC">
      <w:r w:rsidRPr="007E3D67">
        <w:t>P</w:t>
      </w:r>
      <w:r w:rsidR="00203C87" w:rsidRPr="007E3D67">
        <w:t>oznávací zpoždění vyjadřuje časovou prodlevu mezi od vzniku potřeby zásahu a momentem, kdy si to tvůrci hospodářské politiky uvědomili. K rozhodovacímu zpoždění dochází při tvorbě programu opatření jako reálnému výsledku práce vlády, má následující dvě fáze. První fáze zahrnuje časovou jednotku potřebnou k výběru patřičného kroku (</w:t>
      </w:r>
      <w:r w:rsidR="00203C87" w:rsidRPr="007E3D67">
        <w:rPr>
          <w:i/>
        </w:rPr>
        <w:t xml:space="preserve">forecast </w:t>
      </w:r>
      <w:r w:rsidR="00203C87" w:rsidRPr="007E3D67">
        <w:t>nabízí alternativní řešení, ze kterých je nutno vybrat). Druhá fáze pokrývá čas strávený schvalovacím procesem. Při schvalovacím procesu je určující povaha projednávané změny, zda ji schvaluje pouze vláda nebo se je nutný souhlas parlamentu apod.</w:t>
      </w:r>
      <w:r w:rsidR="00962A6A" w:rsidRPr="007E3D67">
        <w:t xml:space="preserve"> Od okamžiku rozhodnutí do jeho realizace, plyne zpoždění realizační. Určitý čas trvá, než je konkrétní opatření zabezpečeno materiálně, a určitou dobu trvá, než se veškeré informace dostanou ke všem subjektům, ke kterým je směřováno.</w:t>
      </w:r>
      <w:r w:rsidR="00BA2F79" w:rsidRPr="007E3D67">
        <w:t xml:space="preserve"> Účinnostní zpoždění je vyjádřenou dobou reakce přizpůsobivosti, tedy době reakce ekonomický subjektů na nově vzniklou situaci. Některá opatření jsou ekonomickými subjekty akceptována </w:t>
      </w:r>
      <w:r w:rsidR="001E42A8" w:rsidRPr="007E3D67">
        <w:t>promptně, na jiná pohlíží jako na přechodná a přizpůsobení záměrně oddalují.</w:t>
      </w:r>
    </w:p>
    <w:p w:rsidR="00E739FC" w:rsidRPr="007E3D67" w:rsidRDefault="00E739FC" w:rsidP="00E739FC"/>
    <w:p w:rsidR="00B63658" w:rsidRPr="007E3D67" w:rsidRDefault="00B63658" w:rsidP="008F3DE7">
      <w:pPr>
        <w:pStyle w:val="Nadpis2"/>
        <w:rPr>
          <w:rFonts w:cs="Times New Roman"/>
        </w:rPr>
      </w:pPr>
      <w:bookmarkStart w:id="43" w:name="_Toc278920722"/>
      <w:bookmarkStart w:id="44" w:name="_Toc279696210"/>
      <w:r w:rsidRPr="007E3D67">
        <w:rPr>
          <w:rFonts w:cs="Times New Roman"/>
        </w:rPr>
        <w:t>Cíle hospodářské politiky</w:t>
      </w:r>
      <w:bookmarkEnd w:id="43"/>
      <w:bookmarkEnd w:id="44"/>
    </w:p>
    <w:p w:rsidR="00841948" w:rsidRPr="007E3D67" w:rsidRDefault="00841948" w:rsidP="008F3DE7">
      <w:pPr>
        <w:pStyle w:val="Nadpis3"/>
        <w:rPr>
          <w:rFonts w:cs="Times New Roman"/>
        </w:rPr>
      </w:pPr>
      <w:bookmarkStart w:id="45" w:name="_Toc278920723"/>
      <w:bookmarkStart w:id="46" w:name="_Toc279696211"/>
      <w:r w:rsidRPr="007E3D67">
        <w:rPr>
          <w:rFonts w:cs="Times New Roman"/>
        </w:rPr>
        <w:t>Hierarchie cílů hospodářské politiky</w:t>
      </w:r>
      <w:bookmarkEnd w:id="45"/>
      <w:bookmarkEnd w:id="46"/>
    </w:p>
    <w:p w:rsidR="00031D38" w:rsidRPr="007E3D67" w:rsidRDefault="00031D38" w:rsidP="008F3DE7">
      <w:r w:rsidRPr="007E3D67">
        <w:t xml:space="preserve">Cíle hospodářské politiky, jsou v demokratické zemi výsledkem konsensuální dohody mezi všemi subjekty společnosti. </w:t>
      </w:r>
      <w:r w:rsidR="00B31433" w:rsidRPr="007E3D67">
        <w:t xml:space="preserve">Obr. 2 </w:t>
      </w:r>
      <w:r w:rsidRPr="007E3D67">
        <w:t>poukazuje na to, že tyto cíle reflektují nejenom ekonomický růst země, ale i společenské hodnoty.</w:t>
      </w:r>
    </w:p>
    <w:p w:rsidR="00031D38" w:rsidRPr="007E3D67" w:rsidRDefault="00031D38" w:rsidP="008F3DE7"/>
    <w:p w:rsidR="002A123F" w:rsidRPr="007E3D67" w:rsidRDefault="000E6610" w:rsidP="008F3DE7">
      <w:r w:rsidRPr="007E3D67">
        <w:rPr>
          <w:noProof/>
          <w:lang w:eastAsia="cs-CZ"/>
        </w:rPr>
        <w:lastRenderedPageBreak/>
        <w:drawing>
          <wp:inline distT="0" distB="0" distL="0" distR="0">
            <wp:extent cx="3884229" cy="2364827"/>
            <wp:effectExtent l="57150" t="0" r="40071"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B31433" w:rsidRPr="007E3D67" w:rsidRDefault="00B31433" w:rsidP="00AB317A">
      <w:pPr>
        <w:pStyle w:val="CaptionIntroductionparagraph"/>
      </w:pPr>
      <w:bookmarkStart w:id="47" w:name="_Toc279307127"/>
      <w:bookmarkStart w:id="48" w:name="_Toc279438608"/>
      <w:bookmarkStart w:id="49" w:name="_Toc279696242"/>
      <w:bookmarkStart w:id="50" w:name="_Toc279696331"/>
      <w:r w:rsidRPr="007E3D67">
        <w:t>Obr. 2:</w:t>
      </w:r>
      <w:r w:rsidR="00A76878" w:rsidRPr="007E3D67">
        <w:t xml:space="preserve"> </w:t>
      </w:r>
      <w:r w:rsidRPr="007E3D67">
        <w:t>Hierarchie cílů hospodářské politiky</w:t>
      </w:r>
      <w:bookmarkEnd w:id="47"/>
      <w:bookmarkEnd w:id="48"/>
      <w:bookmarkEnd w:id="49"/>
      <w:bookmarkEnd w:id="50"/>
    </w:p>
    <w:p w:rsidR="00FE3A61" w:rsidRPr="007E3D67" w:rsidRDefault="00FE3A61" w:rsidP="008F3DE7">
      <w:pPr>
        <w:rPr>
          <w:i/>
          <w:sz w:val="20"/>
          <w:lang w:eastAsia="cs-CZ"/>
        </w:rPr>
      </w:pPr>
      <w:r w:rsidRPr="00FC2C3D">
        <w:rPr>
          <w:i/>
          <w:sz w:val="20"/>
          <w:lang w:eastAsia="cs-CZ"/>
        </w:rPr>
        <w:t>Zdroj: Hospodářská politika, Kliková Kotlán.</w:t>
      </w:r>
      <w:r w:rsidR="00B31433" w:rsidRPr="00FC2C3D">
        <w:rPr>
          <w:i/>
          <w:sz w:val="20"/>
          <w:lang w:eastAsia="cs-CZ"/>
        </w:rPr>
        <w:t>Obrázek</w:t>
      </w:r>
      <w:r w:rsidRPr="00FC2C3D">
        <w:rPr>
          <w:i/>
          <w:sz w:val="20"/>
          <w:lang w:eastAsia="cs-CZ"/>
        </w:rPr>
        <w:t>: Vlastní konstrukce</w:t>
      </w:r>
    </w:p>
    <w:p w:rsidR="00C63518" w:rsidRPr="007E3D67" w:rsidRDefault="00C63518" w:rsidP="008F3DE7">
      <w:pPr>
        <w:rPr>
          <w:b/>
        </w:rPr>
      </w:pPr>
    </w:p>
    <w:p w:rsidR="00FE3A61" w:rsidRPr="007E3D67" w:rsidRDefault="00FE3A61" w:rsidP="008F3DE7">
      <w:pPr>
        <w:rPr>
          <w:b/>
        </w:rPr>
      </w:pPr>
      <w:r w:rsidRPr="007E3D67">
        <w:rPr>
          <w:b/>
        </w:rPr>
        <w:t>Maximalizace společenského blahobytu</w:t>
      </w:r>
    </w:p>
    <w:p w:rsidR="005C7D60" w:rsidRPr="007E3D67" w:rsidRDefault="005C7D60" w:rsidP="008F3DE7">
      <w:pPr>
        <w:rPr>
          <w:b/>
        </w:rPr>
      </w:pPr>
    </w:p>
    <w:p w:rsidR="00911B4F" w:rsidRDefault="00033E3B" w:rsidP="008F3DE7">
      <w:r w:rsidRPr="007E3D67">
        <w:t>Základním deklarovaným vrcholn</w:t>
      </w:r>
      <w:r w:rsidR="005C7D60" w:rsidRPr="007E3D67">
        <w:t>ým cílem, ke kterému směřuje veškeré jednání ve spojitosti s hospodářsko-politickým systémem ve společnosti</w:t>
      </w:r>
      <w:r w:rsidRPr="007E3D67">
        <w:t>,</w:t>
      </w:r>
      <w:r w:rsidR="005C7D60" w:rsidRPr="007E3D67">
        <w:t xml:space="preserve"> je maximalizace společenského blahobytu. Definice tohoto pojmu říká, že se jedná o: celkovou sumu dílčích užitků jednotl</w:t>
      </w:r>
      <w:r w:rsidR="006C661E" w:rsidRPr="007E3D67">
        <w:t>ivých členů společnosti (</w:t>
      </w:r>
      <w:r w:rsidRPr="007E3D67">
        <w:t xml:space="preserve">KLIKOVÁ </w:t>
      </w:r>
      <w:r w:rsidR="006C661E" w:rsidRPr="007E3D67">
        <w:t>2003</w:t>
      </w:r>
      <w:r w:rsidRPr="007E3D67">
        <w:t>:</w:t>
      </w:r>
      <w:r w:rsidR="006C661E" w:rsidRPr="007E3D67">
        <w:t>60). Anebo „</w:t>
      </w:r>
      <w:r w:rsidR="005C7D60" w:rsidRPr="007E3D67">
        <w:t xml:space="preserve">je to taková kvalita společnosti, kterou lze zvýšit pouze tehdy, lze-li ve společnosti učinit takovou změnu, která bude výhodná pro všechny její členy nebo jen pro některé z nich, aniž by </w:t>
      </w:r>
      <w:r w:rsidR="005C7D60" w:rsidRPr="00911B4F">
        <w:t>znevýhodnila jiné</w:t>
      </w:r>
      <w:r w:rsidR="00B7473E" w:rsidRPr="00911B4F">
        <w:t xml:space="preserve">…“ </w:t>
      </w:r>
    </w:p>
    <w:p w:rsidR="005C7D60" w:rsidRPr="007E3D67" w:rsidRDefault="00B7473E" w:rsidP="008F3DE7">
      <w:r w:rsidRPr="00911B4F">
        <w:t>(P</w:t>
      </w:r>
      <w:r w:rsidR="00911B4F" w:rsidRPr="00911B4F">
        <w:t>ARETO</w:t>
      </w:r>
      <w:r w:rsidR="009F4D63">
        <w:t>VO OPTIMUM</w:t>
      </w:r>
      <w:r w:rsidRPr="00911B4F">
        <w:t xml:space="preserve">, </w:t>
      </w:r>
      <w:r w:rsidR="00911B4F" w:rsidRPr="00911B4F">
        <w:t>2010</w:t>
      </w:r>
      <w:r w:rsidRPr="00911B4F">
        <w:t>)</w:t>
      </w:r>
    </w:p>
    <w:p w:rsidR="006C661E" w:rsidRDefault="006C661E" w:rsidP="008F3DE7"/>
    <w:p w:rsidR="006C661E" w:rsidRPr="007E3D67" w:rsidRDefault="006C661E" w:rsidP="008F3DE7">
      <w:pPr>
        <w:rPr>
          <w:b/>
        </w:rPr>
      </w:pPr>
      <w:r w:rsidRPr="007E3D67">
        <w:rPr>
          <w:b/>
        </w:rPr>
        <w:t>Základní společenské cíle</w:t>
      </w:r>
    </w:p>
    <w:p w:rsidR="006C661E" w:rsidRPr="007E3D67" w:rsidRDefault="006C661E" w:rsidP="008F3DE7">
      <w:pPr>
        <w:rPr>
          <w:b/>
        </w:rPr>
      </w:pPr>
    </w:p>
    <w:p w:rsidR="006C661E" w:rsidRPr="007E3D67" w:rsidRDefault="006C661E" w:rsidP="008F3DE7">
      <w:r w:rsidRPr="007E3D67">
        <w:t>Je evidentní, že společenské cíle, potažmo hodnoty, jsou rozdílné mezi jednotlivými národy, kulturami, sociálními i věkovými skupinami. Diferencují je vlivy kultury, zvyků, tradic a historický vývoj.</w:t>
      </w:r>
    </w:p>
    <w:p w:rsidR="0066604C" w:rsidRPr="007E3D67" w:rsidRDefault="0066604C" w:rsidP="008F3DE7"/>
    <w:p w:rsidR="00CC40E6" w:rsidRPr="007E3D67" w:rsidRDefault="006C661E" w:rsidP="008F3DE7">
      <w:r w:rsidRPr="007E3D67">
        <w:t>Společenské hodnoty:</w:t>
      </w:r>
    </w:p>
    <w:p w:rsidR="006C661E" w:rsidRPr="007E3D67" w:rsidRDefault="006C661E" w:rsidP="00E311BA">
      <w:pPr>
        <w:pStyle w:val="Odstavecseseznamem"/>
        <w:numPr>
          <w:ilvl w:val="0"/>
          <w:numId w:val="10"/>
        </w:numPr>
        <w:spacing w:line="360" w:lineRule="auto"/>
        <w:rPr>
          <w:rFonts w:ascii="Times New Roman" w:hAnsi="Times New Roman" w:cs="Times New Roman"/>
        </w:rPr>
      </w:pPr>
      <w:r w:rsidRPr="007E3D67">
        <w:rPr>
          <w:rFonts w:ascii="Times New Roman" w:hAnsi="Times New Roman" w:cs="Times New Roman"/>
        </w:rPr>
        <w:t>Svoboda</w:t>
      </w:r>
    </w:p>
    <w:p w:rsidR="006C661E" w:rsidRPr="007E3D67" w:rsidRDefault="000472CB" w:rsidP="00E311BA">
      <w:pPr>
        <w:pStyle w:val="Odstavecseseznamem"/>
        <w:numPr>
          <w:ilvl w:val="0"/>
          <w:numId w:val="11"/>
        </w:numPr>
        <w:spacing w:line="360" w:lineRule="auto"/>
        <w:rPr>
          <w:rFonts w:ascii="Times New Roman" w:hAnsi="Times New Roman" w:cs="Times New Roman"/>
        </w:rPr>
      </w:pPr>
      <w:r w:rsidRPr="007E3D67">
        <w:rPr>
          <w:rFonts w:ascii="Times New Roman" w:hAnsi="Times New Roman" w:cs="Times New Roman"/>
        </w:rPr>
        <w:t>N</w:t>
      </w:r>
      <w:r w:rsidR="006C661E" w:rsidRPr="007E3D67">
        <w:rPr>
          <w:rFonts w:ascii="Times New Roman" w:hAnsi="Times New Roman" w:cs="Times New Roman"/>
        </w:rPr>
        <w:t>ikdo nemůže uskutečňova</w:t>
      </w:r>
      <w:r w:rsidRPr="007E3D67">
        <w:rPr>
          <w:rFonts w:ascii="Times New Roman" w:hAnsi="Times New Roman" w:cs="Times New Roman"/>
        </w:rPr>
        <w:t>t své zájmy bez ohledu na druhé.</w:t>
      </w:r>
    </w:p>
    <w:p w:rsidR="00F56E6F" w:rsidRPr="007E3D67" w:rsidRDefault="00F56E6F" w:rsidP="00E311BA">
      <w:pPr>
        <w:pStyle w:val="Odstavecseseznamem"/>
        <w:numPr>
          <w:ilvl w:val="0"/>
          <w:numId w:val="11"/>
        </w:numPr>
        <w:spacing w:line="360" w:lineRule="auto"/>
        <w:rPr>
          <w:rFonts w:ascii="Times New Roman" w:hAnsi="Times New Roman" w:cs="Times New Roman"/>
        </w:rPr>
      </w:pPr>
      <w:r w:rsidRPr="007E3D67">
        <w:rPr>
          <w:rFonts w:ascii="Times New Roman" w:hAnsi="Times New Roman" w:cs="Times New Roman"/>
        </w:rPr>
        <w:lastRenderedPageBreak/>
        <w:t>Nikdo nesmí mít takovou moc (osobní, vlastnickou, materiální, organizační), aby vnucoval svou vůli druhým (pouze zákon).</w:t>
      </w:r>
    </w:p>
    <w:p w:rsidR="00F56E6F" w:rsidRPr="007E3D67" w:rsidRDefault="00F56E6F" w:rsidP="008F3DE7">
      <w:pPr>
        <w:pStyle w:val="Odstavecseseznamem"/>
        <w:spacing w:line="360" w:lineRule="auto"/>
        <w:ind w:left="1485"/>
        <w:rPr>
          <w:rFonts w:ascii="Times New Roman" w:hAnsi="Times New Roman" w:cs="Times New Roman"/>
        </w:rPr>
      </w:pPr>
    </w:p>
    <w:p w:rsidR="00A56053" w:rsidRPr="007E3D67" w:rsidRDefault="00A56053" w:rsidP="00E311BA">
      <w:pPr>
        <w:pStyle w:val="Odstavecseseznamem"/>
        <w:numPr>
          <w:ilvl w:val="0"/>
          <w:numId w:val="10"/>
        </w:numPr>
        <w:spacing w:line="360" w:lineRule="auto"/>
        <w:rPr>
          <w:rFonts w:ascii="Times New Roman" w:hAnsi="Times New Roman" w:cs="Times New Roman"/>
        </w:rPr>
      </w:pPr>
      <w:r w:rsidRPr="007E3D67">
        <w:rPr>
          <w:rFonts w:ascii="Times New Roman" w:hAnsi="Times New Roman" w:cs="Times New Roman"/>
        </w:rPr>
        <w:t>Spravedlnost</w:t>
      </w:r>
    </w:p>
    <w:p w:rsidR="003A51F6" w:rsidRPr="007E3D67" w:rsidRDefault="003A51F6" w:rsidP="0066604C">
      <w:pPr>
        <w:pStyle w:val="Odstavecseseznamem"/>
        <w:numPr>
          <w:ilvl w:val="1"/>
          <w:numId w:val="10"/>
        </w:numPr>
        <w:spacing w:line="360" w:lineRule="auto"/>
        <w:rPr>
          <w:rFonts w:ascii="Times New Roman" w:hAnsi="Times New Roman" w:cs="Times New Roman"/>
        </w:rPr>
      </w:pPr>
      <w:r w:rsidRPr="007E3D67">
        <w:rPr>
          <w:rFonts w:ascii="Times New Roman" w:hAnsi="Times New Roman" w:cs="Times New Roman"/>
        </w:rPr>
        <w:t>Řeší konflikt svobody jednotlivců i skupin.</w:t>
      </w:r>
    </w:p>
    <w:p w:rsidR="003A51F6" w:rsidRPr="007E3D67" w:rsidRDefault="003A51F6" w:rsidP="00E311BA">
      <w:pPr>
        <w:pStyle w:val="Odstavecseseznamem"/>
        <w:numPr>
          <w:ilvl w:val="1"/>
          <w:numId w:val="10"/>
        </w:numPr>
        <w:spacing w:line="360" w:lineRule="auto"/>
        <w:rPr>
          <w:rFonts w:ascii="Times New Roman" w:hAnsi="Times New Roman" w:cs="Times New Roman"/>
        </w:rPr>
      </w:pPr>
      <w:r w:rsidRPr="007E3D67">
        <w:rPr>
          <w:rFonts w:ascii="Times New Roman" w:hAnsi="Times New Roman" w:cs="Times New Roman"/>
        </w:rPr>
        <w:t>Vylučuje diskriminaci (vzhledem k původu, rase, pohlaví).</w:t>
      </w:r>
    </w:p>
    <w:p w:rsidR="003A51F6" w:rsidRPr="007E3D67" w:rsidRDefault="003A51F6" w:rsidP="008F3DE7">
      <w:pPr>
        <w:pStyle w:val="Odstavecseseznamem"/>
        <w:spacing w:line="360" w:lineRule="auto"/>
        <w:ind w:left="1440"/>
        <w:rPr>
          <w:rFonts w:ascii="Times New Roman" w:hAnsi="Times New Roman" w:cs="Times New Roman"/>
        </w:rPr>
      </w:pPr>
    </w:p>
    <w:p w:rsidR="00A56053" w:rsidRPr="007E3D67" w:rsidRDefault="00A56053" w:rsidP="00E311BA">
      <w:pPr>
        <w:pStyle w:val="Odstavecseseznamem"/>
        <w:numPr>
          <w:ilvl w:val="0"/>
          <w:numId w:val="10"/>
        </w:numPr>
        <w:spacing w:line="360" w:lineRule="auto"/>
        <w:rPr>
          <w:rFonts w:ascii="Times New Roman" w:hAnsi="Times New Roman" w:cs="Times New Roman"/>
        </w:rPr>
      </w:pPr>
      <w:r w:rsidRPr="007E3D67">
        <w:rPr>
          <w:rFonts w:ascii="Times New Roman" w:hAnsi="Times New Roman" w:cs="Times New Roman"/>
        </w:rPr>
        <w:t>Jistota (má časovou dimenzi)</w:t>
      </w:r>
    </w:p>
    <w:p w:rsidR="003A51F6" w:rsidRPr="007E3D67" w:rsidRDefault="003A51F6" w:rsidP="00E311BA">
      <w:pPr>
        <w:pStyle w:val="Odstavecseseznamem"/>
        <w:numPr>
          <w:ilvl w:val="0"/>
          <w:numId w:val="12"/>
        </w:numPr>
        <w:spacing w:line="360" w:lineRule="auto"/>
        <w:rPr>
          <w:rFonts w:ascii="Times New Roman" w:hAnsi="Times New Roman" w:cs="Times New Roman"/>
        </w:rPr>
      </w:pPr>
      <w:r w:rsidRPr="007E3D67">
        <w:rPr>
          <w:rFonts w:ascii="Times New Roman" w:hAnsi="Times New Roman" w:cs="Times New Roman"/>
        </w:rPr>
        <w:t>Definována jako absence strachu o svobodu</w:t>
      </w:r>
    </w:p>
    <w:p w:rsidR="006C661E" w:rsidRPr="007E3D67" w:rsidRDefault="00EA771D" w:rsidP="00E311BA">
      <w:pPr>
        <w:pStyle w:val="Odstavecseseznamem"/>
        <w:numPr>
          <w:ilvl w:val="0"/>
          <w:numId w:val="12"/>
        </w:numPr>
        <w:spacing w:line="360" w:lineRule="auto"/>
        <w:rPr>
          <w:rFonts w:ascii="Times New Roman" w:hAnsi="Times New Roman" w:cs="Times New Roman"/>
        </w:rPr>
      </w:pPr>
      <w:r w:rsidRPr="007E3D67">
        <w:rPr>
          <w:rFonts w:ascii="Times New Roman" w:eastAsia="Times New Roman" w:hAnsi="Times New Roman" w:cs="Times New Roman"/>
        </w:rPr>
        <w:t xml:space="preserve">Může být ohrožena konflikty, nedůvěrou na trzích, tržními fluktuacemi… </w:t>
      </w:r>
    </w:p>
    <w:p w:rsidR="006C661E" w:rsidRPr="007E3D67" w:rsidRDefault="006C661E" w:rsidP="008F3DE7"/>
    <w:p w:rsidR="00A56053" w:rsidRPr="007E3D67" w:rsidRDefault="00A56053" w:rsidP="00E311BA">
      <w:pPr>
        <w:pStyle w:val="Odstavecseseznamem"/>
        <w:numPr>
          <w:ilvl w:val="0"/>
          <w:numId w:val="10"/>
        </w:numPr>
        <w:spacing w:line="360" w:lineRule="auto"/>
        <w:rPr>
          <w:rFonts w:ascii="Times New Roman" w:hAnsi="Times New Roman" w:cs="Times New Roman"/>
        </w:rPr>
      </w:pPr>
      <w:r w:rsidRPr="007E3D67">
        <w:rPr>
          <w:rFonts w:ascii="Times New Roman" w:hAnsi="Times New Roman" w:cs="Times New Roman"/>
        </w:rPr>
        <w:t>Pokrok</w:t>
      </w:r>
    </w:p>
    <w:p w:rsidR="00EA771D" w:rsidRPr="007E3D67" w:rsidRDefault="00EA771D" w:rsidP="00E311BA">
      <w:pPr>
        <w:pStyle w:val="Odstavecseseznamem"/>
        <w:numPr>
          <w:ilvl w:val="0"/>
          <w:numId w:val="13"/>
        </w:numPr>
        <w:spacing w:line="360" w:lineRule="auto"/>
        <w:rPr>
          <w:rFonts w:ascii="Times New Roman" w:hAnsi="Times New Roman" w:cs="Times New Roman"/>
        </w:rPr>
      </w:pPr>
      <w:r w:rsidRPr="007E3D67">
        <w:rPr>
          <w:rFonts w:ascii="Times New Roman" w:hAnsi="Times New Roman" w:cs="Times New Roman"/>
        </w:rPr>
        <w:t>Všeobecně, posun na vyšší kvalitativní úroveň</w:t>
      </w:r>
    </w:p>
    <w:p w:rsidR="00EA771D" w:rsidRPr="007E3D67" w:rsidRDefault="00EA771D" w:rsidP="00E311BA">
      <w:pPr>
        <w:pStyle w:val="Odstavecseseznamem"/>
        <w:numPr>
          <w:ilvl w:val="0"/>
          <w:numId w:val="13"/>
        </w:numPr>
        <w:spacing w:line="360" w:lineRule="auto"/>
        <w:rPr>
          <w:rFonts w:ascii="Times New Roman" w:hAnsi="Times New Roman" w:cs="Times New Roman"/>
        </w:rPr>
      </w:pPr>
      <w:r w:rsidRPr="007E3D67">
        <w:rPr>
          <w:rFonts w:ascii="Times New Roman" w:hAnsi="Times New Roman" w:cs="Times New Roman"/>
        </w:rPr>
        <w:t>Prostředek k dosažení vytyčených cílů, ocenění inovací.</w:t>
      </w:r>
    </w:p>
    <w:p w:rsidR="00A56053" w:rsidRPr="007E3D67" w:rsidRDefault="00A56053" w:rsidP="00E311BA">
      <w:pPr>
        <w:numPr>
          <w:ilvl w:val="0"/>
          <w:numId w:val="10"/>
        </w:numPr>
        <w:tabs>
          <w:tab w:val="num" w:pos="720"/>
        </w:tabs>
      </w:pPr>
      <w:r w:rsidRPr="007E3D67">
        <w:t>Nezávislost</w:t>
      </w:r>
    </w:p>
    <w:p w:rsidR="00A56053" w:rsidRPr="007E3D67" w:rsidRDefault="00EA771D" w:rsidP="00E311BA">
      <w:pPr>
        <w:pStyle w:val="Odstavecseseznamem"/>
        <w:numPr>
          <w:ilvl w:val="0"/>
          <w:numId w:val="14"/>
        </w:numPr>
        <w:spacing w:line="360" w:lineRule="auto"/>
        <w:rPr>
          <w:rFonts w:ascii="Times New Roman" w:hAnsi="Times New Roman" w:cs="Times New Roman"/>
        </w:rPr>
      </w:pPr>
      <w:r w:rsidRPr="007E3D67">
        <w:rPr>
          <w:rFonts w:ascii="Times New Roman" w:hAnsi="Times New Roman" w:cs="Times New Roman"/>
        </w:rPr>
        <w:t>S</w:t>
      </w:r>
      <w:r w:rsidR="00A56053" w:rsidRPr="007E3D67">
        <w:rPr>
          <w:rFonts w:ascii="Times New Roman" w:hAnsi="Times New Roman" w:cs="Times New Roman"/>
        </w:rPr>
        <w:t>uverenita a zodpovědnost za sebe sama</w:t>
      </w:r>
      <w:r w:rsidRPr="007E3D67">
        <w:rPr>
          <w:rFonts w:ascii="Times New Roman" w:hAnsi="Times New Roman" w:cs="Times New Roman"/>
        </w:rPr>
        <w:t>.</w:t>
      </w:r>
    </w:p>
    <w:p w:rsidR="00EA771D" w:rsidRPr="007E3D67" w:rsidRDefault="00EA771D" w:rsidP="00E311BA">
      <w:pPr>
        <w:pStyle w:val="Odstavecseseznamem"/>
        <w:numPr>
          <w:ilvl w:val="0"/>
          <w:numId w:val="14"/>
        </w:numPr>
        <w:spacing w:line="360" w:lineRule="auto"/>
        <w:rPr>
          <w:rFonts w:ascii="Times New Roman" w:hAnsi="Times New Roman" w:cs="Times New Roman"/>
        </w:rPr>
      </w:pPr>
      <w:r w:rsidRPr="007E3D67">
        <w:rPr>
          <w:rFonts w:ascii="Times New Roman" w:hAnsi="Times New Roman" w:cs="Times New Roman"/>
        </w:rPr>
        <w:t>Ekonomická nezávislost obsahuje požadavek ekonomické svobody a svobody rozhodování.</w:t>
      </w:r>
    </w:p>
    <w:p w:rsidR="00EA771D" w:rsidRPr="007E3D67" w:rsidRDefault="00EA771D" w:rsidP="008F3DE7">
      <w:pPr>
        <w:pStyle w:val="Odstavecseseznamem"/>
        <w:spacing w:line="360" w:lineRule="auto"/>
        <w:ind w:left="1080"/>
        <w:rPr>
          <w:rFonts w:ascii="Times New Roman" w:hAnsi="Times New Roman" w:cs="Times New Roman"/>
        </w:rPr>
      </w:pPr>
    </w:p>
    <w:p w:rsidR="00A56053" w:rsidRPr="007E3D67" w:rsidRDefault="00A56053" w:rsidP="00E311BA">
      <w:pPr>
        <w:pStyle w:val="Odstavecseseznamem"/>
        <w:numPr>
          <w:ilvl w:val="0"/>
          <w:numId w:val="10"/>
        </w:numPr>
        <w:spacing w:line="360" w:lineRule="auto"/>
        <w:rPr>
          <w:rFonts w:ascii="Times New Roman" w:hAnsi="Times New Roman" w:cs="Times New Roman"/>
        </w:rPr>
      </w:pPr>
      <w:r w:rsidRPr="007E3D67">
        <w:rPr>
          <w:rFonts w:ascii="Times New Roman" w:hAnsi="Times New Roman" w:cs="Times New Roman"/>
        </w:rPr>
        <w:t>Demokracie</w:t>
      </w:r>
    </w:p>
    <w:p w:rsidR="00EA771D" w:rsidRPr="007E3D67" w:rsidRDefault="00EA771D" w:rsidP="00E311BA">
      <w:pPr>
        <w:pStyle w:val="Odstavecseseznamem"/>
        <w:numPr>
          <w:ilvl w:val="0"/>
          <w:numId w:val="15"/>
        </w:numPr>
        <w:spacing w:line="360" w:lineRule="auto"/>
        <w:rPr>
          <w:rFonts w:ascii="Times New Roman" w:hAnsi="Times New Roman" w:cs="Times New Roman"/>
        </w:rPr>
      </w:pPr>
      <w:r w:rsidRPr="007E3D67">
        <w:rPr>
          <w:rFonts w:ascii="Times New Roman" w:hAnsi="Times New Roman" w:cs="Times New Roman"/>
        </w:rPr>
        <w:t>Východiskem pro diferenciaci nadř</w:t>
      </w:r>
      <w:r w:rsidR="00ED3971" w:rsidRPr="007E3D67">
        <w:rPr>
          <w:rFonts w:ascii="Times New Roman" w:hAnsi="Times New Roman" w:cs="Times New Roman"/>
        </w:rPr>
        <w:t>í</w:t>
      </w:r>
      <w:r w:rsidRPr="007E3D67">
        <w:rPr>
          <w:rFonts w:ascii="Times New Roman" w:hAnsi="Times New Roman" w:cs="Times New Roman"/>
        </w:rPr>
        <w:t>zenosti a podř</w:t>
      </w:r>
      <w:r w:rsidR="00ED3971" w:rsidRPr="007E3D67">
        <w:rPr>
          <w:rFonts w:ascii="Times New Roman" w:hAnsi="Times New Roman" w:cs="Times New Roman"/>
        </w:rPr>
        <w:t>í</w:t>
      </w:r>
      <w:r w:rsidRPr="007E3D67">
        <w:rPr>
          <w:rFonts w:ascii="Times New Roman" w:hAnsi="Times New Roman" w:cs="Times New Roman"/>
        </w:rPr>
        <w:t>zenosti ve společnosti</w:t>
      </w:r>
      <w:r w:rsidR="00ED3971" w:rsidRPr="007E3D67">
        <w:rPr>
          <w:rFonts w:ascii="Times New Roman" w:hAnsi="Times New Roman" w:cs="Times New Roman"/>
        </w:rPr>
        <w:t xml:space="preserve"> (dělba práce, funkční kooperace).</w:t>
      </w:r>
    </w:p>
    <w:p w:rsidR="00A56053" w:rsidRPr="007E3D67" w:rsidRDefault="00A56053" w:rsidP="00E311BA">
      <w:pPr>
        <w:numPr>
          <w:ilvl w:val="0"/>
          <w:numId w:val="10"/>
        </w:numPr>
        <w:tabs>
          <w:tab w:val="num" w:pos="720"/>
        </w:tabs>
      </w:pPr>
      <w:r w:rsidRPr="007E3D67">
        <w:t>Racionalita</w:t>
      </w:r>
    </w:p>
    <w:p w:rsidR="00ED3971" w:rsidRPr="007E3D67" w:rsidRDefault="00ED3971" w:rsidP="00E311BA">
      <w:pPr>
        <w:pStyle w:val="Odstavecseseznamem"/>
        <w:numPr>
          <w:ilvl w:val="0"/>
          <w:numId w:val="15"/>
        </w:numPr>
        <w:spacing w:line="360" w:lineRule="auto"/>
        <w:rPr>
          <w:rFonts w:ascii="Times New Roman" w:hAnsi="Times New Roman" w:cs="Times New Roman"/>
        </w:rPr>
      </w:pPr>
      <w:r w:rsidRPr="007E3D67">
        <w:rPr>
          <w:rFonts w:ascii="Times New Roman" w:hAnsi="Times New Roman" w:cs="Times New Roman"/>
        </w:rPr>
        <w:t>Princip založený na logice.</w:t>
      </w:r>
    </w:p>
    <w:p w:rsidR="00ED3971" w:rsidRPr="007E3D67" w:rsidRDefault="00ED3971" w:rsidP="00E311BA">
      <w:pPr>
        <w:pStyle w:val="Odstavecseseznamem"/>
        <w:numPr>
          <w:ilvl w:val="0"/>
          <w:numId w:val="15"/>
        </w:numPr>
        <w:spacing w:line="360" w:lineRule="auto"/>
        <w:rPr>
          <w:rFonts w:ascii="Times New Roman" w:hAnsi="Times New Roman" w:cs="Times New Roman"/>
        </w:rPr>
      </w:pPr>
      <w:r w:rsidRPr="007E3D67">
        <w:rPr>
          <w:rFonts w:ascii="Times New Roman" w:hAnsi="Times New Roman" w:cs="Times New Roman"/>
        </w:rPr>
        <w:t>Evaluace cílů z hlediska vynaložených nákladů a možných budoucích přínosů a jejich optimální výběr.</w:t>
      </w:r>
    </w:p>
    <w:p w:rsidR="0002485D" w:rsidRDefault="0002485D" w:rsidP="008F3DE7">
      <w:pPr>
        <w:rPr>
          <w:b/>
        </w:rPr>
      </w:pPr>
    </w:p>
    <w:p w:rsidR="0066604C" w:rsidRDefault="0066604C" w:rsidP="008F3DE7">
      <w:pPr>
        <w:rPr>
          <w:b/>
        </w:rPr>
      </w:pPr>
    </w:p>
    <w:p w:rsidR="0066604C" w:rsidRDefault="0066604C" w:rsidP="008F3DE7">
      <w:pPr>
        <w:rPr>
          <w:b/>
        </w:rPr>
      </w:pPr>
    </w:p>
    <w:p w:rsidR="0066604C" w:rsidRPr="007E3D67" w:rsidRDefault="0066604C" w:rsidP="008F3DE7">
      <w:pPr>
        <w:rPr>
          <w:b/>
        </w:rPr>
      </w:pPr>
    </w:p>
    <w:p w:rsidR="00B7473E" w:rsidRPr="007E3D67" w:rsidRDefault="00B33AAC" w:rsidP="008F3DE7">
      <w:pPr>
        <w:rPr>
          <w:b/>
        </w:rPr>
      </w:pPr>
      <w:r w:rsidRPr="007E3D67">
        <w:rPr>
          <w:b/>
        </w:rPr>
        <w:lastRenderedPageBreak/>
        <w:t>Tradiční ekonomické cíle</w:t>
      </w:r>
    </w:p>
    <w:p w:rsidR="00B33AAC" w:rsidRPr="007E3D67" w:rsidRDefault="00B33AAC" w:rsidP="008F3DE7">
      <w:pPr>
        <w:rPr>
          <w:b/>
        </w:rPr>
      </w:pPr>
    </w:p>
    <w:p w:rsidR="00B33AAC" w:rsidRPr="007E3D67" w:rsidRDefault="002B1AD6" w:rsidP="008F3DE7">
      <w:r w:rsidRPr="007E3D67">
        <w:t xml:space="preserve">Hospodářská politika státu je zaměřena na hlavní tradiční cíl, kterým je zajištění podmínek pro stabilní a progresivní vývoj ekonomiky. Tento cíl je samozřejmě ve vzájemné, neustálé interakci s ostatními cíli. Např. hospodářská expanze a s ní spojená poměrně vysoká životní úroveň (vyšší úroveň disponibilního důchodu,…) vedou k důvěře občanů ve stávající politický systém a podpoře demokracie. </w:t>
      </w:r>
      <w:r w:rsidR="00FA43A4" w:rsidRPr="007E3D67">
        <w:t xml:space="preserve">Stejně tak v opačném případě, v době hospodářské recese mohou občané inklinovat více k totalitním režimům. </w:t>
      </w:r>
    </w:p>
    <w:p w:rsidR="00B31433" w:rsidRPr="007E3D67" w:rsidRDefault="00B31433" w:rsidP="008F3DE7"/>
    <w:p w:rsidR="00A56053" w:rsidRPr="007E3D67" w:rsidRDefault="00A56053" w:rsidP="008F3DE7">
      <w:r w:rsidRPr="007E3D67">
        <w:t xml:space="preserve">Výše uvedený hlavní cíl </w:t>
      </w:r>
      <w:r w:rsidR="00FC0D17" w:rsidRPr="007E3D67">
        <w:t xml:space="preserve">hospodářské politiky lze zúžit na čtyři základní tradiční ekonomické cíle. Jedná se o vyvážený a stabilní ekonomický růst, nízkou míru nezaměstnanosti, nízkou a stabilní inflaci a vnější rovnováhu. Tyto cíle reflektují ještě další, někdy samostatně uváděný cíl, kterým je zajišťování rovnováhy na jednotlivých dílčích trzích v ekonomice, stejně jako rovnováhy celkové. </w:t>
      </w:r>
    </w:p>
    <w:p w:rsidR="00A67BCB" w:rsidRPr="007E3D67" w:rsidRDefault="00A67BCB" w:rsidP="008F3DE7">
      <w:r w:rsidRPr="007E3D67">
        <w:t>(</w:t>
      </w:r>
      <w:r w:rsidR="00DA3749" w:rsidRPr="007E3D67">
        <w:t>KLIKOVÁ</w:t>
      </w:r>
      <w:r w:rsidRPr="007E3D67">
        <w:t xml:space="preserve"> 2003</w:t>
      </w:r>
      <w:r w:rsidR="00DA3749" w:rsidRPr="007E3D67">
        <w:t>:</w:t>
      </w:r>
      <w:r w:rsidRPr="007E3D67">
        <w:t>60-64)</w:t>
      </w:r>
    </w:p>
    <w:p w:rsidR="00FE3A61" w:rsidRPr="007E3D67" w:rsidRDefault="00FE3A61" w:rsidP="008F3DE7">
      <w:pPr>
        <w:rPr>
          <w:b/>
        </w:rPr>
      </w:pPr>
    </w:p>
    <w:p w:rsidR="00FE3A61" w:rsidRPr="007E3D67" w:rsidRDefault="00841948" w:rsidP="008F3DE7">
      <w:pPr>
        <w:pStyle w:val="Nadpis3"/>
        <w:rPr>
          <w:rFonts w:cs="Times New Roman"/>
        </w:rPr>
      </w:pPr>
      <w:bookmarkStart w:id="51" w:name="_Toc278920724"/>
      <w:bookmarkStart w:id="52" w:name="_Toc279696212"/>
      <w:r w:rsidRPr="007E3D67">
        <w:rPr>
          <w:rFonts w:cs="Times New Roman"/>
        </w:rPr>
        <w:t>Ekonomické cíle hospodářské politiky</w:t>
      </w:r>
      <w:bookmarkEnd w:id="51"/>
      <w:bookmarkEnd w:id="52"/>
    </w:p>
    <w:p w:rsidR="00492931" w:rsidRPr="007E3D67" w:rsidRDefault="00492931" w:rsidP="008F3DE7">
      <w:r w:rsidRPr="007E3D67">
        <w:t>Oproti cílům společenským, lze ekonomické cíle poměrně snadno kvantifikovat</w:t>
      </w:r>
      <w:r w:rsidR="001A6271" w:rsidRPr="007E3D67">
        <w:t>.</w:t>
      </w:r>
      <w:r w:rsidRPr="007E3D67">
        <w:t xml:space="preserve"> </w:t>
      </w:r>
      <w:r w:rsidR="00EB591E" w:rsidRPr="007E3D67">
        <w:t>Ty</w:t>
      </w:r>
      <w:r w:rsidR="001A6271" w:rsidRPr="007E3D67">
        <w:t xml:space="preserve">, </w:t>
      </w:r>
      <w:r w:rsidR="00EB591E" w:rsidRPr="007E3D67">
        <w:t xml:space="preserve">které mají zásadní </w:t>
      </w:r>
      <w:r w:rsidR="00EB591E" w:rsidRPr="007E3D67">
        <w:rPr>
          <w:i/>
        </w:rPr>
        <w:t>impact</w:t>
      </w:r>
      <w:r w:rsidR="00EB591E" w:rsidRPr="007E3D67">
        <w:t xml:space="preserve"> na ekonomiku státu jsou následující</w:t>
      </w:r>
      <w:r w:rsidR="001A6271" w:rsidRPr="007E3D67">
        <w:t>: velikost produkce a ekonomický růst, nezaměstnanost, inflace a vnější cíle hospodářské politiky.</w:t>
      </w:r>
    </w:p>
    <w:p w:rsidR="00492931" w:rsidRPr="007E3D67" w:rsidRDefault="00492931" w:rsidP="008F3DE7"/>
    <w:p w:rsidR="008D2C82" w:rsidRPr="007E3D67" w:rsidRDefault="008D2C82" w:rsidP="008F3DE7">
      <w:pPr>
        <w:rPr>
          <w:b/>
        </w:rPr>
      </w:pPr>
      <w:r w:rsidRPr="007E3D67">
        <w:rPr>
          <w:b/>
        </w:rPr>
        <w:t>Velikost produkce a ekonomický růst</w:t>
      </w:r>
    </w:p>
    <w:p w:rsidR="008D2C82" w:rsidRPr="007E3D67" w:rsidRDefault="008D2C82" w:rsidP="008F3DE7"/>
    <w:p w:rsidR="008D2C82" w:rsidRPr="007E3D67" w:rsidRDefault="008D2C82" w:rsidP="008F3DE7">
      <w:r w:rsidRPr="007E3D67">
        <w:t xml:space="preserve">Jedním ze signifikantních cílů hospodářské politiky je stimulace velikosti celkové produkce ekonomiky. S úrovní celkové produkce přímo souvisí i úroveň celkových příjmů ekonomiky a tedy i životní úroveň každého občana. </w:t>
      </w:r>
    </w:p>
    <w:p w:rsidR="001C1BFE" w:rsidRPr="007E3D67" w:rsidRDefault="001C1BFE" w:rsidP="008F3DE7"/>
    <w:p w:rsidR="001C1BFE" w:rsidRPr="007E3D67" w:rsidRDefault="001C1BFE" w:rsidP="008F3DE7">
      <w:r w:rsidRPr="007E3D67">
        <w:t>K měření úrovně produkce se obecně využívá následujícího výčtu makroekonomických agregátů:</w:t>
      </w:r>
    </w:p>
    <w:p w:rsidR="00FC753C" w:rsidRPr="007E3D67" w:rsidRDefault="00FC753C" w:rsidP="00E311BA">
      <w:pPr>
        <w:pStyle w:val="Odstavecseseznamem"/>
        <w:numPr>
          <w:ilvl w:val="0"/>
          <w:numId w:val="16"/>
        </w:numPr>
        <w:spacing w:line="360" w:lineRule="auto"/>
        <w:rPr>
          <w:rFonts w:ascii="Times New Roman" w:hAnsi="Times New Roman" w:cs="Times New Roman"/>
        </w:rPr>
      </w:pPr>
      <w:r w:rsidRPr="007E3D67">
        <w:rPr>
          <w:rFonts w:ascii="Times New Roman" w:hAnsi="Times New Roman" w:cs="Times New Roman"/>
        </w:rPr>
        <w:lastRenderedPageBreak/>
        <w:t xml:space="preserve">Hrubý domácí produkt (HDP) – nejčastěji používaným agregátem k měření produkce. Zahrnuje veškerou finální produkci (zboží a služeb) vyrobenou v dané ekonomice během sledovaného období, výrobními faktory umístěnými v této zemi. </w:t>
      </w:r>
    </w:p>
    <w:p w:rsidR="00FC753C" w:rsidRPr="007E3D67" w:rsidRDefault="00FC753C" w:rsidP="00E311BA">
      <w:pPr>
        <w:pStyle w:val="Odstavecseseznamem"/>
        <w:numPr>
          <w:ilvl w:val="0"/>
          <w:numId w:val="16"/>
        </w:numPr>
        <w:spacing w:line="360" w:lineRule="auto"/>
        <w:rPr>
          <w:rFonts w:ascii="Times New Roman" w:hAnsi="Times New Roman" w:cs="Times New Roman"/>
        </w:rPr>
      </w:pPr>
      <w:r w:rsidRPr="007E3D67">
        <w:rPr>
          <w:rFonts w:ascii="Times New Roman" w:hAnsi="Times New Roman" w:cs="Times New Roman"/>
        </w:rPr>
        <w:t xml:space="preserve">Hrubý národní produkt (HNP) – určuje veškerou finální produkci vyrobenou kdekoliv ve světě během sledovaného období, za pomoci domácích výrobních faktorů. </w:t>
      </w:r>
    </w:p>
    <w:p w:rsidR="00182F80" w:rsidRPr="007E3D67" w:rsidRDefault="00FC753C" w:rsidP="008F3DE7">
      <w:r w:rsidRPr="007E3D67">
        <w:t xml:space="preserve">Oba tyto agregáty mohou být uváděny v běžných nebo ve stálých cenách. Z této pozice se rozlišují na agregáty nominální (pro </w:t>
      </w:r>
      <w:r w:rsidR="00ED1C7A" w:rsidRPr="007E3D67">
        <w:t>běžné ceny) a agregáty reálné (pro stálé ceny).</w:t>
      </w:r>
      <w:r w:rsidR="00B31433" w:rsidRPr="007E3D67">
        <w:t xml:space="preserve"> </w:t>
      </w:r>
      <w:r w:rsidR="00ED1C7A" w:rsidRPr="007E3D67">
        <w:t>Např. nominální HDP zahrnuje produkci, která je reálně vyprodukována, oceněnou v cenách roku, ve kterém je měřena. Oproti tomu reálný HDP vyjadřuje hodnotu produkce oceněnou cenami určitého základního období</w:t>
      </w:r>
      <w:r w:rsidR="00CC5CED" w:rsidRPr="007E3D67">
        <w:t>. Produkce je tedy oceňována stále stejnými cenami</w:t>
      </w:r>
      <w:r w:rsidR="00D14459" w:rsidRPr="007E3D67">
        <w:t xml:space="preserve"> a tudíž nezohledňuje růst cen.</w:t>
      </w:r>
      <w:r w:rsidR="006916AD" w:rsidRPr="007E3D67">
        <w:t xml:space="preserve"> Z toho plyne, že r</w:t>
      </w:r>
      <w:r w:rsidR="00CC5CED" w:rsidRPr="007E3D67">
        <w:t xml:space="preserve">eálné agregáty mají </w:t>
      </w:r>
      <w:r w:rsidR="000C1522" w:rsidRPr="007E3D67">
        <w:t xml:space="preserve">z pohledu srovnání produkce v jednotlivých obdobích, </w:t>
      </w:r>
      <w:r w:rsidR="00CC5CED" w:rsidRPr="007E3D67">
        <w:t>v</w:t>
      </w:r>
      <w:r w:rsidR="006916AD" w:rsidRPr="007E3D67">
        <w:t>yšší</w:t>
      </w:r>
      <w:r w:rsidR="00CC5CED" w:rsidRPr="007E3D67">
        <w:t xml:space="preserve"> vypovídací schopno</w:t>
      </w:r>
      <w:r w:rsidR="00372BB2" w:rsidRPr="007E3D67">
        <w:t>st.</w:t>
      </w:r>
      <w:r w:rsidR="00B31433" w:rsidRPr="007E3D67">
        <w:t xml:space="preserve"> </w:t>
      </w:r>
      <w:r w:rsidR="00182F80" w:rsidRPr="007E3D67">
        <w:t xml:space="preserve">Pro mezinárodní srovnání výkonnosti ekonomik se využívá velikost HDP přepočítaná na 1 obyvatele. Takto upravený podíl </w:t>
      </w:r>
      <w:r w:rsidR="00CC40E6" w:rsidRPr="007E3D67">
        <w:t>je relevantnější</w:t>
      </w:r>
      <w:r w:rsidR="00182F80" w:rsidRPr="007E3D67">
        <w:t xml:space="preserve"> pro přímé srovnání.</w:t>
      </w:r>
    </w:p>
    <w:p w:rsidR="00CC40E6" w:rsidRPr="007E3D67" w:rsidRDefault="00CC40E6" w:rsidP="008F3DE7"/>
    <w:p w:rsidR="001C1BFE" w:rsidRPr="007E3D67" w:rsidRDefault="00362D66" w:rsidP="008F3DE7">
      <w:r w:rsidRPr="007E3D67">
        <w:t>Ovšem ani úroveň reálného HDP nemůže být brána jako ultimátní, komplexní agregát. HDP nezahrnuje tzv. šedou (černou) ekonomiku. Tato ekonomika zahrnuje činnosti, které jsou prováděny bez příslušných povolení, porušují předpisy, vyhýbají se placení daní a tím narušují hospodářsko-politický systém. HDP také nezahrnuje výrobky a služby poskytnuté sami sobě, hodnotu volného času nebo škody na životním prostředí.</w:t>
      </w:r>
    </w:p>
    <w:p w:rsidR="00F2481B" w:rsidRPr="007E3D67" w:rsidRDefault="00F2481B" w:rsidP="008F3DE7"/>
    <w:p w:rsidR="00BC1BC3" w:rsidRPr="007E3D67" w:rsidRDefault="00BC1BC3" w:rsidP="008F3DE7">
      <w:pPr>
        <w:rPr>
          <w:b/>
        </w:rPr>
      </w:pPr>
      <w:r w:rsidRPr="007E3D67">
        <w:rPr>
          <w:b/>
        </w:rPr>
        <w:t>Systém národních účtů</w:t>
      </w:r>
    </w:p>
    <w:p w:rsidR="00BC1BC3" w:rsidRPr="007E3D67" w:rsidRDefault="00BC1BC3" w:rsidP="008F3DE7">
      <w:pPr>
        <w:rPr>
          <w:b/>
        </w:rPr>
      </w:pPr>
    </w:p>
    <w:p w:rsidR="00BC1BC3" w:rsidRPr="007E3D67" w:rsidRDefault="00E37A65" w:rsidP="008F3DE7">
      <w:r w:rsidRPr="007E3D67">
        <w:t>Význam systému národního účetnictví je v těchto oblastech:</w:t>
      </w:r>
    </w:p>
    <w:p w:rsidR="00E37A65" w:rsidRPr="007E3D67" w:rsidRDefault="00E37A65" w:rsidP="00E311BA">
      <w:pPr>
        <w:pStyle w:val="Odstavecseseznamem"/>
        <w:numPr>
          <w:ilvl w:val="0"/>
          <w:numId w:val="17"/>
        </w:numPr>
        <w:spacing w:line="360" w:lineRule="auto"/>
        <w:rPr>
          <w:rFonts w:ascii="Times New Roman" w:hAnsi="Times New Roman" w:cs="Times New Roman"/>
        </w:rPr>
      </w:pPr>
      <w:r w:rsidRPr="007E3D67">
        <w:rPr>
          <w:rFonts w:ascii="Times New Roman" w:hAnsi="Times New Roman" w:cs="Times New Roman"/>
        </w:rPr>
        <w:t xml:space="preserve">Jde o základní zdroj makroekonomické analýzy, protože umožňuje systematické sledování na sebe navazujících makroekonomických údajů. </w:t>
      </w:r>
    </w:p>
    <w:p w:rsidR="00B31433" w:rsidRPr="007E3D67" w:rsidRDefault="00B31433" w:rsidP="00B31433">
      <w:pPr>
        <w:pStyle w:val="Odstavecseseznamem"/>
        <w:spacing w:line="360" w:lineRule="auto"/>
        <w:rPr>
          <w:rFonts w:ascii="Times New Roman" w:hAnsi="Times New Roman" w:cs="Times New Roman"/>
        </w:rPr>
      </w:pPr>
    </w:p>
    <w:p w:rsidR="00E37A65" w:rsidRPr="007E3D67" w:rsidRDefault="00E37A65" w:rsidP="00E311BA">
      <w:pPr>
        <w:pStyle w:val="Odstavecseseznamem"/>
        <w:numPr>
          <w:ilvl w:val="0"/>
          <w:numId w:val="17"/>
        </w:numPr>
        <w:spacing w:line="360" w:lineRule="auto"/>
        <w:rPr>
          <w:rFonts w:ascii="Times New Roman" w:hAnsi="Times New Roman" w:cs="Times New Roman"/>
        </w:rPr>
      </w:pPr>
      <w:r w:rsidRPr="007E3D67">
        <w:rPr>
          <w:rFonts w:ascii="Times New Roman" w:hAnsi="Times New Roman" w:cs="Times New Roman"/>
        </w:rPr>
        <w:t>Národní účty se tím, že umožňují makroekonomickou analýzu, stávají významným „pomocníkem“ vládním orgánům při formulaci hospodářské politiky.</w:t>
      </w:r>
    </w:p>
    <w:p w:rsidR="00B31433" w:rsidRPr="007E3D67" w:rsidRDefault="00B31433" w:rsidP="00B31433">
      <w:pPr>
        <w:pStyle w:val="Odstavecseseznamem"/>
        <w:spacing w:line="360" w:lineRule="auto"/>
        <w:rPr>
          <w:rFonts w:ascii="Times New Roman" w:hAnsi="Times New Roman" w:cs="Times New Roman"/>
        </w:rPr>
      </w:pPr>
    </w:p>
    <w:p w:rsidR="00E37A65" w:rsidRPr="007E3D67" w:rsidRDefault="00AD6E71" w:rsidP="00E311BA">
      <w:pPr>
        <w:pStyle w:val="Odstavecseseznamem"/>
        <w:numPr>
          <w:ilvl w:val="0"/>
          <w:numId w:val="17"/>
        </w:numPr>
        <w:spacing w:line="360" w:lineRule="auto"/>
        <w:rPr>
          <w:rFonts w:ascii="Times New Roman" w:hAnsi="Times New Roman" w:cs="Times New Roman"/>
        </w:rPr>
      </w:pPr>
      <w:r w:rsidRPr="007E3D67">
        <w:rPr>
          <w:rFonts w:ascii="Times New Roman" w:hAnsi="Times New Roman" w:cs="Times New Roman"/>
        </w:rPr>
        <w:t xml:space="preserve">Vytváří základ pro makroekonomické modelování a tvorbu </w:t>
      </w:r>
      <w:r w:rsidRPr="007E3D67">
        <w:rPr>
          <w:rFonts w:ascii="Times New Roman" w:hAnsi="Times New Roman" w:cs="Times New Roman"/>
          <w:i/>
        </w:rPr>
        <w:t>forecastů</w:t>
      </w:r>
      <w:r w:rsidRPr="007E3D67">
        <w:rPr>
          <w:rFonts w:ascii="Times New Roman" w:hAnsi="Times New Roman" w:cs="Times New Roman"/>
        </w:rPr>
        <w:t>.</w:t>
      </w:r>
    </w:p>
    <w:p w:rsidR="00B31433" w:rsidRPr="007E3D67" w:rsidRDefault="00B31433" w:rsidP="00B31433">
      <w:pPr>
        <w:pStyle w:val="Odstavecseseznamem"/>
        <w:spacing w:line="360" w:lineRule="auto"/>
        <w:rPr>
          <w:rFonts w:ascii="Times New Roman" w:hAnsi="Times New Roman" w:cs="Times New Roman"/>
        </w:rPr>
      </w:pPr>
    </w:p>
    <w:p w:rsidR="004A7DF8" w:rsidRPr="007E3D67" w:rsidRDefault="004A7DF8" w:rsidP="00E311BA">
      <w:pPr>
        <w:pStyle w:val="Odstavecseseznamem"/>
        <w:numPr>
          <w:ilvl w:val="0"/>
          <w:numId w:val="17"/>
        </w:numPr>
        <w:spacing w:line="360" w:lineRule="auto"/>
        <w:rPr>
          <w:rFonts w:ascii="Times New Roman" w:hAnsi="Times New Roman" w:cs="Times New Roman"/>
        </w:rPr>
      </w:pPr>
      <w:r w:rsidRPr="007E3D67">
        <w:rPr>
          <w:rFonts w:ascii="Times New Roman" w:hAnsi="Times New Roman" w:cs="Times New Roman"/>
        </w:rPr>
        <w:t>Je významným nástrojem mezinárodních komparací.</w:t>
      </w:r>
    </w:p>
    <w:p w:rsidR="00F2481B" w:rsidRPr="007E3D67" w:rsidRDefault="00F2481B" w:rsidP="008F3DE7">
      <w:r w:rsidRPr="007E3D67">
        <w:t>(</w:t>
      </w:r>
      <w:r w:rsidR="00CC40E6" w:rsidRPr="007E3D67">
        <w:t xml:space="preserve">SLANÝ </w:t>
      </w:r>
      <w:r w:rsidRPr="007E3D67">
        <w:t>et al 1999</w:t>
      </w:r>
      <w:r w:rsidR="00CC40E6" w:rsidRPr="007E3D67">
        <w:t>:</w:t>
      </w:r>
      <w:r w:rsidRPr="007E3D67">
        <w:t>42)</w:t>
      </w:r>
    </w:p>
    <w:p w:rsidR="00F2481B" w:rsidRPr="007E3D67" w:rsidRDefault="00F2481B" w:rsidP="008F3DE7"/>
    <w:p w:rsidR="00F2481B" w:rsidRPr="007E3D67" w:rsidRDefault="00151B48" w:rsidP="008F3DE7">
      <w:pPr>
        <w:rPr>
          <w:b/>
        </w:rPr>
      </w:pPr>
      <w:r w:rsidRPr="007E3D67">
        <w:rPr>
          <w:b/>
        </w:rPr>
        <w:t>Mezinárodní srovnání výkonnosti ekonomik</w:t>
      </w:r>
    </w:p>
    <w:p w:rsidR="00151B48" w:rsidRPr="007E3D67" w:rsidRDefault="00151B48" w:rsidP="008F3DE7">
      <w:pPr>
        <w:rPr>
          <w:b/>
        </w:rPr>
      </w:pPr>
    </w:p>
    <w:p w:rsidR="00151B48" w:rsidRPr="007E3D67" w:rsidRDefault="00151B48" w:rsidP="008F3DE7">
      <w:r w:rsidRPr="007E3D67">
        <w:t>Sjednocení systémů národních účtů otevírá možnost relevantní komparace výkonnosti ekonomik. Pro takové srovnání je nezbytné, aby byly ukazatele pro měření produkce převedeny na společný měnový základ.</w:t>
      </w:r>
      <w:r w:rsidR="00B15AF6" w:rsidRPr="007E3D67">
        <w:t xml:space="preserve"> Pro takový převod se používají 3 možnosti převodu:</w:t>
      </w:r>
    </w:p>
    <w:p w:rsidR="00B15AF6" w:rsidRPr="007E3D67" w:rsidRDefault="00B15AF6" w:rsidP="00E311BA">
      <w:pPr>
        <w:pStyle w:val="Odstavecseseznamem"/>
        <w:numPr>
          <w:ilvl w:val="0"/>
          <w:numId w:val="18"/>
        </w:numPr>
        <w:spacing w:line="360" w:lineRule="auto"/>
        <w:rPr>
          <w:rFonts w:ascii="Times New Roman" w:hAnsi="Times New Roman" w:cs="Times New Roman"/>
        </w:rPr>
      </w:pPr>
      <w:r w:rsidRPr="007E3D67">
        <w:rPr>
          <w:rFonts w:ascii="Times New Roman" w:hAnsi="Times New Roman" w:cs="Times New Roman"/>
        </w:rPr>
        <w:t>Převod pomocí oficiálního měnového kurzu – Při převodu hodnoty HDP na společnou měnu, např. americký dolar, se využije oficiální směnný kurz, který je dán nabídkou a poptávkou na devizovém trhu.</w:t>
      </w:r>
    </w:p>
    <w:p w:rsidR="00525C66" w:rsidRPr="007E3D67" w:rsidRDefault="00525C66" w:rsidP="00E311BA">
      <w:pPr>
        <w:pStyle w:val="Odstavecseseznamem"/>
        <w:numPr>
          <w:ilvl w:val="0"/>
          <w:numId w:val="18"/>
        </w:numPr>
        <w:spacing w:line="360" w:lineRule="auto"/>
        <w:rPr>
          <w:rFonts w:ascii="Times New Roman" w:hAnsi="Times New Roman" w:cs="Times New Roman"/>
        </w:rPr>
      </w:pPr>
      <w:r w:rsidRPr="007E3D67">
        <w:rPr>
          <w:rFonts w:ascii="Times New Roman" w:hAnsi="Times New Roman" w:cs="Times New Roman"/>
        </w:rPr>
        <w:t>Převod pomocí parity kupní síly (</w:t>
      </w:r>
      <w:r w:rsidRPr="007E3D67">
        <w:rPr>
          <w:rFonts w:ascii="Times New Roman" w:hAnsi="Times New Roman" w:cs="Times New Roman"/>
          <w:i/>
        </w:rPr>
        <w:t>Purchasing Power Parity</w:t>
      </w:r>
      <w:r w:rsidRPr="007E3D67">
        <w:rPr>
          <w:rFonts w:ascii="Times New Roman" w:hAnsi="Times New Roman" w:cs="Times New Roman"/>
        </w:rPr>
        <w:t xml:space="preserve"> = PPP)</w:t>
      </w:r>
      <w:r w:rsidR="00034575" w:rsidRPr="007E3D67">
        <w:rPr>
          <w:rFonts w:ascii="Times New Roman" w:hAnsi="Times New Roman" w:cs="Times New Roman"/>
        </w:rPr>
        <w:t xml:space="preserve"> –</w:t>
      </w:r>
      <w:r w:rsidRPr="007E3D67">
        <w:rPr>
          <w:rFonts w:ascii="Times New Roman" w:hAnsi="Times New Roman" w:cs="Times New Roman"/>
        </w:rPr>
        <w:t xml:space="preserve"> </w:t>
      </w:r>
      <w:r w:rsidR="00034575" w:rsidRPr="007E3D67">
        <w:rPr>
          <w:rFonts w:ascii="Times New Roman" w:hAnsi="Times New Roman" w:cs="Times New Roman"/>
        </w:rPr>
        <w:t>V</w:t>
      </w:r>
      <w:r w:rsidRPr="007E3D67">
        <w:rPr>
          <w:rFonts w:ascii="Times New Roman" w:hAnsi="Times New Roman" w:cs="Times New Roman"/>
        </w:rPr>
        <w:t xml:space="preserve">yjadřuje kurz, který je dán cenou určitého daného koše komodit v jednotkách měny srovnávaných zemí. </w:t>
      </w:r>
    </w:p>
    <w:p w:rsidR="00E37FF1" w:rsidRPr="007E3D67" w:rsidRDefault="00E37FF1" w:rsidP="008F3DE7">
      <w:pPr>
        <w:pStyle w:val="Odstavecseseznamem"/>
        <w:spacing w:line="360" w:lineRule="auto"/>
        <w:rPr>
          <w:rFonts w:ascii="Times New Roman" w:hAnsi="Times New Roman" w:cs="Times New Roman"/>
        </w:rPr>
      </w:pPr>
      <w:r w:rsidRPr="007E3D67">
        <w:rPr>
          <w:rFonts w:ascii="Times New Roman" w:hAnsi="Times New Roman" w:cs="Times New Roman"/>
        </w:rPr>
        <w:t>Bude-li např. vybraný koš komodit možno koupit v České republice za 2000 Kč, a stejný koš komodit v USA za $100, bude směnný kurz získaný na základě PPP 20 Kč/$.</w:t>
      </w:r>
    </w:p>
    <w:p w:rsidR="00034575" w:rsidRPr="007E3D67" w:rsidRDefault="00E37FF1" w:rsidP="008F3DE7">
      <w:pPr>
        <w:pStyle w:val="Odstavecseseznamem"/>
        <w:spacing w:line="360" w:lineRule="auto"/>
        <w:rPr>
          <w:rFonts w:ascii="Times New Roman" w:hAnsi="Times New Roman" w:cs="Times New Roman"/>
        </w:rPr>
      </w:pPr>
      <w:r w:rsidRPr="007E3D67">
        <w:rPr>
          <w:rFonts w:ascii="Times New Roman" w:hAnsi="Times New Roman" w:cs="Times New Roman"/>
        </w:rPr>
        <w:t>(M</w:t>
      </w:r>
      <w:r w:rsidR="00CC40E6" w:rsidRPr="007E3D67">
        <w:rPr>
          <w:rFonts w:ascii="Times New Roman" w:hAnsi="Times New Roman" w:cs="Times New Roman"/>
        </w:rPr>
        <w:t>ACH</w:t>
      </w:r>
      <w:r w:rsidRPr="007E3D67">
        <w:rPr>
          <w:rFonts w:ascii="Times New Roman" w:hAnsi="Times New Roman" w:cs="Times New Roman"/>
        </w:rPr>
        <w:t xml:space="preserve"> 2001</w:t>
      </w:r>
      <w:r w:rsidR="00CC40E6" w:rsidRPr="007E3D67">
        <w:rPr>
          <w:rFonts w:ascii="Times New Roman" w:hAnsi="Times New Roman" w:cs="Times New Roman"/>
        </w:rPr>
        <w:t>:</w:t>
      </w:r>
      <w:r w:rsidRPr="007E3D67">
        <w:rPr>
          <w:rFonts w:ascii="Times New Roman" w:hAnsi="Times New Roman" w:cs="Times New Roman"/>
        </w:rPr>
        <w:t>125)</w:t>
      </w:r>
    </w:p>
    <w:p w:rsidR="00034575" w:rsidRPr="007E3D67" w:rsidRDefault="00034575" w:rsidP="00E311BA">
      <w:pPr>
        <w:pStyle w:val="Odstavecseseznamem"/>
        <w:numPr>
          <w:ilvl w:val="0"/>
          <w:numId w:val="19"/>
        </w:numPr>
        <w:spacing w:line="360" w:lineRule="auto"/>
        <w:rPr>
          <w:rFonts w:ascii="Times New Roman" w:hAnsi="Times New Roman" w:cs="Times New Roman"/>
        </w:rPr>
      </w:pPr>
      <w:r w:rsidRPr="007E3D67">
        <w:rPr>
          <w:rFonts w:ascii="Times New Roman" w:hAnsi="Times New Roman" w:cs="Times New Roman"/>
        </w:rPr>
        <w:t>Převod pomocí metody fyzických ukazatelů – Tento převod je využíván u méně vyspělých zemí, které nevytvářejí systém národního účetnictví. Metoda je pouze přibližná, pomocí korelace mezi úrovní produkce a spotřebou určitých statků v daném období.</w:t>
      </w:r>
    </w:p>
    <w:p w:rsidR="0066604C" w:rsidRDefault="0066604C" w:rsidP="008F3DE7">
      <w:pPr>
        <w:rPr>
          <w:b/>
        </w:rPr>
      </w:pPr>
    </w:p>
    <w:p w:rsidR="00084B94" w:rsidRPr="007E3D67" w:rsidRDefault="00084B94" w:rsidP="008F3DE7">
      <w:pPr>
        <w:rPr>
          <w:b/>
        </w:rPr>
      </w:pPr>
      <w:r w:rsidRPr="007E3D67">
        <w:rPr>
          <w:b/>
        </w:rPr>
        <w:t>Ekonomický růst</w:t>
      </w:r>
    </w:p>
    <w:p w:rsidR="00151B48" w:rsidRPr="007E3D67" w:rsidRDefault="00151B48" w:rsidP="008F3DE7">
      <w:pPr>
        <w:rPr>
          <w:b/>
        </w:rPr>
      </w:pPr>
    </w:p>
    <w:p w:rsidR="008F3DE7" w:rsidRPr="007E3D67" w:rsidRDefault="004D55BC" w:rsidP="008F3DE7">
      <w:r w:rsidRPr="007E3D67">
        <w:t xml:space="preserve">Dalším signifikantním cílem hospodářské politiky je ekonomický růst, </w:t>
      </w:r>
      <w:r w:rsidR="00620FB0" w:rsidRPr="007E3D67">
        <w:t>resp.</w:t>
      </w:r>
      <w:r w:rsidRPr="007E3D67">
        <w:t xml:space="preserve"> </w:t>
      </w:r>
      <w:r w:rsidR="00620FB0" w:rsidRPr="007E3D67">
        <w:t>tempo</w:t>
      </w:r>
      <w:r w:rsidRPr="007E3D67">
        <w:t> růstu reálného HDP (dále</w:t>
      </w:r>
      <w:r w:rsidR="00620FB0" w:rsidRPr="007E3D67">
        <w:t xml:space="preserve"> tempo</w:t>
      </w:r>
      <w:r w:rsidRPr="007E3D67">
        <w:t xml:space="preserve"> růstu</w:t>
      </w:r>
      <w:r w:rsidR="00620FB0" w:rsidRPr="007E3D67">
        <w:t xml:space="preserve">). Tempo růstu se používá ve dvou významech: </w:t>
      </w:r>
      <w:r w:rsidR="008F3DE7" w:rsidRPr="007E3D67">
        <w:t xml:space="preserve"> </w:t>
      </w:r>
    </w:p>
    <w:p w:rsidR="00645B2A" w:rsidRPr="007E3D67" w:rsidRDefault="00237B79" w:rsidP="00E311BA">
      <w:pPr>
        <w:pStyle w:val="Odstavecseseznamem"/>
        <w:numPr>
          <w:ilvl w:val="0"/>
          <w:numId w:val="19"/>
        </w:numPr>
        <w:spacing w:line="360" w:lineRule="auto"/>
        <w:rPr>
          <w:rFonts w:ascii="Times New Roman" w:hAnsi="Times New Roman" w:cs="Times New Roman"/>
        </w:rPr>
      </w:pPr>
      <w:r w:rsidRPr="007E3D67">
        <w:rPr>
          <w:rFonts w:ascii="Times New Roman" w:hAnsi="Times New Roman" w:cs="Times New Roman"/>
        </w:rPr>
        <w:t>K</w:t>
      </w:r>
      <w:r w:rsidR="00620FB0" w:rsidRPr="007E3D67">
        <w:rPr>
          <w:rFonts w:ascii="Times New Roman" w:hAnsi="Times New Roman" w:cs="Times New Roman"/>
        </w:rPr>
        <w:t xml:space="preserve">rátkodobé </w:t>
      </w:r>
      <w:r w:rsidR="002C72A4" w:rsidRPr="007E3D67">
        <w:rPr>
          <w:rFonts w:ascii="Times New Roman" w:hAnsi="Times New Roman" w:cs="Times New Roman"/>
        </w:rPr>
        <w:t>–</w:t>
      </w:r>
      <w:r w:rsidR="008F3DE7" w:rsidRPr="007E3D67">
        <w:rPr>
          <w:rFonts w:ascii="Times New Roman" w:hAnsi="Times New Roman" w:cs="Times New Roman"/>
        </w:rPr>
        <w:t xml:space="preserve"> </w:t>
      </w:r>
      <w:r w:rsidR="002C72A4" w:rsidRPr="007E3D67">
        <w:rPr>
          <w:rFonts w:ascii="Times New Roman" w:hAnsi="Times New Roman" w:cs="Times New Roman"/>
        </w:rPr>
        <w:t>neboli meziroční tempo růstu. Vyjádřeno v hladině několika jednotek procentních bodů. Výpočet je následující</w:t>
      </w:r>
      <w:r w:rsidR="00B31433" w:rsidRPr="007E3D67">
        <w:rPr>
          <w:rFonts w:ascii="Times New Roman" w:hAnsi="Times New Roman" w:cs="Times New Roman"/>
        </w:rPr>
        <w:t>:</w:t>
      </w:r>
      <w:r w:rsidR="002C72A4" w:rsidRPr="007E3D67">
        <w:rPr>
          <w:rFonts w:ascii="Times New Roman" w:hAnsi="Times New Roman" w:cs="Times New Roman"/>
        </w:rPr>
        <w:t xml:space="preserve"> </w:t>
      </w:r>
    </w:p>
    <w:p w:rsidR="00237B79" w:rsidRPr="007E3D67" w:rsidRDefault="00237B79" w:rsidP="00237B79">
      <w:pPr>
        <w:pStyle w:val="Odstavecseseznamem"/>
        <w:spacing w:line="360" w:lineRule="auto"/>
        <w:rPr>
          <w:rFonts w:ascii="Times New Roman" w:hAnsi="Times New Roman" w:cs="Times New Roman"/>
        </w:rPr>
      </w:pPr>
    </w:p>
    <w:p w:rsidR="002C72A4" w:rsidRPr="007E3D67" w:rsidRDefault="00D82A9D" w:rsidP="00B31433">
      <w:pPr>
        <w:pStyle w:val="Odstavecseseznamem"/>
        <w:spacing w:line="360" w:lineRule="auto"/>
        <w:jc w:val="center"/>
        <w:rPr>
          <w:rFonts w:ascii="Times New Roman" w:eastAsiaTheme="minorEastAsia" w:hAnsi="Times New Roman" w:cs="Times New Roman"/>
        </w:rPr>
      </w:pPr>
      <m:oMath>
        <m:f>
          <m:fPr>
            <m:ctrlPr>
              <w:rPr>
                <w:rFonts w:ascii="Cambria Math" w:hAnsi="Cambria Math" w:cs="Times New Roman"/>
                <w:i/>
                <w:sz w:val="28"/>
              </w:rPr>
            </m:ctrlPr>
          </m:fPr>
          <m:num>
            <m:sSub>
              <m:sSubPr>
                <m:ctrlPr>
                  <w:rPr>
                    <w:rFonts w:ascii="Cambria Math" w:hAnsi="Cambria Math" w:cs="Times New Roman"/>
                    <w:i/>
                    <w:sz w:val="28"/>
                  </w:rPr>
                </m:ctrlPr>
              </m:sSubPr>
              <m:e>
                <m:r>
                  <w:rPr>
                    <w:rFonts w:ascii="Cambria Math" w:hAnsi="Cambria Math" w:cs="Times New Roman"/>
                    <w:sz w:val="28"/>
                  </w:rPr>
                  <m:t>HDP</m:t>
                </m:r>
              </m:e>
              <m:sub>
                <m:r>
                  <w:rPr>
                    <w:rFonts w:ascii="Cambria Math" w:hAnsi="Cambria Math" w:cs="Times New Roman"/>
                    <w:sz w:val="28"/>
                  </w:rPr>
                  <m:t>t</m:t>
                </m:r>
              </m:sub>
            </m:sSub>
            <m:r>
              <w:rPr>
                <w:rFonts w:ascii="Cambria Math" w:hAnsi="Cambria Math" w:cs="Times New Roman"/>
                <w:sz w:val="28"/>
              </w:rPr>
              <m:t xml:space="preserve">- </m:t>
            </m:r>
            <m:sSub>
              <m:sSubPr>
                <m:ctrlPr>
                  <w:rPr>
                    <w:rFonts w:ascii="Cambria Math" w:hAnsi="Cambria Math" w:cs="Times New Roman"/>
                    <w:i/>
                    <w:sz w:val="28"/>
                  </w:rPr>
                </m:ctrlPr>
              </m:sSubPr>
              <m:e>
                <m:r>
                  <w:rPr>
                    <w:rFonts w:ascii="Cambria Math" w:hAnsi="Cambria Math" w:cs="Times New Roman"/>
                    <w:sz w:val="28"/>
                  </w:rPr>
                  <m:t>HDP</m:t>
                </m:r>
              </m:e>
              <m:sub>
                <m:r>
                  <w:rPr>
                    <w:rFonts w:ascii="Cambria Math" w:hAnsi="Cambria Math" w:cs="Times New Roman"/>
                    <w:sz w:val="28"/>
                  </w:rPr>
                  <m:t>t-1</m:t>
                </m:r>
              </m:sub>
            </m:sSub>
          </m:num>
          <m:den>
            <m:sSub>
              <m:sSubPr>
                <m:ctrlPr>
                  <w:rPr>
                    <w:rFonts w:ascii="Cambria Math" w:hAnsi="Cambria Math" w:cs="Times New Roman"/>
                    <w:i/>
                    <w:sz w:val="28"/>
                  </w:rPr>
                </m:ctrlPr>
              </m:sSubPr>
              <m:e>
                <m:r>
                  <w:rPr>
                    <w:rFonts w:ascii="Cambria Math" w:hAnsi="Cambria Math" w:cs="Times New Roman"/>
                    <w:sz w:val="28"/>
                  </w:rPr>
                  <m:t>HDP</m:t>
                </m:r>
              </m:e>
              <m:sub>
                <m:r>
                  <w:rPr>
                    <w:rFonts w:ascii="Cambria Math" w:hAnsi="Cambria Math" w:cs="Times New Roman"/>
                    <w:sz w:val="28"/>
                  </w:rPr>
                  <m:t>t-1</m:t>
                </m:r>
              </m:sub>
            </m:sSub>
          </m:den>
        </m:f>
        <m:r>
          <w:rPr>
            <w:rFonts w:ascii="Cambria Math" w:hAnsi="Cambria Math" w:cs="Times New Roman"/>
            <w:sz w:val="28"/>
          </w:rPr>
          <m:t xml:space="preserve"> ×100=</m:t>
        </m:r>
        <m:d>
          <m:dPr>
            <m:begChr m:val="["/>
            <m:endChr m:val="]"/>
            <m:ctrlPr>
              <w:rPr>
                <w:rFonts w:ascii="Cambria Math" w:hAnsi="Cambria Math" w:cs="Times New Roman"/>
                <w:i/>
                <w:sz w:val="28"/>
              </w:rPr>
            </m:ctrlPr>
          </m:dPr>
          <m:e>
            <m:r>
              <w:rPr>
                <w:rFonts w:ascii="Cambria Math" w:hAnsi="Cambria Math" w:cs="Times New Roman"/>
                <w:sz w:val="28"/>
              </w:rPr>
              <m:t>%</m:t>
            </m:r>
          </m:e>
        </m:d>
      </m:oMath>
      <w:r w:rsidR="00B31433" w:rsidRPr="007E3D67">
        <w:rPr>
          <w:rFonts w:ascii="Times New Roman" w:eastAsiaTheme="minorEastAsia" w:hAnsi="Times New Roman" w:cs="Times New Roman"/>
        </w:rPr>
        <w:t xml:space="preserve"> </w:t>
      </w:r>
      <w:r w:rsidR="00B31433" w:rsidRPr="007E3D67">
        <w:rPr>
          <w:rFonts w:ascii="Times New Roman" w:eastAsiaTheme="minorEastAsia" w:hAnsi="Times New Roman" w:cs="Times New Roman"/>
        </w:rPr>
        <w:tab/>
        <w:t>(1)</w:t>
      </w:r>
    </w:p>
    <w:p w:rsidR="00237B79" w:rsidRPr="007E3D67" w:rsidRDefault="00237B79" w:rsidP="002C72A4">
      <w:pPr>
        <w:pStyle w:val="Odstavecseseznamem"/>
        <w:spacing w:line="360" w:lineRule="auto"/>
        <w:rPr>
          <w:rFonts w:ascii="Times New Roman" w:eastAsiaTheme="minorEastAsia" w:hAnsi="Times New Roman" w:cs="Times New Roman"/>
        </w:rPr>
      </w:pPr>
    </w:p>
    <w:p w:rsidR="000D6A43" w:rsidRPr="007E3D67" w:rsidRDefault="000E2C74" w:rsidP="002C72A4">
      <w:pPr>
        <w:pStyle w:val="Odstavecseseznamem"/>
        <w:spacing w:line="360" w:lineRule="auto"/>
        <w:rPr>
          <w:rFonts w:ascii="Times New Roman" w:eastAsiaTheme="minorEastAsia" w:hAnsi="Times New Roman" w:cs="Times New Roman"/>
        </w:rPr>
      </w:pPr>
      <w:r w:rsidRPr="007E3D67">
        <w:rPr>
          <w:rFonts w:ascii="Times New Roman" w:eastAsiaTheme="minorEastAsia" w:hAnsi="Times New Roman" w:cs="Times New Roman"/>
        </w:rPr>
        <w:t xml:space="preserve">Tento údaj bývá zpravidla uváděn v médiích a vláda jeho zvyšování nebo snižování považuje za jeden ze svých cílů. Tempo růstu, jako jeden z hlavních faktorů ukazuje, v jakém stavu hospodářského cyklu se ekonomika nachází.  </w:t>
      </w:r>
    </w:p>
    <w:p w:rsidR="00B31433" w:rsidRPr="007E3D67" w:rsidRDefault="00B31433" w:rsidP="002C72A4">
      <w:pPr>
        <w:pStyle w:val="Odstavecseseznamem"/>
        <w:spacing w:line="360" w:lineRule="auto"/>
        <w:rPr>
          <w:rFonts w:ascii="Times New Roman" w:eastAsiaTheme="minorEastAsia" w:hAnsi="Times New Roman" w:cs="Times New Roman"/>
        </w:rPr>
      </w:pPr>
    </w:p>
    <w:p w:rsidR="00237B79" w:rsidRPr="007E3D67" w:rsidRDefault="00237B79" w:rsidP="00E311BA">
      <w:pPr>
        <w:pStyle w:val="Odstavecseseznamem"/>
        <w:numPr>
          <w:ilvl w:val="0"/>
          <w:numId w:val="19"/>
        </w:numPr>
        <w:spacing w:line="360" w:lineRule="auto"/>
        <w:rPr>
          <w:rFonts w:ascii="Times New Roman" w:eastAsiaTheme="minorEastAsia" w:hAnsi="Times New Roman" w:cs="Times New Roman"/>
        </w:rPr>
      </w:pPr>
      <w:r w:rsidRPr="007E3D67">
        <w:rPr>
          <w:rFonts w:ascii="Times New Roman" w:eastAsiaTheme="minorEastAsia" w:hAnsi="Times New Roman" w:cs="Times New Roman"/>
        </w:rPr>
        <w:t xml:space="preserve">Dlouhodobé -  tento údaj získáme jako geometrický průměr meziročních temp růstu za sledované období. </w:t>
      </w:r>
      <w:r w:rsidR="00635039" w:rsidRPr="007E3D67">
        <w:rPr>
          <w:rFonts w:ascii="Times New Roman" w:eastAsiaTheme="minorEastAsia" w:hAnsi="Times New Roman" w:cs="Times New Roman"/>
        </w:rPr>
        <w:t>Výsledné hodnoty ukazují tendence a trendy, ke kterým v ekonomice dochází a mají přímý vztah na dlouhodobou životní úroveň.</w:t>
      </w:r>
    </w:p>
    <w:p w:rsidR="00B31433" w:rsidRPr="007E3D67" w:rsidRDefault="00B31433" w:rsidP="00B31433">
      <w:pPr>
        <w:rPr>
          <w:rFonts w:eastAsiaTheme="minorEastAsia"/>
        </w:rPr>
      </w:pPr>
    </w:p>
    <w:p w:rsidR="00635039" w:rsidRPr="007E3D67" w:rsidRDefault="00772073" w:rsidP="00635039">
      <w:pPr>
        <w:rPr>
          <w:rFonts w:eastAsiaTheme="minorEastAsia"/>
        </w:rPr>
      </w:pPr>
      <w:r w:rsidRPr="007E3D67">
        <w:rPr>
          <w:rFonts w:eastAsiaTheme="minorEastAsia"/>
        </w:rPr>
        <w:t>Při hodnocení úspěšnosti hospodářské politiky je třeba rozlišovat pojmy ekonomická síla a ekonomická úroveň. Ekonomická síla je dána absolutní výší H</w:t>
      </w:r>
      <w:r w:rsidR="00005719" w:rsidRPr="007E3D67">
        <w:rPr>
          <w:rFonts w:eastAsiaTheme="minorEastAsia"/>
        </w:rPr>
        <w:t>DP</w:t>
      </w:r>
      <w:r w:rsidRPr="007E3D67">
        <w:rPr>
          <w:rFonts w:eastAsiaTheme="minorEastAsia"/>
        </w:rPr>
        <w:t xml:space="preserve"> v dané zemi. Ekonomická úroveň je kalkulována jako podíl </w:t>
      </w:r>
      <w:r w:rsidR="00005719" w:rsidRPr="007E3D67">
        <w:rPr>
          <w:rFonts w:eastAsiaTheme="minorEastAsia"/>
        </w:rPr>
        <w:t xml:space="preserve">HDP na obyvatele země. Vyšší vypovídací hodnotu o reálném stavu ekonomiky má jistě HDP přepočítání na jednoho obyvatele. </w:t>
      </w:r>
    </w:p>
    <w:p w:rsidR="00645B2A" w:rsidRPr="007E3D67" w:rsidRDefault="00645B2A" w:rsidP="00F2481B"/>
    <w:p w:rsidR="001A6271" w:rsidRPr="007E3D67" w:rsidRDefault="001A6271" w:rsidP="00F2481B">
      <w:pPr>
        <w:rPr>
          <w:b/>
        </w:rPr>
      </w:pPr>
      <w:r w:rsidRPr="007E3D67">
        <w:rPr>
          <w:b/>
        </w:rPr>
        <w:t>Nezaměstnanost</w:t>
      </w:r>
    </w:p>
    <w:p w:rsidR="00832429" w:rsidRPr="007E3D67" w:rsidRDefault="00832429" w:rsidP="00F2481B">
      <w:pPr>
        <w:rPr>
          <w:b/>
        </w:rPr>
      </w:pPr>
    </w:p>
    <w:p w:rsidR="00D46FC5" w:rsidRPr="007E3D67" w:rsidRDefault="009A7283" w:rsidP="00D46FC5">
      <w:r w:rsidRPr="007E3D67">
        <w:t>Druhým klíčovým cílem hospodářské politiky je nezaměstnanost.</w:t>
      </w:r>
      <w:r w:rsidR="00D46FC5" w:rsidRPr="007E3D67">
        <w:t xml:space="preserve"> Z ekonomického pohledu představuje nezaměstnanost stav v národním hospodářství, kde část pracovního potenciálu společnosti nenalézá uplatnění nebo dobrovolně o toto uplatnění neusiluje. Statistika definuje nezaměstnaného jako osobu, která hledá práci, chce být činná jako zaměstnanec, není práce neschopn</w:t>
      </w:r>
      <w:r w:rsidR="005D5B3E" w:rsidRPr="007E3D67">
        <w:t>a</w:t>
      </w:r>
      <w:r w:rsidR="00D46FC5" w:rsidRPr="007E3D67">
        <w:t xml:space="preserve"> pro nemoc a není činná jako domácí dělník, pomáhající rodinný příslušník nebo samostatný podnikatel. </w:t>
      </w:r>
    </w:p>
    <w:p w:rsidR="00D46FC5" w:rsidRPr="007E3D67" w:rsidRDefault="00D46FC5" w:rsidP="00D46FC5"/>
    <w:p w:rsidR="00B21576" w:rsidRPr="007E3D67" w:rsidRDefault="005D5B3E" w:rsidP="00F96A9B">
      <w:r w:rsidRPr="007E3D67">
        <w:t>Nezaměstnanost se p</w:t>
      </w:r>
      <w:r w:rsidR="00D46FC5" w:rsidRPr="007E3D67">
        <w:t xml:space="preserve">odle příčin jejího vzniku se rozlišuje </w:t>
      </w:r>
      <w:r w:rsidRPr="007E3D67">
        <w:t>na</w:t>
      </w:r>
      <w:r w:rsidR="00D46FC5" w:rsidRPr="007E3D67">
        <w:t xml:space="preserve"> frikční (je způsobena např. nezaměstnaností v období mezi </w:t>
      </w:r>
      <w:r w:rsidRPr="007E3D67">
        <w:t>rozvázáním pracovního vztahu</w:t>
      </w:r>
      <w:r w:rsidR="00D46FC5" w:rsidRPr="007E3D67">
        <w:t xml:space="preserve"> a nástupem do</w:t>
      </w:r>
      <w:r w:rsidRPr="007E3D67">
        <w:t xml:space="preserve"> nového</w:t>
      </w:r>
      <w:r w:rsidR="00D46FC5" w:rsidRPr="007E3D67">
        <w:t xml:space="preserve"> místa),</w:t>
      </w:r>
      <w:r w:rsidRPr="007E3D67">
        <w:t xml:space="preserve"> </w:t>
      </w:r>
      <w:r w:rsidR="00D46FC5" w:rsidRPr="007E3D67">
        <w:t>strukturální (změny ve struktuře poptávky po pracovních silách jako důsledek permanentně probíhajících změn v hospodářství; jedná se spíše o dlouhodobý jev) a konjunkturní či cyklická (nedostatečná poptávka po pracovních silách způsobená objektivními výkyvy danými fází hospodářského cyklu)</w:t>
      </w:r>
      <w:r w:rsidR="00017F08" w:rsidRPr="007E3D67">
        <w:t>.</w:t>
      </w:r>
      <w:r w:rsidR="007F798F" w:rsidRPr="007E3D67">
        <w:t xml:space="preserve"> </w:t>
      </w:r>
      <w:r w:rsidR="00F96A9B" w:rsidRPr="007E3D67">
        <w:t>Sezónní nezaměstnanost je dána výkyvy v zaměstnanosti podmíněné ročními obdobími (</w:t>
      </w:r>
      <w:r w:rsidR="00017F08" w:rsidRPr="007E3D67">
        <w:t>především v</w:t>
      </w:r>
      <w:r w:rsidR="00F96A9B" w:rsidRPr="007E3D67">
        <w:t xml:space="preserve"> zemědělství, ve </w:t>
      </w:r>
      <w:r w:rsidR="00F96A9B" w:rsidRPr="007E3D67">
        <w:lastRenderedPageBreak/>
        <w:t>stavebnictví, apod.). Kromě registrované nezaměstnanosti</w:t>
      </w:r>
      <w:r w:rsidR="00017F08" w:rsidRPr="007E3D67">
        <w:t xml:space="preserve"> (občané registrováni na úřadech práce)</w:t>
      </w:r>
      <w:r w:rsidR="00F96A9B" w:rsidRPr="007E3D67">
        <w:t xml:space="preserve"> se může vyskytovat ještě nezaměstnanost skrytá v podobě prodlužování vzdělávání, předčasných odchodů do důchodu apod. Nezaměstnanost je nejčastěji vyjadřována mírou nezaměstnanosti (u), tzn. Jako </w:t>
      </w:r>
      <w:r w:rsidR="00CD3A50" w:rsidRPr="007E3D67">
        <w:t>procentuální</w:t>
      </w:r>
      <w:r w:rsidR="00F96A9B" w:rsidRPr="007E3D67">
        <w:t xml:space="preserve"> podíl nezaměstnaných (U) k celkovému počtu aktivního obyvatelstva</w:t>
      </w:r>
      <w:r w:rsidR="00986381" w:rsidRPr="007E3D67">
        <w:t xml:space="preserve"> (L).</w:t>
      </w:r>
      <w:r w:rsidR="00B31433" w:rsidRPr="007E3D67">
        <w:t xml:space="preserve"> Rovnice je popsána níže:</w:t>
      </w:r>
    </w:p>
    <w:p w:rsidR="00986381" w:rsidRPr="007E3D67" w:rsidRDefault="00986381" w:rsidP="00F96A9B"/>
    <w:p w:rsidR="00B21576" w:rsidRPr="007E3D67" w:rsidRDefault="00B31433" w:rsidP="00B31433">
      <w:pPr>
        <w:jc w:val="center"/>
      </w:pPr>
      <m:oMath>
        <m:r>
          <m:rPr>
            <m:sty m:val="p"/>
          </m:rPr>
          <w:rPr>
            <w:rFonts w:ascii="Cambria Math" w:hAnsi="Cambria Math"/>
          </w:rPr>
          <m:t>u</m:t>
        </m:r>
        <m:r>
          <m:rPr>
            <m:sty m:val="p"/>
          </m:rPr>
          <w:rPr>
            <w:rFonts w:ascii="Cambria Math"/>
          </w:rPr>
          <m:t>=</m:t>
        </m:r>
        <m:f>
          <m:fPr>
            <m:ctrlPr>
              <w:rPr>
                <w:rFonts w:ascii="Cambria Math" w:hAnsi="Cambria Math"/>
              </w:rPr>
            </m:ctrlPr>
          </m:fPr>
          <m:num>
            <m:r>
              <m:rPr>
                <m:sty m:val="p"/>
              </m:rPr>
              <w:rPr>
                <w:rFonts w:ascii="Cambria Math" w:hAnsi="Cambria Math"/>
              </w:rPr>
              <m:t>U</m:t>
            </m:r>
          </m:num>
          <m:den>
            <m:r>
              <m:rPr>
                <m:sty m:val="p"/>
              </m:rPr>
              <w:rPr>
                <w:rFonts w:ascii="Cambria Math" w:hAnsi="Cambria Math"/>
              </w:rPr>
              <m:t>L</m:t>
            </m:r>
          </m:den>
        </m:f>
        <m:r>
          <m:rPr>
            <m:sty m:val="p"/>
          </m:rPr>
          <w:rPr>
            <w:rFonts w:ascii="Cambria Math"/>
          </w:rPr>
          <m:t xml:space="preserve"> </m:t>
        </m:r>
        <m:r>
          <m:rPr>
            <m:sty m:val="p"/>
          </m:rPr>
          <w:rPr>
            <w:rFonts w:ascii="Cambria Math" w:hAnsi="Cambria Math"/>
          </w:rPr>
          <m:t>×</m:t>
        </m:r>
        <m:r>
          <m:rPr>
            <m:sty m:val="p"/>
          </m:rPr>
          <w:rPr>
            <w:rFonts w:ascii="Cambria Math"/>
          </w:rPr>
          <m:t>100=[%]</m:t>
        </m:r>
      </m:oMath>
      <w:r w:rsidRPr="007E3D67">
        <w:tab/>
      </w:r>
      <w:r w:rsidRPr="007E3D67">
        <w:tab/>
        <w:t>(2)</w:t>
      </w:r>
    </w:p>
    <w:p w:rsidR="00B31433" w:rsidRPr="007E3D67" w:rsidRDefault="00B31433" w:rsidP="00B31433">
      <w:pPr>
        <w:jc w:val="center"/>
      </w:pPr>
    </w:p>
    <w:p w:rsidR="001A6271" w:rsidRPr="007E3D67" w:rsidRDefault="00A34B68" w:rsidP="006B4AB4">
      <w:r w:rsidRPr="007E3D67">
        <w:t>E</w:t>
      </w:r>
      <w:r w:rsidR="00F96A9B" w:rsidRPr="007E3D67">
        <w:t>konomicky aktivní obyvatelstvo neboli pracovní síl</w:t>
      </w:r>
      <w:r w:rsidRPr="007E3D67">
        <w:t>u</w:t>
      </w:r>
      <w:r w:rsidR="00F96A9B" w:rsidRPr="007E3D67">
        <w:t xml:space="preserve"> (L) tvoří především lidé od ukončení povinné školní docházky do dosažení důchodového věku (tedy zaměstnaní i nezaměstnaní). Dále k nim musíme přičíst pracující důchodce a odečíst studenty, vězně, fyzicky a mentálně neschopné pracovat a ty lidi, kteří práci nehledají.</w:t>
      </w:r>
    </w:p>
    <w:p w:rsidR="00A83A4A" w:rsidRPr="007E3D67" w:rsidRDefault="00A83A4A" w:rsidP="006B4AB4"/>
    <w:p w:rsidR="00A83A4A" w:rsidRPr="007E3D67" w:rsidRDefault="00A83A4A" w:rsidP="006B4AB4">
      <w:pPr>
        <w:rPr>
          <w:b/>
        </w:rPr>
      </w:pPr>
      <w:r w:rsidRPr="007E3D67">
        <w:rPr>
          <w:b/>
        </w:rPr>
        <w:t>Přirozená míra nezaměstnanosti</w:t>
      </w:r>
    </w:p>
    <w:p w:rsidR="00A83A4A" w:rsidRPr="007E3D67" w:rsidRDefault="00A83A4A" w:rsidP="006B4AB4">
      <w:pPr>
        <w:rPr>
          <w:b/>
        </w:rPr>
      </w:pPr>
    </w:p>
    <w:p w:rsidR="0073166A" w:rsidRPr="007E3D67" w:rsidRDefault="0073166A" w:rsidP="006B4AB4">
      <w:r w:rsidRPr="007E3D67">
        <w:t xml:space="preserve">Definice cílů tvůrců hospodářské politiky v této oblasti není </w:t>
      </w:r>
      <w:r w:rsidR="00EB3E28" w:rsidRPr="007E3D67">
        <w:t>konzistentní</w:t>
      </w:r>
      <w:r w:rsidR="0037096A" w:rsidRPr="007E3D67">
        <w:t>.</w:t>
      </w:r>
      <w:r w:rsidRPr="007E3D67">
        <w:t xml:space="preserve"> </w:t>
      </w:r>
      <w:r w:rsidR="00A83A4A" w:rsidRPr="007E3D67">
        <w:t>Měla by to být nulová nezaměstnanost? Z definice jednotlivých typů nezaměstnanosti jasně vyplývá, že nikoliv. Např. frikční nezaměstnanost způsobená tím, že existuje určitý vyhledávací interval mezi dobou, kdy zaměstnanec opustí své pracovní místo a kdy najde místo nové, implikuje, že určitá úroveň nezaměstnanosti v ekonomice je nejenom přirozená, ale dokonce nutná. Vždy tedy v ekonomice existuje přirozená míra nezaměstnanosti, která je determinována strukturálními a dalšími setrvačnými silami ekonomiky a kterou nelze potlačit stimulací agregátní poptávky pomocí nástrojů hospodářské politiky.</w:t>
      </w:r>
      <w:r w:rsidRPr="007E3D67">
        <w:t xml:space="preserve"> Přirozená míra nezaměstnanosti je tak exaktně dána součtem frikční a strukturální míry nezaměstnanosti.</w:t>
      </w:r>
      <w:r w:rsidR="0037096A" w:rsidRPr="007E3D67">
        <w:t xml:space="preserve"> Tento pohled vychází z perspektivy keynesiánská koncepce přirozené míry nezaměstnanosti</w:t>
      </w:r>
    </w:p>
    <w:p w:rsidR="00EB3E28" w:rsidRPr="007E3D67" w:rsidRDefault="00EB3E28" w:rsidP="006B4AB4"/>
    <w:p w:rsidR="00A83A4A" w:rsidRDefault="00A83A4A" w:rsidP="006B4AB4">
      <w:r w:rsidRPr="007E3D67">
        <w:t>Od 70. let 20.</w:t>
      </w:r>
      <w:r w:rsidR="00585604" w:rsidRPr="007E3D67">
        <w:t xml:space="preserve"> </w:t>
      </w:r>
      <w:r w:rsidRPr="007E3D67">
        <w:t>století je spojen termín přirozené míry nezaměstnanosti s jinou ko</w:t>
      </w:r>
      <w:r w:rsidR="00CA19F2" w:rsidRPr="007E3D67">
        <w:t>ncepcí, jejími zastánci jsou monetaristé či neoklasici.</w:t>
      </w:r>
      <w:r w:rsidRPr="007E3D67">
        <w:t xml:space="preserve"> Jedná se o koncept tzv. NAIRU (Non Accelerating Inflation Rate of Unemployment). Její autor, americký ekonom Milton Friedman, spojuje přirozenou míru nezaměstnanosti s </w:t>
      </w:r>
      <w:r w:rsidR="000B6283" w:rsidRPr="007E3D67">
        <w:t>konkrétní</w:t>
      </w:r>
      <w:r w:rsidRPr="007E3D67">
        <w:t xml:space="preserve"> úrovní inflace. Podle něho je přirozená míra nezaměstnanosti definována jako úroveň nezaměstnanosti, při níž je míra inflace stabilní, tedy inflace ani neakceleruje, ani nedeceleruje. </w:t>
      </w:r>
      <w:r w:rsidR="00EC7EA9" w:rsidRPr="007E3D67">
        <w:t>Jinými slovy, optimem</w:t>
      </w:r>
      <w:r w:rsidRPr="007E3D67">
        <w:t xml:space="preserve"> je </w:t>
      </w:r>
      <w:r w:rsidRPr="007E3D67">
        <w:lastRenderedPageBreak/>
        <w:t xml:space="preserve">taková míra nezaměstnanosti, při které se míra inflace nemění, nikoliv při které je míra inflace nutně nízká nebo nulová. Bude-li např. v ekonomice 5% míra nezaměstnanosti a míra inflace se bude dlouhodobě udržovat třeba i na výši 10 %, jedná se o přirozenou míru nezaměstnanosti. Bude-li naopak míra nezaměstnanosti 5 % a míra inflace bude v prvním měřeném období 2 %, v dalším období 10 %, v dalším 1 % atd., o </w:t>
      </w:r>
      <w:r w:rsidR="00EC7EA9" w:rsidRPr="007E3D67">
        <w:t>přirozenou míru nezaměstnanosti se nejedná.</w:t>
      </w:r>
    </w:p>
    <w:p w:rsidR="009F49B5" w:rsidRPr="007E3D67" w:rsidRDefault="009F49B5" w:rsidP="009F49B5">
      <w:r>
        <w:t>(TOBIN 1998: 8)</w:t>
      </w:r>
    </w:p>
    <w:p w:rsidR="00A83A4A" w:rsidRPr="007E3D67" w:rsidRDefault="00A83A4A" w:rsidP="006B4AB4"/>
    <w:p w:rsidR="00D73FA9" w:rsidRPr="007E3D67" w:rsidRDefault="00A83A4A" w:rsidP="006B4AB4">
      <w:r w:rsidRPr="007E3D67">
        <w:t xml:space="preserve">Hodnotu přirozené míry nezaměstnanosti, tedy jakéhosi hospodářsko-politického optima, lze zjistit na základě sledování období, ve kterém je inflace stabilní. </w:t>
      </w:r>
    </w:p>
    <w:p w:rsidR="00D73FA9" w:rsidRPr="007E3D67" w:rsidRDefault="00D73FA9" w:rsidP="006B4AB4"/>
    <w:p w:rsidR="00D73FA9" w:rsidRPr="007E3D67" w:rsidRDefault="00D73FA9" w:rsidP="006B4AB4">
      <w:r w:rsidRPr="007E3D67">
        <w:t>F</w:t>
      </w:r>
      <w:r w:rsidR="00A83A4A" w:rsidRPr="007E3D67">
        <w:t>aktory, které určují př</w:t>
      </w:r>
      <w:r w:rsidRPr="007E3D67">
        <w:t xml:space="preserve">irozenou míru nezaměstnanosti: </w:t>
      </w:r>
    </w:p>
    <w:p w:rsidR="00D73FA9" w:rsidRPr="007E3D67" w:rsidRDefault="00D73FA9" w:rsidP="00E311BA">
      <w:pPr>
        <w:pStyle w:val="Odstavecseseznamem"/>
        <w:numPr>
          <w:ilvl w:val="0"/>
          <w:numId w:val="19"/>
        </w:numPr>
        <w:spacing w:line="360" w:lineRule="auto"/>
        <w:rPr>
          <w:rFonts w:ascii="Times New Roman" w:hAnsi="Times New Roman" w:cs="Times New Roman"/>
        </w:rPr>
      </w:pPr>
      <w:r w:rsidRPr="007E3D67">
        <w:rPr>
          <w:rFonts w:ascii="Times New Roman" w:hAnsi="Times New Roman" w:cs="Times New Roman"/>
        </w:rPr>
        <w:t>Výše podpor v nezaměstnanosti.</w:t>
      </w:r>
    </w:p>
    <w:p w:rsidR="00D73FA9" w:rsidRPr="007E3D67" w:rsidRDefault="00D73FA9" w:rsidP="00E311BA">
      <w:pPr>
        <w:pStyle w:val="Odstavecseseznamem"/>
        <w:numPr>
          <w:ilvl w:val="0"/>
          <w:numId w:val="19"/>
        </w:numPr>
        <w:spacing w:line="360" w:lineRule="auto"/>
        <w:rPr>
          <w:rFonts w:ascii="Times New Roman" w:hAnsi="Times New Roman" w:cs="Times New Roman"/>
        </w:rPr>
      </w:pPr>
      <w:r w:rsidRPr="007E3D67">
        <w:rPr>
          <w:rFonts w:ascii="Times New Roman" w:hAnsi="Times New Roman" w:cs="Times New Roman"/>
        </w:rPr>
        <w:t>D</w:t>
      </w:r>
      <w:r w:rsidR="00A83A4A" w:rsidRPr="007E3D67">
        <w:rPr>
          <w:rFonts w:ascii="Times New Roman" w:hAnsi="Times New Roman" w:cs="Times New Roman"/>
        </w:rPr>
        <w:t>oba, na kterou je podpora</w:t>
      </w:r>
      <w:r w:rsidRPr="007E3D67">
        <w:rPr>
          <w:rFonts w:ascii="Times New Roman" w:hAnsi="Times New Roman" w:cs="Times New Roman"/>
        </w:rPr>
        <w:t xml:space="preserve"> v nezaměstnanosti poskytována.</w:t>
      </w:r>
    </w:p>
    <w:p w:rsidR="00D73FA9" w:rsidRPr="007E3D67" w:rsidRDefault="00D73FA9" w:rsidP="00E311BA">
      <w:pPr>
        <w:pStyle w:val="Odstavecseseznamem"/>
        <w:numPr>
          <w:ilvl w:val="0"/>
          <w:numId w:val="19"/>
        </w:numPr>
        <w:spacing w:line="360" w:lineRule="auto"/>
        <w:rPr>
          <w:rFonts w:ascii="Times New Roman" w:hAnsi="Times New Roman" w:cs="Times New Roman"/>
        </w:rPr>
      </w:pPr>
      <w:r w:rsidRPr="007E3D67">
        <w:rPr>
          <w:rFonts w:ascii="Times New Roman" w:hAnsi="Times New Roman" w:cs="Times New Roman"/>
        </w:rPr>
        <w:t>O</w:t>
      </w:r>
      <w:r w:rsidR="00A83A4A" w:rsidRPr="007E3D67">
        <w:rPr>
          <w:rFonts w:ascii="Times New Roman" w:hAnsi="Times New Roman" w:cs="Times New Roman"/>
        </w:rPr>
        <w:t>rganizace trhu práce (např. existence nebo neexistence pracovních úřadů a efektivnost jejich činnost</w:t>
      </w:r>
      <w:r w:rsidRPr="007E3D67">
        <w:rPr>
          <w:rFonts w:ascii="Times New Roman" w:hAnsi="Times New Roman" w:cs="Times New Roman"/>
        </w:rPr>
        <w:t>i).</w:t>
      </w:r>
    </w:p>
    <w:p w:rsidR="00D73FA9" w:rsidRPr="007E3D67" w:rsidRDefault="00D73FA9" w:rsidP="00E311BA">
      <w:pPr>
        <w:pStyle w:val="Odstavecseseznamem"/>
        <w:numPr>
          <w:ilvl w:val="0"/>
          <w:numId w:val="19"/>
        </w:numPr>
        <w:spacing w:line="360" w:lineRule="auto"/>
        <w:rPr>
          <w:rFonts w:ascii="Times New Roman" w:hAnsi="Times New Roman" w:cs="Times New Roman"/>
        </w:rPr>
      </w:pPr>
      <w:r w:rsidRPr="007E3D67">
        <w:rPr>
          <w:rFonts w:ascii="Times New Roman" w:hAnsi="Times New Roman" w:cs="Times New Roman"/>
        </w:rPr>
        <w:t>V</w:t>
      </w:r>
      <w:r w:rsidR="00A83A4A" w:rsidRPr="007E3D67">
        <w:rPr>
          <w:rFonts w:ascii="Times New Roman" w:hAnsi="Times New Roman" w:cs="Times New Roman"/>
        </w:rPr>
        <w:t>ytrvalost a schopnost nezamě</w:t>
      </w:r>
      <w:r w:rsidRPr="007E3D67">
        <w:rPr>
          <w:rFonts w:ascii="Times New Roman" w:hAnsi="Times New Roman" w:cs="Times New Roman"/>
        </w:rPr>
        <w:t>stnaných při hledání zaměstnání.</w:t>
      </w:r>
    </w:p>
    <w:p w:rsidR="00D73FA9" w:rsidRPr="007E3D67" w:rsidRDefault="00D73FA9" w:rsidP="00E311BA">
      <w:pPr>
        <w:pStyle w:val="Odstavecseseznamem"/>
        <w:numPr>
          <w:ilvl w:val="0"/>
          <w:numId w:val="19"/>
        </w:numPr>
        <w:spacing w:line="360" w:lineRule="auto"/>
        <w:rPr>
          <w:rFonts w:ascii="Times New Roman" w:hAnsi="Times New Roman" w:cs="Times New Roman"/>
        </w:rPr>
      </w:pPr>
      <w:r w:rsidRPr="007E3D67">
        <w:rPr>
          <w:rFonts w:ascii="Times New Roman" w:hAnsi="Times New Roman" w:cs="Times New Roman"/>
        </w:rPr>
        <w:t>D</w:t>
      </w:r>
      <w:r w:rsidR="00A83A4A" w:rsidRPr="007E3D67">
        <w:rPr>
          <w:rFonts w:ascii="Times New Roman" w:hAnsi="Times New Roman" w:cs="Times New Roman"/>
        </w:rPr>
        <w:t>em</w:t>
      </w:r>
      <w:r w:rsidRPr="007E3D67">
        <w:rPr>
          <w:rFonts w:ascii="Times New Roman" w:hAnsi="Times New Roman" w:cs="Times New Roman"/>
        </w:rPr>
        <w:t>ografická skladba pracovní síly.</w:t>
      </w:r>
    </w:p>
    <w:p w:rsidR="00A83A4A" w:rsidRPr="007E3D67" w:rsidRDefault="00D73FA9" w:rsidP="00E311BA">
      <w:pPr>
        <w:pStyle w:val="Odstavecseseznamem"/>
        <w:numPr>
          <w:ilvl w:val="0"/>
          <w:numId w:val="19"/>
        </w:numPr>
        <w:spacing w:line="360" w:lineRule="auto"/>
        <w:rPr>
          <w:rFonts w:ascii="Times New Roman" w:hAnsi="Times New Roman" w:cs="Times New Roman"/>
        </w:rPr>
      </w:pPr>
      <w:r w:rsidRPr="007E3D67">
        <w:rPr>
          <w:rFonts w:ascii="Times New Roman" w:hAnsi="Times New Roman" w:cs="Times New Roman"/>
        </w:rPr>
        <w:t>S</w:t>
      </w:r>
      <w:r w:rsidR="00A83A4A" w:rsidRPr="007E3D67">
        <w:rPr>
          <w:rFonts w:ascii="Times New Roman" w:hAnsi="Times New Roman" w:cs="Times New Roman"/>
        </w:rPr>
        <w:t>trukturální parametry ekonomiky.</w:t>
      </w:r>
    </w:p>
    <w:p w:rsidR="00832429" w:rsidRDefault="00832429" w:rsidP="00832429"/>
    <w:p w:rsidR="00832429" w:rsidRPr="007E3D67" w:rsidRDefault="00832429" w:rsidP="00832429">
      <w:pPr>
        <w:rPr>
          <w:b/>
        </w:rPr>
      </w:pPr>
      <w:r w:rsidRPr="007E3D67">
        <w:rPr>
          <w:b/>
        </w:rPr>
        <w:t>Inflace</w:t>
      </w:r>
    </w:p>
    <w:p w:rsidR="00356FF4" w:rsidRPr="007E3D67" w:rsidRDefault="00356FF4" w:rsidP="00562606"/>
    <w:p w:rsidR="00562606" w:rsidRPr="007E3D67" w:rsidRDefault="00356FF4" w:rsidP="00562606">
      <w:r w:rsidRPr="007E3D67">
        <w:t>Inflace neboli růst</w:t>
      </w:r>
      <w:r w:rsidR="00562606" w:rsidRPr="007E3D67">
        <w:t xml:space="preserve"> všeobecné cenové hladiny. Inflace je měřena na základě cenových indexů,</w:t>
      </w:r>
      <w:r w:rsidRPr="007E3D67">
        <w:t xml:space="preserve"> </w:t>
      </w:r>
      <w:r w:rsidR="00562606" w:rsidRPr="007E3D67">
        <w:t xml:space="preserve">přičemž se může projevovat zjevným (otevřeným) růstem cenové hladiny, </w:t>
      </w:r>
      <w:r w:rsidR="00C64A0D" w:rsidRPr="007E3D67">
        <w:t>nebo</w:t>
      </w:r>
      <w:r w:rsidR="00562606" w:rsidRPr="007E3D67">
        <w:t xml:space="preserve"> může dojít ke skryté inflaci (problém výběrů statků zahrnutých např. do</w:t>
      </w:r>
      <w:r w:rsidRPr="007E3D67">
        <w:t xml:space="preserve"> </w:t>
      </w:r>
      <w:r w:rsidR="00562606" w:rsidRPr="007E3D67">
        <w:t>spotřebního koše, případně cenové regulace statků, důchodové politiky), která se</w:t>
      </w:r>
      <w:r w:rsidRPr="007E3D67">
        <w:t xml:space="preserve"> </w:t>
      </w:r>
      <w:r w:rsidR="00562606" w:rsidRPr="007E3D67">
        <w:t>pak projevuje jinou formou, jako např. růst vynucených úspor, stínová ekonomika</w:t>
      </w:r>
      <w:r w:rsidRPr="007E3D67">
        <w:t xml:space="preserve"> </w:t>
      </w:r>
      <w:r w:rsidR="00562606" w:rsidRPr="007E3D67">
        <w:t>(problém centrálně plánovaných ekonomik). Míru inflace lze vypočítat na základě</w:t>
      </w:r>
      <w:r w:rsidRPr="007E3D67">
        <w:t xml:space="preserve"> </w:t>
      </w:r>
      <w:r w:rsidR="00562606" w:rsidRPr="007E3D67">
        <w:t>tempa růstu cenové hladiny:</w:t>
      </w:r>
    </w:p>
    <w:p w:rsidR="00C64A0D" w:rsidRPr="007E3D67" w:rsidRDefault="00C64A0D" w:rsidP="00562606"/>
    <w:p w:rsidR="00932D8F" w:rsidRDefault="00932D8F" w:rsidP="00585604">
      <w:pPr>
        <w:jc w:val="center"/>
      </w:pPr>
    </w:p>
    <w:p w:rsidR="00932D8F" w:rsidRDefault="00932D8F" w:rsidP="00585604">
      <w:pPr>
        <w:jc w:val="center"/>
      </w:pPr>
    </w:p>
    <w:p w:rsidR="00C64A0D" w:rsidRPr="007E3D67" w:rsidRDefault="00C64A0D" w:rsidP="00585604">
      <w:pPr>
        <w:jc w:val="center"/>
      </w:pPr>
      <m:oMath>
        <m:r>
          <m:rPr>
            <m:sty m:val="p"/>
          </m:rPr>
          <w:rPr>
            <w:rFonts w:ascii="Cambria Math"/>
          </w:rPr>
          <w:lastRenderedPageBreak/>
          <m:t>M</m:t>
        </m:r>
        <m:r>
          <m:rPr>
            <m:sty m:val="p"/>
          </m:rPr>
          <m:t>í</m:t>
        </m:r>
        <m:r>
          <m:rPr>
            <m:sty m:val="p"/>
          </m:rPr>
          <w:rPr>
            <w:rFonts w:ascii="Cambria Math"/>
          </w:rPr>
          <m:t>ra inflace=</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m:rPr>
                        <m:sty m:val="p"/>
                      </m:rPr>
                      <w:rPr>
                        <w:rFonts w:ascii="Cambria Math"/>
                      </w:rPr>
                      <m:t>P</m:t>
                    </m:r>
                  </m:e>
                  <m:sub>
                    <m:r>
                      <m:rPr>
                        <m:sty m:val="p"/>
                      </m:rPr>
                      <w:rPr>
                        <w:rFonts w:ascii="Cambria Math"/>
                      </w:rPr>
                      <m:t>t</m:t>
                    </m:r>
                  </m:sub>
                </m:sSub>
                <m:r>
                  <m:rPr>
                    <m:sty m:val="p"/>
                  </m:rPr>
                  <m:t>-</m:t>
                </m:r>
                <m:sSub>
                  <m:sSubPr>
                    <m:ctrlPr>
                      <w:rPr>
                        <w:rFonts w:ascii="Cambria Math" w:hAnsi="Cambria Math"/>
                      </w:rPr>
                    </m:ctrlPr>
                  </m:sSubPr>
                  <m:e>
                    <m:r>
                      <m:rPr>
                        <m:sty m:val="p"/>
                      </m:rPr>
                      <w:rPr>
                        <w:rFonts w:ascii="Cambria Math"/>
                      </w:rPr>
                      <m:t>P</m:t>
                    </m:r>
                  </m:e>
                  <m:sub>
                    <m:r>
                      <m:rPr>
                        <m:sty m:val="p"/>
                      </m:rPr>
                      <w:rPr>
                        <w:rFonts w:ascii="Cambria Math"/>
                      </w:rPr>
                      <m:t>t</m:t>
                    </m:r>
                    <m:r>
                      <m:rPr>
                        <m:sty m:val="p"/>
                      </m:rPr>
                      <m:t>-</m:t>
                    </m:r>
                    <m:r>
                      <m:rPr>
                        <m:sty m:val="p"/>
                      </m:rPr>
                      <w:rPr>
                        <w:rFonts w:ascii="Cambria Math"/>
                      </w:rPr>
                      <m:t xml:space="preserve">1 </m:t>
                    </m:r>
                  </m:sub>
                </m:sSub>
              </m:num>
              <m:den>
                <m:sSub>
                  <m:sSubPr>
                    <m:ctrlPr>
                      <w:rPr>
                        <w:rFonts w:ascii="Cambria Math" w:hAnsi="Cambria Math"/>
                      </w:rPr>
                    </m:ctrlPr>
                  </m:sSubPr>
                  <m:e>
                    <m:r>
                      <m:rPr>
                        <m:sty m:val="p"/>
                      </m:rPr>
                      <w:rPr>
                        <w:rFonts w:ascii="Cambria Math"/>
                      </w:rPr>
                      <m:t>P</m:t>
                    </m:r>
                  </m:e>
                  <m:sub>
                    <m:r>
                      <m:rPr>
                        <m:sty m:val="p"/>
                      </m:rPr>
                      <w:rPr>
                        <w:rFonts w:ascii="Cambria Math"/>
                      </w:rPr>
                      <m:t>t</m:t>
                    </m:r>
                    <m:r>
                      <m:rPr>
                        <m:sty m:val="p"/>
                      </m:rPr>
                      <m:t>-</m:t>
                    </m:r>
                    <m:r>
                      <m:rPr>
                        <m:sty m:val="p"/>
                      </m:rPr>
                      <w:rPr>
                        <w:rFonts w:ascii="Cambria Math"/>
                      </w:rPr>
                      <m:t>1</m:t>
                    </m:r>
                  </m:sub>
                </m:sSub>
              </m:den>
            </m:f>
          </m:e>
        </m:d>
        <m:r>
          <m:rPr>
            <m:sty m:val="p"/>
          </m:rPr>
          <m:t>×</m:t>
        </m:r>
        <m:r>
          <m:rPr>
            <m:sty m:val="p"/>
          </m:rPr>
          <w:rPr>
            <w:rFonts w:ascii="Cambria Math"/>
          </w:rPr>
          <m:t>100=</m:t>
        </m:r>
        <m:r>
          <w:rPr>
            <w:rFonts w:ascii="Cambria Math"/>
          </w:rPr>
          <m:t>[%]</m:t>
        </m:r>
        <m:r>
          <m:rPr>
            <m:sty m:val="p"/>
          </m:rPr>
          <w:rPr>
            <w:rFonts w:ascii="Cambria Math"/>
          </w:rPr>
          <m:t xml:space="preserve"> </m:t>
        </m:r>
      </m:oMath>
      <w:r w:rsidR="00585604" w:rsidRPr="007E3D67">
        <w:tab/>
      </w:r>
      <w:r w:rsidR="00585604" w:rsidRPr="007E3D67">
        <w:tab/>
        <w:t>(3)</w:t>
      </w:r>
    </w:p>
    <w:p w:rsidR="00356FF4" w:rsidRPr="007E3D67" w:rsidRDefault="00356FF4" w:rsidP="00562606"/>
    <w:p w:rsidR="00240C92" w:rsidRPr="007E3D67" w:rsidRDefault="00240C92" w:rsidP="00562606">
      <w:r w:rsidRPr="007E3D67">
        <w:t xml:space="preserve">kde </w:t>
      </w:r>
      <m:oMath>
        <m:sSub>
          <m:sSubPr>
            <m:ctrlPr>
              <w:rPr>
                <w:rFonts w:ascii="Cambria Math" w:hAnsi="Cambria Math"/>
              </w:rPr>
            </m:ctrlPr>
          </m:sSubPr>
          <m:e>
            <m:r>
              <m:rPr>
                <m:sty m:val="p"/>
              </m:rPr>
              <w:rPr>
                <w:rFonts w:ascii="Cambria Math"/>
              </w:rPr>
              <m:t>P</m:t>
            </m:r>
          </m:e>
          <m:sub>
            <m:r>
              <m:rPr>
                <m:sty m:val="p"/>
              </m:rPr>
              <w:rPr>
                <w:rFonts w:ascii="Cambria Math"/>
              </w:rPr>
              <m:t>t</m:t>
            </m:r>
          </m:sub>
        </m:sSub>
      </m:oMath>
      <w:r w:rsidR="00562606" w:rsidRPr="007E3D67">
        <w:t xml:space="preserve"> představuje cenovou hladinu v čase (roce) t vyjádřenou pomocí některého</w:t>
      </w:r>
      <w:r w:rsidR="00356FF4" w:rsidRPr="007E3D67">
        <w:t xml:space="preserve"> </w:t>
      </w:r>
      <w:r w:rsidR="00562606" w:rsidRPr="007E3D67">
        <w:t xml:space="preserve">z cenových indexů (např. CPI) a </w:t>
      </w:r>
      <m:oMath>
        <m:sSub>
          <m:sSubPr>
            <m:ctrlPr>
              <w:rPr>
                <w:rFonts w:ascii="Cambria Math" w:hAnsi="Cambria Math"/>
              </w:rPr>
            </m:ctrlPr>
          </m:sSubPr>
          <m:e>
            <m:r>
              <m:rPr>
                <m:sty m:val="p"/>
              </m:rPr>
              <w:rPr>
                <w:rFonts w:ascii="Cambria Math"/>
              </w:rPr>
              <m:t>P</m:t>
            </m:r>
          </m:e>
          <m:sub>
            <m:r>
              <m:rPr>
                <m:sty m:val="p"/>
              </m:rPr>
              <w:rPr>
                <w:rFonts w:ascii="Cambria Math"/>
              </w:rPr>
              <m:t>t</m:t>
            </m:r>
            <m:r>
              <m:rPr>
                <m:sty m:val="p"/>
              </m:rPr>
              <m:t>-</m:t>
            </m:r>
            <m:r>
              <m:rPr>
                <m:sty m:val="p"/>
              </m:rPr>
              <w:rPr>
                <w:rFonts w:ascii="Cambria Math"/>
              </w:rPr>
              <m:t>1</m:t>
            </m:r>
          </m:sub>
        </m:sSub>
      </m:oMath>
      <w:r w:rsidR="00562606" w:rsidRPr="007E3D67">
        <w:t xml:space="preserve"> cenovou hladinu v předchozím období (roce).</w:t>
      </w:r>
      <w:r w:rsidR="00356FF4" w:rsidRPr="007E3D67">
        <w:t xml:space="preserve"> </w:t>
      </w:r>
    </w:p>
    <w:p w:rsidR="00240C92" w:rsidRPr="007E3D67" w:rsidRDefault="00240C92" w:rsidP="00562606"/>
    <w:p w:rsidR="00240C92" w:rsidRPr="007E3D67" w:rsidRDefault="00562606" w:rsidP="00562606">
      <w:r w:rsidRPr="007E3D67">
        <w:t>Z hlediska příčin inflace rozlišuje ekonomická teorie dvě formy (zdroje) inflace:</w:t>
      </w:r>
      <w:r w:rsidR="00356FF4" w:rsidRPr="007E3D67">
        <w:t xml:space="preserve"> </w:t>
      </w:r>
    </w:p>
    <w:p w:rsidR="00240C92" w:rsidRPr="007E3D67" w:rsidRDefault="00240C92" w:rsidP="00E311BA">
      <w:pPr>
        <w:pStyle w:val="Odstavecseseznamem"/>
        <w:numPr>
          <w:ilvl w:val="0"/>
          <w:numId w:val="20"/>
        </w:numPr>
        <w:rPr>
          <w:rFonts w:ascii="Times New Roman" w:hAnsi="Times New Roman" w:cs="Times New Roman"/>
        </w:rPr>
      </w:pPr>
      <w:r w:rsidRPr="007E3D67">
        <w:rPr>
          <w:rFonts w:ascii="Times New Roman" w:hAnsi="Times New Roman" w:cs="Times New Roman"/>
        </w:rPr>
        <w:t>P</w:t>
      </w:r>
      <w:r w:rsidR="00562606" w:rsidRPr="007E3D67">
        <w:rPr>
          <w:rFonts w:ascii="Times New Roman" w:hAnsi="Times New Roman" w:cs="Times New Roman"/>
        </w:rPr>
        <w:t>optávkovou infla</w:t>
      </w:r>
      <w:r w:rsidRPr="007E3D67">
        <w:rPr>
          <w:rFonts w:ascii="Times New Roman" w:hAnsi="Times New Roman" w:cs="Times New Roman"/>
        </w:rPr>
        <w:t>ci (inflaci taženou poptávkou).</w:t>
      </w:r>
    </w:p>
    <w:p w:rsidR="00240C92" w:rsidRPr="007E3D67" w:rsidRDefault="00240C92" w:rsidP="00E311BA">
      <w:pPr>
        <w:pStyle w:val="Odstavecseseznamem"/>
        <w:numPr>
          <w:ilvl w:val="0"/>
          <w:numId w:val="20"/>
        </w:numPr>
        <w:rPr>
          <w:rFonts w:ascii="Times New Roman" w:hAnsi="Times New Roman" w:cs="Times New Roman"/>
        </w:rPr>
      </w:pPr>
      <w:r w:rsidRPr="007E3D67">
        <w:rPr>
          <w:rFonts w:ascii="Times New Roman" w:hAnsi="Times New Roman" w:cs="Times New Roman"/>
        </w:rPr>
        <w:t>Nabídkovou inflaci (inflaci tlačenou náklady).</w:t>
      </w:r>
    </w:p>
    <w:p w:rsidR="00562606" w:rsidRPr="007E3D67" w:rsidRDefault="00562606" w:rsidP="00562606">
      <w:r w:rsidRPr="007E3D67">
        <w:t xml:space="preserve"> V případě poptávkové inflace je zdrojem inflace trvalý růst</w:t>
      </w:r>
      <w:r w:rsidR="00356FF4" w:rsidRPr="007E3D67">
        <w:t xml:space="preserve"> </w:t>
      </w:r>
      <w:r w:rsidRPr="007E3D67">
        <w:t>agregátní poptávky, který není doprovázen současným růstem potenciálního produktu.</w:t>
      </w:r>
      <w:r w:rsidR="00356FF4" w:rsidRPr="007E3D67">
        <w:t xml:space="preserve"> </w:t>
      </w:r>
      <w:r w:rsidRPr="007E3D67">
        <w:t>Ekonomické subjekty jsou tedy ochotny spotřebovávat větší produkt</w:t>
      </w:r>
      <w:r w:rsidR="00356FF4" w:rsidRPr="007E3D67">
        <w:t>,</w:t>
      </w:r>
      <w:r w:rsidRPr="007E3D67">
        <w:t xml:space="preserve"> než ekonomika vytváří, což je následně kompenzováno růstem cen (cenové hladiny).</w:t>
      </w:r>
      <w:r w:rsidR="00356FF4" w:rsidRPr="007E3D67">
        <w:t xml:space="preserve"> </w:t>
      </w:r>
      <w:r w:rsidRPr="007E3D67">
        <w:t>Příčiny růstu agregátní poptávky můžou být způsobeny vládní politikou (expanzivní</w:t>
      </w:r>
      <w:r w:rsidR="00356FF4" w:rsidRPr="007E3D67">
        <w:t xml:space="preserve"> </w:t>
      </w:r>
      <w:r w:rsidRPr="007E3D67">
        <w:t>fiskální politika), která se snaží trvale udržovat zaměstnanost nad přirozenou</w:t>
      </w:r>
      <w:r w:rsidR="00356FF4" w:rsidRPr="007E3D67">
        <w:t xml:space="preserve"> </w:t>
      </w:r>
      <w:r w:rsidRPr="007E3D67">
        <w:t>mírou nezaměstnanosti (např. prostřednictvím růstu vládních výdajů). Dalším zdrojem</w:t>
      </w:r>
      <w:r w:rsidR="00356FF4" w:rsidRPr="007E3D67">
        <w:t xml:space="preserve"> </w:t>
      </w:r>
      <w:r w:rsidRPr="007E3D67">
        <w:t>poptávkové inflace bývá expanzivní monetární politika centrální banky, resp.</w:t>
      </w:r>
      <w:r w:rsidR="00356FF4" w:rsidRPr="007E3D67">
        <w:t xml:space="preserve"> </w:t>
      </w:r>
      <w:r w:rsidRPr="007E3D67">
        <w:t>rychlejší tempo růstu peněžní nabídky než potenciálního produktu. Poptávková inflace</w:t>
      </w:r>
      <w:r w:rsidR="00356FF4" w:rsidRPr="007E3D67">
        <w:t xml:space="preserve"> </w:t>
      </w:r>
      <w:r w:rsidRPr="007E3D67">
        <w:t>se projevuje zejména za situace, pokud se ekonomika nachází na úrovni potenciálního</w:t>
      </w:r>
      <w:r w:rsidR="00356FF4" w:rsidRPr="007E3D67">
        <w:t xml:space="preserve"> </w:t>
      </w:r>
      <w:r w:rsidRPr="007E3D67">
        <w:t>produktu. Na druhé straně nabídková inflace bývá zapříčiněna růstem</w:t>
      </w:r>
      <w:r w:rsidR="00356FF4" w:rsidRPr="007E3D67">
        <w:t xml:space="preserve"> </w:t>
      </w:r>
      <w:r w:rsidRPr="007E3D67">
        <w:t>nákladů firem (negativní nabídkové šoky). Růst nákladů firem může být vyvolán</w:t>
      </w:r>
      <w:r w:rsidR="00585604" w:rsidRPr="007E3D67">
        <w:t xml:space="preserve"> </w:t>
      </w:r>
      <w:r w:rsidRPr="007E3D67">
        <w:t>růstem nominálních mzdových sazeb, které rostou rychleji než produktivita práce,</w:t>
      </w:r>
      <w:r w:rsidR="00356FF4" w:rsidRPr="007E3D67">
        <w:t xml:space="preserve"> </w:t>
      </w:r>
      <w:r w:rsidRPr="007E3D67">
        <w:t>růstem cen surovin a energie… Zvláštním případem nabídkové inflace je také</w:t>
      </w:r>
      <w:r w:rsidR="00356FF4" w:rsidRPr="007E3D67">
        <w:t xml:space="preserve"> </w:t>
      </w:r>
      <w:r w:rsidRPr="007E3D67">
        <w:t>„dovozová“ inflace, kdy (za určitých předpokladů – zejména závislost ekonomiky</w:t>
      </w:r>
      <w:r w:rsidR="00356FF4" w:rsidRPr="007E3D67">
        <w:t xml:space="preserve"> </w:t>
      </w:r>
      <w:r w:rsidRPr="007E3D67">
        <w:t>na dovážených surovinách) v důsledku vysoké devalvace nebo růstu cen surovin</w:t>
      </w:r>
      <w:r w:rsidR="00356FF4" w:rsidRPr="007E3D67">
        <w:t xml:space="preserve"> </w:t>
      </w:r>
      <w:r w:rsidRPr="007E3D67">
        <w:t>na světových trzích (ropné šoky) dochází k růstu míry inflace. Kromě poptávkové</w:t>
      </w:r>
      <w:r w:rsidR="00356FF4" w:rsidRPr="007E3D67">
        <w:t xml:space="preserve"> </w:t>
      </w:r>
      <w:r w:rsidRPr="007E3D67">
        <w:t>a nabídkové inflace může být inflační růst vyvolán také inflačními očekáváními.</w:t>
      </w:r>
      <w:r w:rsidR="00356FF4" w:rsidRPr="007E3D67">
        <w:t xml:space="preserve"> </w:t>
      </w:r>
      <w:r w:rsidRPr="007E3D67">
        <w:t>Tento typ inflace je spojen s očekáváním růstu ekonomickými subjekty, které predikují</w:t>
      </w:r>
      <w:r w:rsidR="00356FF4" w:rsidRPr="007E3D67">
        <w:t xml:space="preserve"> </w:t>
      </w:r>
      <w:r w:rsidRPr="007E3D67">
        <w:t>vývoj míry inflace (tzv. adaptivní očekávání). Firmy a domácnosti na základě</w:t>
      </w:r>
      <w:r w:rsidR="00356FF4" w:rsidRPr="007E3D67">
        <w:t xml:space="preserve"> </w:t>
      </w:r>
      <w:r w:rsidRPr="007E3D67">
        <w:t>předchozí míry inflace upravují svoje rozhodování o cenách, mzdách, případně</w:t>
      </w:r>
      <w:r w:rsidR="00356FF4" w:rsidRPr="007E3D67">
        <w:t xml:space="preserve"> </w:t>
      </w:r>
      <w:r w:rsidRPr="007E3D67">
        <w:t>úrokových sazbách. Odbory např. vyjednávají mzdové smlouvy (resp. požadavky</w:t>
      </w:r>
      <w:r w:rsidR="00356FF4" w:rsidRPr="007E3D67">
        <w:t xml:space="preserve"> </w:t>
      </w:r>
      <w:r w:rsidRPr="007E3D67">
        <w:t>na růst nominálních mezd) zpravidla v závislosti od předchozí míry inflace.</w:t>
      </w:r>
    </w:p>
    <w:p w:rsidR="00585604" w:rsidRPr="007E3D67" w:rsidRDefault="00585604" w:rsidP="00562606"/>
    <w:p w:rsidR="00832429" w:rsidRPr="007E3D67" w:rsidRDefault="00562606" w:rsidP="00356FF4">
      <w:r w:rsidRPr="007E3D67">
        <w:t>Inflace tak může pokračovat v ekonomice, aniž by existovaly reálné inflační tlaky</w:t>
      </w:r>
      <w:r w:rsidR="00356FF4" w:rsidRPr="007E3D67">
        <w:t xml:space="preserve"> </w:t>
      </w:r>
      <w:r w:rsidRPr="007E3D67">
        <w:t>v podobě poptávkových a nabídkových šoků. V případě, pokud by centrální banka</w:t>
      </w:r>
      <w:r w:rsidR="00356FF4" w:rsidRPr="007E3D67">
        <w:t xml:space="preserve"> </w:t>
      </w:r>
      <w:r w:rsidRPr="007E3D67">
        <w:t xml:space="preserve">růstu cenové </w:t>
      </w:r>
      <w:r w:rsidRPr="007E3D67">
        <w:lastRenderedPageBreak/>
        <w:t>hladiny přizpůsobovala tempo růstu peněžní nabídky, dochází</w:t>
      </w:r>
      <w:r w:rsidR="00356FF4" w:rsidRPr="007E3D67">
        <w:t xml:space="preserve"> </w:t>
      </w:r>
      <w:r w:rsidRPr="007E3D67">
        <w:t>k setrvačnosti inflace (inflace je vyvolaná samou inflací a jejím očekáváním). Vysoká</w:t>
      </w:r>
      <w:r w:rsidR="00356FF4" w:rsidRPr="007E3D67">
        <w:t xml:space="preserve"> </w:t>
      </w:r>
      <w:r w:rsidRPr="007E3D67">
        <w:t>míra inflace je projev makroekonomické nerovnováhy s negativním dopadem na</w:t>
      </w:r>
      <w:r w:rsidR="00356FF4" w:rsidRPr="007E3D67">
        <w:t xml:space="preserve"> </w:t>
      </w:r>
      <w:r w:rsidRPr="007E3D67">
        <w:t>ekonomiku. Dochází ke znehodnocování úspor (přerozdělovací efekt ve prospěch</w:t>
      </w:r>
      <w:r w:rsidR="00356FF4" w:rsidRPr="007E3D67">
        <w:t xml:space="preserve"> </w:t>
      </w:r>
      <w:r w:rsidRPr="007E3D67">
        <w:t>dlužníků, kteří splácejí svoje závazky „znehodnocenými“ penězi) k poklesu kupní</w:t>
      </w:r>
      <w:r w:rsidR="00356FF4" w:rsidRPr="007E3D67">
        <w:t xml:space="preserve"> </w:t>
      </w:r>
      <w:r w:rsidRPr="007E3D67">
        <w:t>síly, zejména pak v případě subjektů s fixními důchody, k taxflaci (při progresivní</w:t>
      </w:r>
      <w:r w:rsidR="00356FF4" w:rsidRPr="007E3D67">
        <w:t xml:space="preserve"> </w:t>
      </w:r>
      <w:r w:rsidRPr="007E3D67">
        <w:t>daňové sazbě rostoucí důchody v důsledku inflace přecházejí do vyššího zdaňovacího</w:t>
      </w:r>
      <w:r w:rsidR="00356FF4" w:rsidRPr="007E3D67">
        <w:t xml:space="preserve"> </w:t>
      </w:r>
      <w:r w:rsidRPr="007E3D67">
        <w:t>pásma), vysoká míra inflace také zhoršuje informace v tržní ekonomice, které</w:t>
      </w:r>
      <w:r w:rsidR="00356FF4" w:rsidRPr="007E3D67">
        <w:t xml:space="preserve"> </w:t>
      </w:r>
      <w:r w:rsidRPr="007E3D67">
        <w:t>jsou výsledkem cenového systému, a je tedy spojena s dodatečnými náklady.</w:t>
      </w:r>
      <w:r w:rsidR="00356FF4" w:rsidRPr="007E3D67">
        <w:t xml:space="preserve"> </w:t>
      </w:r>
      <w:r w:rsidR="00BC4659" w:rsidRPr="007E3D67">
        <w:t xml:space="preserve"> </w:t>
      </w:r>
      <w:r w:rsidR="001F1AF6">
        <w:t>(HOLMAN 2005:539)</w:t>
      </w:r>
    </w:p>
    <w:p w:rsidR="00610B89" w:rsidRPr="007E3D67" w:rsidRDefault="00610B89" w:rsidP="00356FF4"/>
    <w:p w:rsidR="00610B89" w:rsidRPr="007E3D67" w:rsidRDefault="00F2383E" w:rsidP="00356FF4">
      <w:pPr>
        <w:rPr>
          <w:b/>
        </w:rPr>
      </w:pPr>
      <w:r w:rsidRPr="007E3D67">
        <w:rPr>
          <w:b/>
        </w:rPr>
        <w:t>Pozitivní efekty inflace</w:t>
      </w:r>
    </w:p>
    <w:p w:rsidR="00AD471D" w:rsidRPr="007E3D67" w:rsidRDefault="00AD471D" w:rsidP="00356FF4">
      <w:pPr>
        <w:rPr>
          <w:b/>
        </w:rPr>
      </w:pPr>
    </w:p>
    <w:p w:rsidR="00F2383E" w:rsidRPr="007E3D67" w:rsidRDefault="00F2383E" w:rsidP="00F2383E">
      <w:r w:rsidRPr="007E3D67">
        <w:t>Inflace je považována za prospěšnou z důvodu, že stimuluje ekonomické subjekty k činnostem, které by bez její existence neprováděly. Pokud je inflace relativně nízká (okolo 2 %) a stabilní, potom může její existence motivovat zaměstnance k vyšší produktivitě práce (tedy k</w:t>
      </w:r>
      <w:r w:rsidR="007620EF" w:rsidRPr="007E3D67">
        <w:t> </w:t>
      </w:r>
      <w:r w:rsidRPr="007E3D67">
        <w:t>vyššímu</w:t>
      </w:r>
      <w:r w:rsidR="007620EF" w:rsidRPr="007E3D67">
        <w:t xml:space="preserve"> </w:t>
      </w:r>
      <w:r w:rsidRPr="007E3D67">
        <w:t>výstupu na pracovníka), protože budou očekávat pokles svých reálných mezd. Pokud nemají</w:t>
      </w:r>
      <w:r w:rsidR="007620EF" w:rsidRPr="007E3D67">
        <w:t xml:space="preserve"> </w:t>
      </w:r>
      <w:r w:rsidRPr="007E3D67">
        <w:t>zaměst</w:t>
      </w:r>
      <w:r w:rsidR="00AD471D" w:rsidRPr="007E3D67">
        <w:t>nanci silnou vyjednávací pozici</w:t>
      </w:r>
      <w:r w:rsidRPr="007E3D67">
        <w:t>, jediným způsobem, jak mohou dosáhnout zvýšení</w:t>
      </w:r>
      <w:r w:rsidR="007620EF" w:rsidRPr="007E3D67">
        <w:t xml:space="preserve"> </w:t>
      </w:r>
      <w:r w:rsidRPr="007E3D67">
        <w:t>nominálních mezd, je právě zvýšení produktivity (a tedy i ekonomického růstu). Následné</w:t>
      </w:r>
      <w:r w:rsidR="007620EF" w:rsidRPr="007E3D67">
        <w:t xml:space="preserve"> </w:t>
      </w:r>
      <w:r w:rsidRPr="007E3D67">
        <w:t>vyšší zisky podnikatelů je pomohou „přesvědčit“ o zvýšení mezd. Obdobně může vzejít impulz</w:t>
      </w:r>
      <w:r w:rsidR="007620EF" w:rsidRPr="007E3D67">
        <w:t xml:space="preserve"> </w:t>
      </w:r>
      <w:r w:rsidRPr="007E3D67">
        <w:t>ze strany zaměstnavatelů. Existuje-li inflace, potom zaměstnavatelé zvýší úměrně nominální</w:t>
      </w:r>
      <w:r w:rsidR="007620EF" w:rsidRPr="007E3D67">
        <w:t xml:space="preserve"> </w:t>
      </w:r>
      <w:r w:rsidRPr="007E3D67">
        <w:t>mzdy, avšak na oplátku požadují zefektivnění práce, tedy zvýšení produktivity. Uvědomíme-li</w:t>
      </w:r>
      <w:r w:rsidR="007620EF" w:rsidRPr="007E3D67">
        <w:t xml:space="preserve"> </w:t>
      </w:r>
      <w:r w:rsidRPr="007E3D67">
        <w:t>si, že technický pokrok je definován jako souhrnná produktivita výrobních faktorů, může</w:t>
      </w:r>
      <w:r w:rsidR="007620EF" w:rsidRPr="007E3D67">
        <w:t xml:space="preserve"> </w:t>
      </w:r>
      <w:r w:rsidRPr="007E3D67">
        <w:t>„přijatelná“ inflace zvýšit dlouhodobý ekonomický růst prostřednictvím zvýšení tempa růstu</w:t>
      </w:r>
      <w:r w:rsidR="007620EF" w:rsidRPr="007E3D67">
        <w:t xml:space="preserve"> </w:t>
      </w:r>
      <w:r w:rsidRPr="007E3D67">
        <w:t>technického pokroku.</w:t>
      </w:r>
      <w:r w:rsidR="00AD471D" w:rsidRPr="007E3D67">
        <w:t xml:space="preserve"> </w:t>
      </w:r>
      <w:r w:rsidRPr="007E3D67">
        <w:t>Obdobně může být růst ekonomiky ovlivněn inflací v tom smyslu, že podnítí úsilí investorů</w:t>
      </w:r>
      <w:r w:rsidR="007620EF" w:rsidRPr="007E3D67">
        <w:t xml:space="preserve"> </w:t>
      </w:r>
      <w:r w:rsidRPr="007E3D67">
        <w:t>efektivněji investovat kapitál. Efektivnější využití kapitálu pak povede k většímu ekonomickému</w:t>
      </w:r>
      <w:r w:rsidR="007620EF" w:rsidRPr="007E3D67">
        <w:t xml:space="preserve"> </w:t>
      </w:r>
      <w:r w:rsidRPr="007E3D67">
        <w:t>růstu.</w:t>
      </w:r>
    </w:p>
    <w:p w:rsidR="00585604" w:rsidRPr="007E3D67" w:rsidRDefault="00585604" w:rsidP="00F2383E"/>
    <w:p w:rsidR="00F2383E" w:rsidRDefault="00F2383E" w:rsidP="00F2383E">
      <w:r w:rsidRPr="007E3D67">
        <w:t>Tzv. Tobinův efekt ukazuje, že zvýšení inflace vede ke změně portfolia ekonomických subjektů,</w:t>
      </w:r>
      <w:r w:rsidR="007620EF" w:rsidRPr="007E3D67">
        <w:t xml:space="preserve"> </w:t>
      </w:r>
      <w:r w:rsidRPr="007E3D67">
        <w:t>a tedy k přesunu držby peněz směrem k bankovním vkladům z důvodu zvýšených alternativních</w:t>
      </w:r>
      <w:r w:rsidR="007620EF" w:rsidRPr="007E3D67">
        <w:t xml:space="preserve"> </w:t>
      </w:r>
      <w:r w:rsidRPr="007E3D67">
        <w:t>nákladů držby peněz. Inflace zvyšuje míru úspor, akumulaci kapitálu a ekonomický růst.</w:t>
      </w:r>
      <w:r w:rsidR="007620EF" w:rsidRPr="007E3D67">
        <w:t xml:space="preserve"> </w:t>
      </w:r>
      <w:r w:rsidRPr="007E3D67">
        <w:t>Přijatelná inflace pak „maže kola průmyslu“. Dalším argumentem pro to, aby v</w:t>
      </w:r>
      <w:r w:rsidR="007620EF" w:rsidRPr="007E3D67">
        <w:t> </w:t>
      </w:r>
      <w:r w:rsidRPr="007E3D67">
        <w:t>ekonomice</w:t>
      </w:r>
      <w:r w:rsidR="007620EF" w:rsidRPr="007E3D67">
        <w:t xml:space="preserve"> </w:t>
      </w:r>
      <w:r w:rsidRPr="007E3D67">
        <w:t xml:space="preserve">byla udržována určitá úroveň inflace, je to, že růst cenové hladiny </w:t>
      </w:r>
      <w:r w:rsidRPr="007E3D67">
        <w:lastRenderedPageBreak/>
        <w:t>může být způsoben zvyšující</w:t>
      </w:r>
      <w:r w:rsidR="007620EF" w:rsidRPr="007E3D67">
        <w:t xml:space="preserve"> </w:t>
      </w:r>
      <w:r w:rsidR="00AD471D" w:rsidRPr="007E3D67">
        <w:t>se kvalitou výrobků a služeb</w:t>
      </w:r>
      <w:r w:rsidRPr="007E3D67">
        <w:t>.</w:t>
      </w:r>
      <w:r w:rsidR="007620EF" w:rsidRPr="007E3D67">
        <w:t xml:space="preserve"> </w:t>
      </w:r>
      <w:r w:rsidRPr="007E3D67">
        <w:t>Jiným důvodem pro určitou úroveň inflace v ekonomice je to, že inflaci nelze přesně měřit,</w:t>
      </w:r>
      <w:r w:rsidR="007620EF" w:rsidRPr="007E3D67">
        <w:t xml:space="preserve"> </w:t>
      </w:r>
      <w:r w:rsidRPr="007E3D67">
        <w:t>a proto je vhodné si ponechat jistou „inflační rezervu</w:t>
      </w:r>
      <w:r w:rsidR="00AD471D" w:rsidRPr="007E3D67">
        <w:t>.</w:t>
      </w:r>
      <w:r w:rsidRPr="007E3D67">
        <w:t>“ Z krátkodobého hlediska lze navíc</w:t>
      </w:r>
      <w:r w:rsidR="007620EF" w:rsidRPr="007E3D67">
        <w:t xml:space="preserve"> </w:t>
      </w:r>
      <w:r w:rsidRPr="007E3D67">
        <w:t>považovat určitou krátkodobou míru inflace za přijatelnou, pokud se jedná o doprovodný</w:t>
      </w:r>
      <w:r w:rsidR="007620EF" w:rsidRPr="007E3D67">
        <w:t xml:space="preserve"> </w:t>
      </w:r>
      <w:r w:rsidRPr="007E3D67">
        <w:t>efekt výrazného ekonomického růstu</w:t>
      </w:r>
      <w:r w:rsidR="00AD471D" w:rsidRPr="007E3D67">
        <w:t>.</w:t>
      </w:r>
      <w:r w:rsidR="007620EF" w:rsidRPr="007E3D67">
        <w:t xml:space="preserve"> </w:t>
      </w:r>
    </w:p>
    <w:p w:rsidR="00596475" w:rsidRPr="007E3D67" w:rsidRDefault="00596475" w:rsidP="00F2383E">
      <w:r>
        <w:t xml:space="preserve">(TOBIN 1998: </w:t>
      </w:r>
      <w:r w:rsidR="00C1044F">
        <w:t>12</w:t>
      </w:r>
      <w:r>
        <w:t>)</w:t>
      </w:r>
    </w:p>
    <w:p w:rsidR="000560E3" w:rsidRPr="007E3D67" w:rsidRDefault="000560E3" w:rsidP="00F2383E"/>
    <w:p w:rsidR="000560E3" w:rsidRPr="007E3D67" w:rsidRDefault="000560E3" w:rsidP="00F2383E">
      <w:pPr>
        <w:rPr>
          <w:b/>
        </w:rPr>
      </w:pPr>
      <w:r w:rsidRPr="007E3D67">
        <w:rPr>
          <w:b/>
        </w:rPr>
        <w:t>Negativní efekty inflace a náklady inflace</w:t>
      </w:r>
    </w:p>
    <w:p w:rsidR="000560E3" w:rsidRPr="007E3D67" w:rsidRDefault="000560E3" w:rsidP="00F2383E">
      <w:pPr>
        <w:rPr>
          <w:b/>
        </w:rPr>
      </w:pPr>
    </w:p>
    <w:p w:rsidR="000560E3" w:rsidRPr="007E3D67" w:rsidRDefault="005442EA" w:rsidP="000560E3">
      <w:r w:rsidRPr="007E3D67">
        <w:t>Při evaluaci negativních efektů inflace je třeba</w:t>
      </w:r>
      <w:r w:rsidR="000560E3" w:rsidRPr="007E3D67">
        <w:t xml:space="preserve"> </w:t>
      </w:r>
      <w:r w:rsidRPr="007E3D67">
        <w:t>rozlišit</w:t>
      </w:r>
      <w:r w:rsidR="000560E3" w:rsidRPr="007E3D67">
        <w:t xml:space="preserve">, zda je inflace anticipovaná (předvídaná a očekávaná) nebo neanticipovaná. </w:t>
      </w:r>
      <w:r w:rsidRPr="007E3D67">
        <w:t xml:space="preserve">Neanticipovaná </w:t>
      </w:r>
      <w:r w:rsidR="000560E3" w:rsidRPr="007E3D67">
        <w:t>inflace</w:t>
      </w:r>
      <w:r w:rsidRPr="007E3D67">
        <w:t xml:space="preserve"> </w:t>
      </w:r>
      <w:r w:rsidR="000560E3" w:rsidRPr="007E3D67">
        <w:t>způsobuje redistribuční náklady, a to mezi věřiteli a dlužníky, zaměstnanci a zaměstnavateli, resp. jednotlivcem a státem. Inflace ovlivňuje vztah mezi věřiteli a dlužníky v tom smyslu, že podporuje odkládání splátek dluhů, což může znevýhodňovat věřitele, a tedy i jejich ochotu financovat výrobu. Pokud je vztah věřitel-dlužník dostatečně „</w:t>
      </w:r>
      <w:r w:rsidRPr="007E3D67">
        <w:t>kryt</w:t>
      </w:r>
      <w:r w:rsidR="000560E3" w:rsidRPr="007E3D67">
        <w:t>“ výnosem z úvěru (např. úrokovou mírou) vzhledem k inflaci, mohou být tyto efekty eliminovány. Činnosti spojené s eliminací rizika věřitelů však zůstanou nadále neefektivní.</w:t>
      </w:r>
    </w:p>
    <w:p w:rsidR="000560E3" w:rsidRPr="007E3D67" w:rsidRDefault="000560E3" w:rsidP="000560E3"/>
    <w:p w:rsidR="000560E3" w:rsidRPr="007E3D67" w:rsidRDefault="005442EA" w:rsidP="000560E3">
      <w:r w:rsidRPr="007E3D67">
        <w:t>Analýzou vztahu</w:t>
      </w:r>
      <w:r w:rsidR="000560E3" w:rsidRPr="007E3D67">
        <w:t xml:space="preserve"> mezi zaměstnanci a zaměstnavateli, </w:t>
      </w:r>
      <w:r w:rsidRPr="007E3D67">
        <w:t>lze dojít k závěru</w:t>
      </w:r>
      <w:r w:rsidR="000560E3" w:rsidRPr="007E3D67">
        <w:t xml:space="preserve">, že inflace může vést ke krátkodobým změnám výstupu. Při nedokonalé indexaci vede inflace k redistribuci bohatství z toho důvodu, že zaměstnavatelé díky vyšším cenám realizují vyšší zisky na úkor zaměstnanců, kterým klesají jejich reálné mzdy. Kromě toho, nízké mzdy (tzn. nízké reálné náklady firem) způsobí krátkodobý růst produkce. Inflace může proto vést ke krátkodobým výchylkám v úrovni produkce. Tyto změny mohou negativně ovlivnit tempo růstu potenciálního produktu. Inflace tak může prostřednictvím redistribuce bohatství mezi zaměstnanci a zaměstnavateli vést k poklesu produktivity práce, a tedy ke snížení ekonomického růstu. Podobně negativní efekt má inflace z důvodu, že vede k přerozdělení příjmů a bohatství mezi jednotlivcem a státem. Pokud existuje progresivní daňová sazba, projeví se zvýšení nominálních mezd, které bylo důsledkem inflace, v posunu příjmů do vyššího daňového </w:t>
      </w:r>
      <w:r w:rsidR="009F1424" w:rsidRPr="007E3D67">
        <w:t>pásma.</w:t>
      </w:r>
      <w:r w:rsidR="000560E3" w:rsidRPr="007E3D67">
        <w:t xml:space="preserve"> Jednotlivci potom zůstává menší reálný důchod, a to i přesto, že zaměstnavatel mu vliv inflace eliminoval růstem nominálních mezd. To vše vede opět ke snížení jeho produktivity práce a ke snížení makroekonomického výstupu. Ekonomové </w:t>
      </w:r>
      <w:r w:rsidR="000560E3" w:rsidRPr="007E3D67">
        <w:lastRenderedPageBreak/>
        <w:t xml:space="preserve">navíc předpokládají, že rostoucí vládní spotřeba, která vznikla v důsledku vyšších vybraných daní, má negativní efekt na dlouhodobý ekonomický růst, </w:t>
      </w:r>
      <w:r w:rsidR="00FC2C3D" w:rsidRPr="007E3D67">
        <w:t>tzn., že</w:t>
      </w:r>
      <w:r w:rsidR="000560E3" w:rsidRPr="007E3D67">
        <w:t xml:space="preserve"> vládní spotřeba je vynakládaná méně efektivně než potenciální spotřeba soukromá. Obecně se také soudí, že redistribuce bohatství mezi jednotlivcem a státem má, přes nesporný sociální efekt, negativní vliv na efektivní vytváření rozhodnutí ekonomických subjektů v reakci na tržní signály. Stejně tak i neprogresivní daňový systém může snižovat ekonomický růst v důsledku omezení investic do výrobních kapacit. To je způsobeno vlivem odpisové sazby. Vzhledem k tomu, že odpisy bývají většinou počítány z pořizovací ceny, tedy z ceny nezatížené následnou inflací, vede inflace k růstu nominálních příjmů firem, avšak při stávajících nákladech (daných relativně nízkými odpisy). Následný vyšší zisk pak podléhá zdanění. Firmy tak logicky investují do finančních aktiv či zásob, které </w:t>
      </w:r>
      <w:r w:rsidR="009F1424" w:rsidRPr="007E3D67">
        <w:t xml:space="preserve">lze relativně rychle odepsat. </w:t>
      </w:r>
      <w:r w:rsidR="000560E3" w:rsidRPr="007E3D67">
        <w:t>Tato minimalizace ztrát způsobených inflací znevýhodňuje investice do dlouhodobých investičních celků, které významným způsobem determinují dlouhodobý ekonomický růst. Shodně má pak neanticipovaná i anticipovaná inflace další, i když méně významné náklady, způsobující neefektivní činnosti.</w:t>
      </w:r>
      <w:r w:rsidR="00C46FBD" w:rsidRPr="007E3D67">
        <w:t xml:space="preserve"> Dle </w:t>
      </w:r>
      <w:r w:rsidR="00C46FBD" w:rsidRPr="00FC2C3D">
        <w:t xml:space="preserve">autora </w:t>
      </w:r>
      <w:r w:rsidR="0025333C" w:rsidRPr="00FC2C3D">
        <w:t>(MANKIW</w:t>
      </w:r>
      <w:r w:rsidR="00C46FBD" w:rsidRPr="00FC2C3D">
        <w:t xml:space="preserve"> </w:t>
      </w:r>
      <w:r w:rsidR="0025333C" w:rsidRPr="00FC2C3D">
        <w:t>1998:</w:t>
      </w:r>
      <w:r w:rsidR="00C46FBD" w:rsidRPr="00FC2C3D">
        <w:t>87-147</w:t>
      </w:r>
      <w:r w:rsidR="0025333C" w:rsidRPr="00FC2C3D">
        <w:t>)</w:t>
      </w:r>
      <w:r w:rsidR="000560E3" w:rsidRPr="00FC2C3D">
        <w:t xml:space="preserve"> </w:t>
      </w:r>
      <w:r w:rsidR="001A31C4" w:rsidRPr="00FC2C3D">
        <w:t>p</w:t>
      </w:r>
      <w:r w:rsidR="000560E3" w:rsidRPr="00FC2C3D">
        <w:t>řeceňovací náklady (menu costs) způsobují neproduktivní náklady, jakými jsou náklady na výrobu nových cenovek, jídelních lístků, uzavírání nových smluv apod. Tyto náklady</w:t>
      </w:r>
      <w:r w:rsidR="000560E3" w:rsidRPr="007E3D67">
        <w:t xml:space="preserve"> by při cenové stabilitě neexistovaly. </w:t>
      </w:r>
    </w:p>
    <w:p w:rsidR="009F1424" w:rsidRPr="007E3D67" w:rsidRDefault="009F1424" w:rsidP="000560E3"/>
    <w:p w:rsidR="000560E3" w:rsidRPr="007E3D67" w:rsidRDefault="000560E3" w:rsidP="000560E3">
      <w:r w:rsidRPr="007E3D67">
        <w:t xml:space="preserve">V předchozím textu byly popsány kanály, kterými může inflace ovlivnit dlouhodobý ekonomický růst a redistribuci bohatství. Obdobným způsobem může na ekonomický růst negativně působit nestabilní inflace. Nestabilní, resp. nepředvídatelná inflace a s ní spojená inflační nejistota, vede ke snížení motivace ekonomických subjektů spořit a investovat. Vzhledem k tomu, že investice jsou rozhodujícím faktorem ovlivňujícím ekonomický růst, může tím variabilní inflace trend dlouhodobého ekonomického růstu snížit. Stejně tak může inflační nejistota snížit motivaci pracovníků k práci, a tedy snížit jejich produktivitu. To potom vede ke snížení souhrnné produktivity výrobních faktorů, tzn. tempa růstu technického pokroku. V zásadě je třeba konstatovat, že nestabilní inflace může „podkopat“ dlouhodobý ekonomický růst tím, že snižuje efektivnost fungování trhů. Z výše uvedeného by se zdálo, že </w:t>
      </w:r>
      <w:r w:rsidR="009F1424" w:rsidRPr="007E3D67">
        <w:t>nejlepším řešením je</w:t>
      </w:r>
      <w:r w:rsidRPr="007E3D67">
        <w:t xml:space="preserve"> cenová stabilita a nízká či nulová inflace. K dosažení cenové stability je však nutno provést monetá</w:t>
      </w:r>
      <w:r w:rsidR="009F1424" w:rsidRPr="007E3D67">
        <w:t>rní či fiskální restrikci, jej</w:t>
      </w:r>
      <w:r w:rsidR="0024588F" w:rsidRPr="007E3D67">
        <w:t>í</w:t>
      </w:r>
      <w:r w:rsidR="009F1424" w:rsidRPr="007E3D67">
        <w:t>ž finanční náročnost může být značná</w:t>
      </w:r>
      <w:r w:rsidRPr="007E3D67">
        <w:t xml:space="preserve">. Náklady v podobě ztráty výstupu nazýváme dezinflačními </w:t>
      </w:r>
      <w:r w:rsidRPr="007E3D67">
        <w:lastRenderedPageBreak/>
        <w:t xml:space="preserve">náklady. Chce-li hospodářská autorita snížit míru inflace, měla by tedy porovnat náklady dezinflace s náklady pokračující stávající inflace a poté se rozhodnout pro vhodné tempo dezinflace. Zde je nutno zmínit, že náklady udržování inflace na současné úrovni jsou dlouhotrvající, zatímco ztráta výstupu při dezinflační politice je obvykle pouze jednorázová. </w:t>
      </w:r>
    </w:p>
    <w:p w:rsidR="00C84C84" w:rsidRPr="007E3D67" w:rsidRDefault="00C84C84" w:rsidP="00C84C84">
      <w:r w:rsidRPr="007E3D67">
        <w:t>(Ž</w:t>
      </w:r>
      <w:r w:rsidR="001A31C4" w:rsidRPr="007E3D67">
        <w:t>ÁK</w:t>
      </w:r>
      <w:r w:rsidR="0002485D" w:rsidRPr="007E3D67">
        <w:t xml:space="preserve"> </w:t>
      </w:r>
      <w:r w:rsidRPr="007E3D67">
        <w:t xml:space="preserve"> 20</w:t>
      </w:r>
      <w:r w:rsidR="001A31C4" w:rsidRPr="007E3D67">
        <w:t>0</w:t>
      </w:r>
      <w:r w:rsidRPr="007E3D67">
        <w:t>7</w:t>
      </w:r>
      <w:r w:rsidR="001A31C4" w:rsidRPr="007E3D67">
        <w:t xml:space="preserve">: </w:t>
      </w:r>
      <w:r w:rsidRPr="007E3D67">
        <w:t>20-2</w:t>
      </w:r>
      <w:r w:rsidR="00121D98" w:rsidRPr="007E3D67">
        <w:t>3</w:t>
      </w:r>
      <w:r w:rsidRPr="007E3D67">
        <w:t>)</w:t>
      </w:r>
    </w:p>
    <w:p w:rsidR="00E0394E" w:rsidRPr="007E3D67" w:rsidRDefault="00E0394E" w:rsidP="000560E3"/>
    <w:p w:rsidR="00E0394E" w:rsidRPr="007E3D67" w:rsidRDefault="00E0394E" w:rsidP="000560E3">
      <w:pPr>
        <w:rPr>
          <w:b/>
        </w:rPr>
      </w:pPr>
      <w:r w:rsidRPr="007E3D67">
        <w:rPr>
          <w:b/>
        </w:rPr>
        <w:t>Měření inflace</w:t>
      </w:r>
    </w:p>
    <w:p w:rsidR="00E0394E" w:rsidRPr="007E3D67" w:rsidRDefault="00E0394E" w:rsidP="000560E3"/>
    <w:p w:rsidR="00F553F4" w:rsidRDefault="00554416" w:rsidP="000560E3">
      <w:r w:rsidRPr="007E3D67">
        <w:t>Inflace je z matematického hlediska v podstatě tempo růstu cenové hladiny. Při měření inflace je tedy nutné zjistit výši cenové hladiny v ekonomice. Ukazatele cenové hladiny se nazývají cenové indexy. Nejčastěji bývají používány 3 základní typy:</w:t>
      </w:r>
    </w:p>
    <w:p w:rsidR="00FC2C3D" w:rsidRPr="007E3D67" w:rsidRDefault="00FC2C3D" w:rsidP="000560E3"/>
    <w:p w:rsidR="00554416" w:rsidRPr="007E3D67" w:rsidRDefault="00554416" w:rsidP="00E311BA">
      <w:pPr>
        <w:pStyle w:val="Odstavecseseznamem"/>
        <w:numPr>
          <w:ilvl w:val="0"/>
          <w:numId w:val="21"/>
        </w:numPr>
        <w:rPr>
          <w:rFonts w:ascii="Times New Roman" w:hAnsi="Times New Roman" w:cs="Times New Roman"/>
        </w:rPr>
      </w:pPr>
      <w:r w:rsidRPr="007E3D67">
        <w:rPr>
          <w:rFonts w:ascii="Times New Roman" w:hAnsi="Times New Roman" w:cs="Times New Roman"/>
        </w:rPr>
        <w:t>Index spotřebitelských cen.</w:t>
      </w:r>
    </w:p>
    <w:p w:rsidR="00554416" w:rsidRPr="007E3D67" w:rsidRDefault="00554416" w:rsidP="00E311BA">
      <w:pPr>
        <w:pStyle w:val="Odstavecseseznamem"/>
        <w:numPr>
          <w:ilvl w:val="0"/>
          <w:numId w:val="21"/>
        </w:numPr>
        <w:rPr>
          <w:rFonts w:ascii="Times New Roman" w:hAnsi="Times New Roman" w:cs="Times New Roman"/>
        </w:rPr>
      </w:pPr>
      <w:r w:rsidRPr="007E3D67">
        <w:rPr>
          <w:rFonts w:ascii="Times New Roman" w:hAnsi="Times New Roman" w:cs="Times New Roman"/>
        </w:rPr>
        <w:t>Implicitní cenový deflátor (deflátor HDP)</w:t>
      </w:r>
      <w:r w:rsidR="00D16E37" w:rsidRPr="007E3D67">
        <w:rPr>
          <w:rFonts w:ascii="Times New Roman" w:hAnsi="Times New Roman" w:cs="Times New Roman"/>
        </w:rPr>
        <w:t>.</w:t>
      </w:r>
    </w:p>
    <w:p w:rsidR="00554416" w:rsidRPr="007E3D67" w:rsidRDefault="00554416" w:rsidP="00E311BA">
      <w:pPr>
        <w:pStyle w:val="Odstavecseseznamem"/>
        <w:numPr>
          <w:ilvl w:val="0"/>
          <w:numId w:val="21"/>
        </w:numPr>
        <w:rPr>
          <w:rFonts w:ascii="Times New Roman" w:hAnsi="Times New Roman" w:cs="Times New Roman"/>
        </w:rPr>
      </w:pPr>
      <w:r w:rsidRPr="007E3D67">
        <w:rPr>
          <w:rFonts w:ascii="Times New Roman" w:hAnsi="Times New Roman" w:cs="Times New Roman"/>
        </w:rPr>
        <w:t>Index cen průmyslové produkce</w:t>
      </w:r>
      <w:r w:rsidR="00D16E37" w:rsidRPr="007E3D67">
        <w:rPr>
          <w:rFonts w:ascii="Times New Roman" w:hAnsi="Times New Roman" w:cs="Times New Roman"/>
        </w:rPr>
        <w:t>.</w:t>
      </w:r>
    </w:p>
    <w:p w:rsidR="00C84C84" w:rsidRPr="007E3D67" w:rsidRDefault="00C84C84" w:rsidP="000560E3"/>
    <w:p w:rsidR="00F553F4" w:rsidRDefault="00C84C84" w:rsidP="000560E3">
      <w:r w:rsidRPr="007E3D67">
        <w:t xml:space="preserve">Index spotřebitelských cen (CPI) </w:t>
      </w:r>
      <w:r w:rsidR="00121D98" w:rsidRPr="007E3D67">
        <w:t>vyjadřuje</w:t>
      </w:r>
      <w:r w:rsidR="001E43B7" w:rsidRPr="007E3D67">
        <w:t>,</w:t>
      </w:r>
      <w:r w:rsidR="00121D98" w:rsidRPr="007E3D67">
        <w:t xml:space="preserve"> jak</w:t>
      </w:r>
      <w:r w:rsidRPr="007E3D67">
        <w:t xml:space="preserve"> se změní cena daného koše komodit v běžném období oproti základnímu období při stále stejném koši komodit základního období.</w:t>
      </w:r>
    </w:p>
    <w:p w:rsidR="0066604C" w:rsidRDefault="0066604C">
      <w:pPr>
        <w:spacing w:line="240" w:lineRule="auto"/>
        <w:jc w:val="left"/>
      </w:pPr>
      <w:r>
        <w:br w:type="page"/>
      </w:r>
    </w:p>
    <w:p w:rsidR="003F60AB" w:rsidRDefault="003F60AB" w:rsidP="000560E3"/>
    <w:p w:rsidR="00D16E37" w:rsidRPr="007E3D67" w:rsidRDefault="007242A2" w:rsidP="00AB317A">
      <w:pPr>
        <w:pStyle w:val="CaptionIntroductionparagraph"/>
      </w:pPr>
      <w:bookmarkStart w:id="53" w:name="_Toc279307367"/>
      <w:bookmarkStart w:id="54" w:name="_Toc279438694"/>
      <w:bookmarkStart w:id="55" w:name="_Toc279696243"/>
      <w:bookmarkStart w:id="56" w:name="_Toc279696332"/>
      <w:r w:rsidRPr="003F60AB">
        <w:t xml:space="preserve">Tab. </w:t>
      </w:r>
      <w:r w:rsidR="005442EA" w:rsidRPr="003F60AB">
        <w:t>2</w:t>
      </w:r>
      <w:r w:rsidRPr="003F60AB">
        <w:t>:</w:t>
      </w:r>
      <w:r w:rsidR="00C84C84" w:rsidRPr="003F60AB">
        <w:t xml:space="preserve"> Obsah</w:t>
      </w:r>
      <w:r w:rsidR="00D16E37" w:rsidRPr="003F60AB">
        <w:t xml:space="preserve"> spotřební</w:t>
      </w:r>
      <w:r w:rsidR="00C84C84" w:rsidRPr="003F60AB">
        <w:t>ho</w:t>
      </w:r>
      <w:r w:rsidR="00D16E37" w:rsidRPr="003F60AB">
        <w:t xml:space="preserve"> koš</w:t>
      </w:r>
      <w:r w:rsidR="00C84C84" w:rsidRPr="003F60AB">
        <w:t>e</w:t>
      </w:r>
      <w:r w:rsidR="00D16E37" w:rsidRPr="003F60AB">
        <w:t xml:space="preserve"> pro výpočet indexů spotřebitelských cen v roce 2010.</w:t>
      </w:r>
      <w:bookmarkEnd w:id="53"/>
      <w:bookmarkEnd w:id="54"/>
      <w:bookmarkEnd w:id="55"/>
      <w:bookmarkEnd w:id="56"/>
    </w:p>
    <w:p w:rsidR="00E0394E" w:rsidRPr="007E3D67" w:rsidRDefault="0057238D" w:rsidP="000560E3">
      <w:r w:rsidRPr="007E3D67">
        <w:object w:dxaOrig="6690" w:dyaOrig="45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0.2pt;height:222.2pt" o:ole="">
            <v:imagedata r:id="rId18" o:title=""/>
          </v:shape>
          <o:OLEObject Type="Embed" ProgID="Excel.Sheet.12" ShapeID="_x0000_i1025" DrawAspect="Content" ObjectID="_1355548762" r:id="rId19"/>
        </w:object>
      </w:r>
    </w:p>
    <w:p w:rsidR="00D16E37" w:rsidRPr="007E3D67" w:rsidRDefault="00D16E37" w:rsidP="00D16E37">
      <w:pPr>
        <w:rPr>
          <w:i/>
          <w:sz w:val="20"/>
        </w:rPr>
      </w:pPr>
      <w:r w:rsidRPr="007E3D67">
        <w:rPr>
          <w:i/>
          <w:sz w:val="20"/>
        </w:rPr>
        <w:t>Zdroj: Data – Český statistický úřad,</w:t>
      </w:r>
      <w:r w:rsidR="00C84C84" w:rsidRPr="007E3D67">
        <w:t xml:space="preserve"> </w:t>
      </w:r>
      <w:r w:rsidR="00C84C84" w:rsidRPr="007E3D67">
        <w:rPr>
          <w:i/>
          <w:sz w:val="20"/>
        </w:rPr>
        <w:t>http://www.czso.cz</w:t>
      </w:r>
      <w:r w:rsidRPr="007E3D67">
        <w:rPr>
          <w:i/>
          <w:sz w:val="20"/>
        </w:rPr>
        <w:t>, Tabulka: Vlastní konstrukce.</w:t>
      </w:r>
    </w:p>
    <w:p w:rsidR="00D16E37" w:rsidRPr="007E3D67" w:rsidRDefault="00D16E37" w:rsidP="000560E3"/>
    <w:p w:rsidR="00C84C84" w:rsidRPr="007E3D67" w:rsidRDefault="00C84C84" w:rsidP="000560E3">
      <w:r w:rsidRPr="007E3D67">
        <w:t>Další cenový index – implicitní cenový deflátor – se vypočítá jako podíl nominálního a reálného produktu. Vyjadřuje, jak se změní cena daného koše komodit v běžném období oproti základnímu období při koši komodit běžného období.</w:t>
      </w:r>
    </w:p>
    <w:p w:rsidR="00C84C84" w:rsidRPr="007E3D67" w:rsidRDefault="00C84C84" w:rsidP="000560E3"/>
    <w:p w:rsidR="00C84C84" w:rsidRPr="007E3D67" w:rsidRDefault="00C84C84" w:rsidP="000560E3">
      <w:r w:rsidRPr="007E3D67">
        <w:t>V praxi se pro výpoč</w:t>
      </w:r>
      <w:r w:rsidR="006F019F" w:rsidRPr="007E3D67">
        <w:t xml:space="preserve">et míry inflace častěji používá </w:t>
      </w:r>
      <w:r w:rsidRPr="007E3D67">
        <w:t>CPI, protože jeho údaje jsou k dispozic</w:t>
      </w:r>
      <w:r w:rsidR="00121D98" w:rsidRPr="007E3D67">
        <w:t>i</w:t>
      </w:r>
      <w:r w:rsidRPr="007E3D67">
        <w:t xml:space="preserve"> měsíčně, zatímco údaje o </w:t>
      </w:r>
      <w:r w:rsidR="00121D98" w:rsidRPr="007E3D67">
        <w:t xml:space="preserve">velikosti HDP jsou k dispozici kvartálně. </w:t>
      </w:r>
    </w:p>
    <w:p w:rsidR="00121D98" w:rsidRPr="007E3D67" w:rsidRDefault="00121D98" w:rsidP="000560E3"/>
    <w:p w:rsidR="009C5B19" w:rsidRDefault="00121D98" w:rsidP="000560E3">
      <w:r w:rsidRPr="003F60AB">
        <w:t>Vývoj inflace v ČR je graficky zachycen v </w:t>
      </w:r>
      <w:r w:rsidR="003F60AB" w:rsidRPr="003F60AB">
        <w:t>obr. 28.</w:t>
      </w:r>
    </w:p>
    <w:p w:rsidR="003F60AB" w:rsidRPr="007E3D67" w:rsidRDefault="003F60AB" w:rsidP="000560E3"/>
    <w:p w:rsidR="009C5B19" w:rsidRPr="007E3D67" w:rsidRDefault="009C5B19" w:rsidP="000560E3">
      <w:pPr>
        <w:rPr>
          <w:b/>
        </w:rPr>
      </w:pPr>
      <w:r w:rsidRPr="007E3D67">
        <w:rPr>
          <w:b/>
        </w:rPr>
        <w:t>Vnější cíle hospodářské politiky</w:t>
      </w:r>
    </w:p>
    <w:p w:rsidR="004C60CD" w:rsidRPr="007E3D67" w:rsidRDefault="004C60CD" w:rsidP="000560E3">
      <w:pPr>
        <w:rPr>
          <w:b/>
        </w:rPr>
      </w:pPr>
    </w:p>
    <w:p w:rsidR="000B3172" w:rsidRPr="007E3D67" w:rsidRDefault="000B3172" w:rsidP="00CC509C">
      <w:r w:rsidRPr="007E3D67">
        <w:t xml:space="preserve">V předchozích kapitolách byl obsažen výklad vnitřních cílů hospodářské politiky. </w:t>
      </w:r>
      <w:r w:rsidR="005E73CC" w:rsidRPr="007E3D67">
        <w:t>Tato subkapitola se bude zabývat</w:t>
      </w:r>
      <w:r w:rsidR="00661A7A" w:rsidRPr="007E3D67">
        <w:t>, velmi zběžně,</w:t>
      </w:r>
      <w:r w:rsidRPr="007E3D67">
        <w:t xml:space="preserve"> cíli vnějšími. Tím nejdůležitějším je vyrovnaná platební bilance či její dílčí součásti. Dalšími cíli jsou zajištění stabilního a optimálního devizového kurzu</w:t>
      </w:r>
      <w:r w:rsidR="00651F6A" w:rsidRPr="007E3D67">
        <w:t>, optimální úrovně zadlužení, přímých investic a</w:t>
      </w:r>
      <w:r w:rsidR="005E73CC" w:rsidRPr="007E3D67">
        <w:t>t</w:t>
      </w:r>
      <w:r w:rsidR="00651F6A" w:rsidRPr="007E3D67">
        <w:t>d.</w:t>
      </w:r>
      <w:r w:rsidRPr="007E3D67">
        <w:t xml:space="preserve"> </w:t>
      </w:r>
    </w:p>
    <w:p w:rsidR="00651F6A" w:rsidRPr="007E3D67" w:rsidRDefault="00651F6A" w:rsidP="00CC509C">
      <w:pPr>
        <w:rPr>
          <w:b/>
        </w:rPr>
      </w:pPr>
    </w:p>
    <w:p w:rsidR="00111805" w:rsidRDefault="00111805" w:rsidP="00CC509C">
      <w:pPr>
        <w:rPr>
          <w:b/>
        </w:rPr>
      </w:pPr>
    </w:p>
    <w:p w:rsidR="000B3172" w:rsidRPr="007E3D67" w:rsidRDefault="00651F6A" w:rsidP="00CC509C">
      <w:pPr>
        <w:rPr>
          <w:b/>
        </w:rPr>
      </w:pPr>
      <w:r w:rsidRPr="007E3D67">
        <w:rPr>
          <w:b/>
        </w:rPr>
        <w:lastRenderedPageBreak/>
        <w:t>Platební bilance</w:t>
      </w:r>
    </w:p>
    <w:p w:rsidR="00651F6A" w:rsidRPr="007E3D67" w:rsidRDefault="00651F6A" w:rsidP="00CC509C"/>
    <w:p w:rsidR="00CC509C" w:rsidRPr="007E3D67" w:rsidRDefault="00ED3213" w:rsidP="00CC509C">
      <w:r w:rsidRPr="007E3D67">
        <w:t xml:space="preserve">Platební bilance (PB) </w:t>
      </w:r>
      <w:r w:rsidR="00CC509C" w:rsidRPr="007E3D67">
        <w:t>země je jedním ze základních makroekonomických ukazatelů. Ve svém celku</w:t>
      </w:r>
      <w:r w:rsidR="00A10D39" w:rsidRPr="007E3D67">
        <w:t xml:space="preserve"> </w:t>
      </w:r>
      <w:r w:rsidR="00CC509C" w:rsidRPr="007E3D67">
        <w:t>a v jednotlivých částech podává obraz o vnější ekonomické rovnováze země.</w:t>
      </w:r>
      <w:r w:rsidR="00A10D39" w:rsidRPr="007E3D67">
        <w:t xml:space="preserve"> </w:t>
      </w:r>
      <w:r w:rsidR="00CC509C" w:rsidRPr="007E3D67">
        <w:t>V současné době se PB chápe jako systematický výkaz či záznam všech hospodářských</w:t>
      </w:r>
      <w:r w:rsidR="00A10D39" w:rsidRPr="007E3D67">
        <w:t xml:space="preserve"> </w:t>
      </w:r>
      <w:r w:rsidR="00CC509C" w:rsidRPr="007E3D67">
        <w:t>transakcí, které proběhly za určité období, zpravidla jeden rok, mezi</w:t>
      </w:r>
      <w:r w:rsidR="00A10D39" w:rsidRPr="007E3D67">
        <w:t xml:space="preserve"> </w:t>
      </w:r>
      <w:r w:rsidR="00CC509C" w:rsidRPr="007E3D67">
        <w:t>devizovými tuzemci a devizovými cizozemci. To znamená, že kromě plateb do zahraničí</w:t>
      </w:r>
      <w:r w:rsidR="00A10D39" w:rsidRPr="007E3D67">
        <w:t xml:space="preserve"> </w:t>
      </w:r>
      <w:r w:rsidR="00CC509C" w:rsidRPr="007E3D67">
        <w:t>a inkas ze zahraničí, tedy peněžních toků, PB zaznamenává i hmotné toky</w:t>
      </w:r>
      <w:r w:rsidR="00A10D39" w:rsidRPr="007E3D67">
        <w:t xml:space="preserve"> </w:t>
      </w:r>
      <w:r w:rsidR="00CC509C" w:rsidRPr="007E3D67">
        <w:t>(peněžní hodnotu věcných darů, barterových obchodů, reálných investic), hodnoty</w:t>
      </w:r>
      <w:r w:rsidR="00A10D39" w:rsidRPr="007E3D67">
        <w:t xml:space="preserve"> </w:t>
      </w:r>
      <w:r w:rsidR="00CC509C" w:rsidRPr="007E3D67">
        <w:t>pohledávek a závazků atd.</w:t>
      </w:r>
      <w:r w:rsidR="00A10D39" w:rsidRPr="007E3D67">
        <w:t xml:space="preserve"> </w:t>
      </w:r>
      <w:r w:rsidR="00CC509C" w:rsidRPr="007E3D67">
        <w:t>Platební bilance zemí jsou sestavovány v rozdílně podrobném členění s</w:t>
      </w:r>
      <w:r w:rsidR="00A10D39" w:rsidRPr="007E3D67">
        <w:t> </w:t>
      </w:r>
      <w:r w:rsidR="00CC509C" w:rsidRPr="007E3D67">
        <w:t>ohledem</w:t>
      </w:r>
      <w:r w:rsidR="00A10D39" w:rsidRPr="007E3D67">
        <w:t xml:space="preserve"> </w:t>
      </w:r>
      <w:r w:rsidR="00CC509C" w:rsidRPr="007E3D67">
        <w:t>na účel použití. Velmi podrobné PB, které obsahují více než sto položek, sestavuje</w:t>
      </w:r>
      <w:r w:rsidR="00A10D39" w:rsidRPr="007E3D67">
        <w:t xml:space="preserve"> </w:t>
      </w:r>
      <w:r w:rsidR="006201BE" w:rsidRPr="007E3D67">
        <w:t>IMF</w:t>
      </w:r>
      <w:r w:rsidR="00CC509C" w:rsidRPr="007E3D67">
        <w:t xml:space="preserve"> na základě údajů od centrálních bank svých</w:t>
      </w:r>
      <w:r w:rsidR="00A10D39" w:rsidRPr="007E3D67">
        <w:t xml:space="preserve"> </w:t>
      </w:r>
      <w:r w:rsidR="00CC509C" w:rsidRPr="007E3D67">
        <w:t>členů a zveřejňuje je v „Balance of Payments Yearbook</w:t>
      </w:r>
      <w:r w:rsidRPr="007E3D67">
        <w:t>.“</w:t>
      </w:r>
    </w:p>
    <w:p w:rsidR="003F60AB" w:rsidRDefault="003F60AB" w:rsidP="00AB317A">
      <w:pPr>
        <w:pStyle w:val="CaptionIntroductionparagraph"/>
        <w:rPr>
          <w:highlight w:val="yellow"/>
        </w:rPr>
      </w:pPr>
      <w:bookmarkStart w:id="57" w:name="_Toc279307368"/>
    </w:p>
    <w:p w:rsidR="00A10D39" w:rsidRPr="007E3D67" w:rsidRDefault="00A10D39" w:rsidP="00AB317A">
      <w:pPr>
        <w:pStyle w:val="CaptionIntroductionparagraph"/>
      </w:pPr>
      <w:bookmarkStart w:id="58" w:name="_Toc279438695"/>
      <w:bookmarkStart w:id="59" w:name="_Toc279696244"/>
      <w:bookmarkStart w:id="60" w:name="_Toc279696333"/>
      <w:r w:rsidRPr="003F60AB">
        <w:t xml:space="preserve">Tab. </w:t>
      </w:r>
      <w:r w:rsidR="005442EA" w:rsidRPr="003F60AB">
        <w:t>3</w:t>
      </w:r>
      <w:r w:rsidRPr="003F60AB">
        <w:t>:</w:t>
      </w:r>
      <w:r w:rsidR="00ED3213" w:rsidRPr="003F60AB">
        <w:t xml:space="preserve"> </w:t>
      </w:r>
      <w:r w:rsidRPr="003F60AB">
        <w:t>Položky platební bilance ČR</w:t>
      </w:r>
      <w:bookmarkEnd w:id="57"/>
      <w:bookmarkEnd w:id="58"/>
      <w:bookmarkEnd w:id="59"/>
      <w:bookmarkEnd w:id="60"/>
    </w:p>
    <w:p w:rsidR="009244C3" w:rsidRPr="007E3D67" w:rsidRDefault="005B3C1D" w:rsidP="00CC509C">
      <w:r w:rsidRPr="007E3D67">
        <w:object w:dxaOrig="5550" w:dyaOrig="4815">
          <v:shape id="_x0000_i1026" type="#_x0000_t75" style="width:281.8pt;height:238.35pt" o:ole="">
            <v:imagedata r:id="rId20" o:title=""/>
          </v:shape>
          <o:OLEObject Type="Embed" ProgID="Excel.Sheet.12" ShapeID="_x0000_i1026" DrawAspect="Content" ObjectID="_1355548763" r:id="rId21"/>
        </w:object>
      </w:r>
    </w:p>
    <w:p w:rsidR="00020F71" w:rsidRPr="007E3D67" w:rsidRDefault="00020F71" w:rsidP="00020F71">
      <w:pPr>
        <w:rPr>
          <w:i/>
          <w:sz w:val="20"/>
        </w:rPr>
      </w:pPr>
      <w:r w:rsidRPr="007E3D67">
        <w:rPr>
          <w:i/>
          <w:sz w:val="20"/>
        </w:rPr>
        <w:t>Zdroj: Data – Česká národní banka,</w:t>
      </w:r>
      <w:r w:rsidRPr="007E3D67">
        <w:t xml:space="preserve"> </w:t>
      </w:r>
      <w:r w:rsidRPr="007E3D67">
        <w:rPr>
          <w:i/>
          <w:sz w:val="20"/>
        </w:rPr>
        <w:t>http://www.cnb.cz, Tabulka: Vlastní konstrukce.</w:t>
      </w:r>
    </w:p>
    <w:p w:rsidR="004C60CD" w:rsidRPr="007E3D67" w:rsidRDefault="004C60CD" w:rsidP="00020F71">
      <w:pPr>
        <w:rPr>
          <w:i/>
          <w:sz w:val="20"/>
        </w:rPr>
      </w:pPr>
    </w:p>
    <w:p w:rsidR="00020F71" w:rsidRPr="007E3D67" w:rsidRDefault="00994F06" w:rsidP="00994F06">
      <w:pPr>
        <w:pStyle w:val="Nadpis2"/>
        <w:rPr>
          <w:rFonts w:cs="Times New Roman"/>
        </w:rPr>
      </w:pPr>
      <w:bookmarkStart w:id="61" w:name="_Toc278920725"/>
      <w:bookmarkStart w:id="62" w:name="_Toc279696213"/>
      <w:r w:rsidRPr="007E3D67">
        <w:rPr>
          <w:rFonts w:cs="Times New Roman"/>
        </w:rPr>
        <w:t>Koncepční přístupy k hospodářské politice</w:t>
      </w:r>
      <w:bookmarkEnd w:id="61"/>
      <w:bookmarkEnd w:id="62"/>
    </w:p>
    <w:p w:rsidR="00BA6CB4" w:rsidRPr="007E3D67" w:rsidRDefault="00994F06" w:rsidP="00994F06">
      <w:r w:rsidRPr="007E3D67">
        <w:t xml:space="preserve">V této kapitole </w:t>
      </w:r>
      <w:r w:rsidR="00A46CD4" w:rsidRPr="007E3D67">
        <w:t>jsou nastíněny</w:t>
      </w:r>
      <w:r w:rsidRPr="007E3D67">
        <w:t xml:space="preserve"> koncepční přístupy, které by měli </w:t>
      </w:r>
      <w:r w:rsidR="00C3652B" w:rsidRPr="007E3D67">
        <w:t>zohlednit tvůrci při uplatňování hospodářské politiky. Nejprve</w:t>
      </w:r>
      <w:r w:rsidR="00A46CD4" w:rsidRPr="007E3D67">
        <w:t xml:space="preserve"> jsou charakterizovány</w:t>
      </w:r>
      <w:r w:rsidR="00C3652B" w:rsidRPr="007E3D67">
        <w:t xml:space="preserve"> rozdíl</w:t>
      </w:r>
      <w:r w:rsidR="002A018F" w:rsidRPr="007E3D67">
        <w:t>y</w:t>
      </w:r>
      <w:r w:rsidR="00C3652B" w:rsidRPr="007E3D67">
        <w:t xml:space="preserve"> mezi stabilizační </w:t>
      </w:r>
      <w:r w:rsidR="00C3652B" w:rsidRPr="007E3D67">
        <w:lastRenderedPageBreak/>
        <w:t>a prorůstovou politikou, následně srovná</w:t>
      </w:r>
      <w:r w:rsidR="00A46CD4" w:rsidRPr="007E3D67">
        <w:t>ny</w:t>
      </w:r>
      <w:r w:rsidR="00C3652B" w:rsidRPr="007E3D67">
        <w:t xml:space="preserve"> nabídkov</w:t>
      </w:r>
      <w:r w:rsidR="00A46CD4" w:rsidRPr="007E3D67">
        <w:t>á</w:t>
      </w:r>
      <w:r w:rsidR="00C3652B" w:rsidRPr="007E3D67">
        <w:t xml:space="preserve"> a poptávkov</w:t>
      </w:r>
      <w:r w:rsidR="00A46CD4" w:rsidRPr="007E3D67">
        <w:t>á</w:t>
      </w:r>
      <w:r w:rsidR="00C3652B" w:rsidRPr="007E3D67">
        <w:t xml:space="preserve"> hospodářsk</w:t>
      </w:r>
      <w:r w:rsidR="00A46CD4" w:rsidRPr="007E3D67">
        <w:t>á</w:t>
      </w:r>
      <w:r w:rsidR="00C3652B" w:rsidRPr="007E3D67">
        <w:t xml:space="preserve"> politik</w:t>
      </w:r>
      <w:r w:rsidR="00A46CD4" w:rsidRPr="007E3D67">
        <w:t>a</w:t>
      </w:r>
      <w:r w:rsidR="00C3652B" w:rsidRPr="007E3D67">
        <w:t>.</w:t>
      </w:r>
      <w:r w:rsidR="002A018F" w:rsidRPr="007E3D67">
        <w:t xml:space="preserve"> Za jednotlivé koncepční přístupy k hospodářské politice</w:t>
      </w:r>
      <w:r w:rsidR="00BA6CB4" w:rsidRPr="007E3D67">
        <w:t>,</w:t>
      </w:r>
      <w:r w:rsidR="002A018F" w:rsidRPr="007E3D67">
        <w:t xml:space="preserve"> </w:t>
      </w:r>
      <w:r w:rsidR="00A46CD4" w:rsidRPr="007E3D67">
        <w:t>jsou vybrán</w:t>
      </w:r>
      <w:r w:rsidR="00BA6CB4" w:rsidRPr="007E3D67">
        <w:t>i konkrétní</w:t>
      </w:r>
      <w:r w:rsidR="00A46CD4" w:rsidRPr="007E3D67">
        <w:t xml:space="preserve"> </w:t>
      </w:r>
      <w:r w:rsidR="00BA6CB4" w:rsidRPr="007E3D67">
        <w:t>představitelé podle toho, z jaké ekonomické teorie</w:t>
      </w:r>
      <w:r w:rsidR="002A018F" w:rsidRPr="007E3D67">
        <w:t xml:space="preserve"> </w:t>
      </w:r>
      <w:r w:rsidR="00BA6CB4" w:rsidRPr="007E3D67">
        <w:t xml:space="preserve">čerpají. </w:t>
      </w:r>
    </w:p>
    <w:p w:rsidR="00A46CD4" w:rsidRPr="007E3D67" w:rsidRDefault="00A46CD4" w:rsidP="00994F06"/>
    <w:p w:rsidR="00C3652B" w:rsidRPr="007E3D67" w:rsidRDefault="00C3652B" w:rsidP="00994F06">
      <w:r w:rsidRPr="007E3D67">
        <w:t>K ekonomické realitě a hospodářskému vývoji lze přistupovat v zásadě</w:t>
      </w:r>
      <w:r w:rsidR="00D85110" w:rsidRPr="007E3D67">
        <w:t xml:space="preserve"> dvěma způsoby, oba vyplívají ze dvou klíčových problémů popisovaných ekonomickou teorií. Jedná se o hospodářský cyklus a dlouhodobý ekonomický růst.  První z nich vyjadřuje oscilace, ke kterým v ekonomice</w:t>
      </w:r>
      <w:r w:rsidRPr="007E3D67">
        <w:t xml:space="preserve"> </w:t>
      </w:r>
      <w:r w:rsidR="00D85110" w:rsidRPr="007E3D67">
        <w:t>dochází a druhý naopak dlouhodobý trend vývoje ekonomiky. Míru oscilací lze ovlivnit pomocí nástrojů stabilizační politiky a dlouhodobý trend vývoje produktu s využitím nástrojů politiky prorůstové.</w:t>
      </w:r>
    </w:p>
    <w:p w:rsidR="00C3652B" w:rsidRPr="007E3D67" w:rsidRDefault="00C3652B" w:rsidP="00994F06"/>
    <w:p w:rsidR="00C3652B" w:rsidRDefault="00C3652B" w:rsidP="00C3652B">
      <w:pPr>
        <w:pStyle w:val="Nadpis3"/>
        <w:rPr>
          <w:rFonts w:cs="Times New Roman"/>
        </w:rPr>
      </w:pPr>
      <w:bookmarkStart w:id="63" w:name="_Toc278920726"/>
      <w:bookmarkStart w:id="64" w:name="_Toc279696214"/>
      <w:r w:rsidRPr="007E3D67">
        <w:rPr>
          <w:rFonts w:cs="Times New Roman"/>
        </w:rPr>
        <w:t>Stabilizační hospodářská politika</w:t>
      </w:r>
      <w:bookmarkEnd w:id="63"/>
      <w:bookmarkEnd w:id="64"/>
    </w:p>
    <w:p w:rsidR="00FC2C3D" w:rsidRPr="00FC2C3D" w:rsidRDefault="00FC2C3D" w:rsidP="00FC2C3D"/>
    <w:p w:rsidR="00994F06" w:rsidRPr="007E3D67" w:rsidRDefault="002B3A98" w:rsidP="002346FB">
      <w:pPr>
        <w:pStyle w:val="Bodytext"/>
        <w:rPr>
          <w:b/>
        </w:rPr>
      </w:pPr>
      <w:r w:rsidRPr="007E3D67">
        <w:rPr>
          <w:b/>
        </w:rPr>
        <w:t>Hospodářský cyklus</w:t>
      </w:r>
    </w:p>
    <w:p w:rsidR="004C60CD" w:rsidRPr="007E3D67" w:rsidRDefault="008A28AA" w:rsidP="008A28AA">
      <w:r w:rsidRPr="007E3D67">
        <w:t>Teorie hospodářského cyklu se zabývají kolísáním reálného produktu kolem jeho potenciální úrovně</w:t>
      </w:r>
      <w:r w:rsidR="003A44E7" w:rsidRPr="007E3D67">
        <w:t>.</w:t>
      </w:r>
      <w:r w:rsidR="004C60CD" w:rsidRPr="007E3D67">
        <w:t xml:space="preserve"> </w:t>
      </w:r>
      <w:r w:rsidR="009177F1" w:rsidRPr="007E3D67">
        <w:t xml:space="preserve">V ekonomické literatuře lze vysledovat dva přístupy: tradiční teorie cyklu a teorie reálného hospodářského cyklu. </w:t>
      </w:r>
    </w:p>
    <w:p w:rsidR="004C60CD" w:rsidRPr="007E3D67" w:rsidRDefault="004C60CD" w:rsidP="008A28AA"/>
    <w:p w:rsidR="004C60CD" w:rsidRPr="007E3D67" w:rsidRDefault="004C60CD" w:rsidP="008A28AA">
      <w:pPr>
        <w:rPr>
          <w:b/>
        </w:rPr>
      </w:pPr>
      <w:r w:rsidRPr="007E3D67">
        <w:rPr>
          <w:b/>
        </w:rPr>
        <w:t>Tradiční teorie cyklu</w:t>
      </w:r>
    </w:p>
    <w:p w:rsidR="004C60CD" w:rsidRPr="007E3D67" w:rsidRDefault="004C60CD" w:rsidP="008A28AA">
      <w:pPr>
        <w:rPr>
          <w:b/>
        </w:rPr>
      </w:pPr>
    </w:p>
    <w:p w:rsidR="009177F1" w:rsidRPr="007E3D67" w:rsidRDefault="004C60CD" w:rsidP="008A28AA">
      <w:r w:rsidRPr="007E3D67">
        <w:t>K těmto teoriím</w:t>
      </w:r>
      <w:r w:rsidR="009177F1" w:rsidRPr="007E3D67">
        <w:t xml:space="preserve"> řadíme přístup monetaristický, který spatřuje zdroj cyklických výkyvů ekonomiky v kolísání peněžní zásoby. Zvýší-li např. centrální banka peněžní zásobu, dojde v důsledku následné inflace1 krustu odchylky skutečné míry inflace od její očekávané úrovně. To vede ke zmenšení tempa růstu reálných mezd (oproti očekávanému tempu růstu), což snižuje náklady firem a motivuje je k růstu produkce. Navíc dochází k tzv. peněžní iluzi, kdy firmy mylně zaměňují nárůst cenové hladiny za pouhý nárůst cen své produkce. To je motivuje k dalšímu růstu produkce. Tato odchylka produkce od její rovnovážné úrovně je vsak pouze dočasná, protože zaměstnanci po určité době požadují adekvátní nárůst svých nominálních mezd (dojde zpět k růstu nákladů firem) a firmy se „probudí z peněžní iluze". K obdobným efektům dochází při poklesu peněžní zásoby. Existuje zde tedy kauzalita od kolísání peněžní zásoby ke kolísání krátkodobé produkce.</w:t>
      </w:r>
    </w:p>
    <w:p w:rsidR="008A28AA" w:rsidRPr="007E3D67" w:rsidRDefault="006F019F" w:rsidP="00AB317A">
      <w:pPr>
        <w:pStyle w:val="CaptionIntroductionparagraph"/>
      </w:pPr>
      <w:bookmarkStart w:id="65" w:name="_Toc279307130"/>
      <w:bookmarkStart w:id="66" w:name="_Toc279438611"/>
      <w:bookmarkStart w:id="67" w:name="_Toc279696245"/>
      <w:bookmarkStart w:id="68" w:name="_Toc279696334"/>
      <w:r w:rsidRPr="007E3D67">
        <w:lastRenderedPageBreak/>
        <w:t>Obr</w:t>
      </w:r>
      <w:r w:rsidR="00BB37EF" w:rsidRPr="007E3D67">
        <w:t>.</w:t>
      </w:r>
      <w:r w:rsidRPr="007E3D67">
        <w:t xml:space="preserve"> 3</w:t>
      </w:r>
      <w:r w:rsidR="008A28AA" w:rsidRPr="007E3D67">
        <w:t>: Hospodářský cyklus</w:t>
      </w:r>
      <w:bookmarkEnd w:id="65"/>
      <w:bookmarkEnd w:id="66"/>
      <w:bookmarkEnd w:id="67"/>
      <w:bookmarkEnd w:id="68"/>
    </w:p>
    <w:p w:rsidR="00994F06" w:rsidRPr="007E3D67" w:rsidRDefault="005B06D6" w:rsidP="00994F06">
      <w:r w:rsidRPr="007E3D67">
        <w:rPr>
          <w:noProof/>
          <w:lang w:eastAsia="cs-CZ"/>
        </w:rPr>
        <w:drawing>
          <wp:inline distT="0" distB="0" distL="0" distR="0">
            <wp:extent cx="5069630" cy="2860158"/>
            <wp:effectExtent l="19050" t="0" r="0" b="0"/>
            <wp:docPr id="28" name="obráze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2" cstate="print"/>
                    <a:srcRect/>
                    <a:stretch>
                      <a:fillRect/>
                    </a:stretch>
                  </pic:blipFill>
                  <pic:spPr bwMode="auto">
                    <a:xfrm>
                      <a:off x="0" y="0"/>
                      <a:ext cx="5076834" cy="2864222"/>
                    </a:xfrm>
                    <a:prstGeom prst="rect">
                      <a:avLst/>
                    </a:prstGeom>
                    <a:noFill/>
                    <a:ln w="9525">
                      <a:noFill/>
                      <a:miter lim="800000"/>
                      <a:headEnd/>
                      <a:tailEnd/>
                    </a:ln>
                  </pic:spPr>
                </pic:pic>
              </a:graphicData>
            </a:graphic>
          </wp:inline>
        </w:drawing>
      </w:r>
    </w:p>
    <w:p w:rsidR="002B78BD" w:rsidRPr="007E3D67" w:rsidRDefault="00BB37EF" w:rsidP="00994F06">
      <w:pPr>
        <w:rPr>
          <w:i/>
          <w:sz w:val="20"/>
        </w:rPr>
      </w:pPr>
      <w:r w:rsidRPr="007E3D67">
        <w:rPr>
          <w:i/>
          <w:sz w:val="20"/>
        </w:rPr>
        <w:t>Obrázek</w:t>
      </w:r>
      <w:r w:rsidR="002B78BD" w:rsidRPr="007E3D67">
        <w:rPr>
          <w:i/>
          <w:sz w:val="20"/>
        </w:rPr>
        <w:t xml:space="preserve">: </w:t>
      </w:r>
      <w:r w:rsidRPr="007E3D67">
        <w:rPr>
          <w:i/>
          <w:sz w:val="20"/>
        </w:rPr>
        <w:t>V</w:t>
      </w:r>
      <w:r w:rsidR="002B78BD" w:rsidRPr="007E3D67">
        <w:rPr>
          <w:i/>
          <w:sz w:val="20"/>
        </w:rPr>
        <w:t>lastní konstrukce</w:t>
      </w:r>
      <w:r w:rsidRPr="007E3D67">
        <w:rPr>
          <w:i/>
          <w:sz w:val="20"/>
        </w:rPr>
        <w:t>.</w:t>
      </w:r>
    </w:p>
    <w:p w:rsidR="003A44E7" w:rsidRPr="007E3D67" w:rsidRDefault="003A44E7" w:rsidP="00994F06"/>
    <w:p w:rsidR="004C60CD" w:rsidRPr="007E3D67" w:rsidRDefault="004C60CD" w:rsidP="004C60CD">
      <w:pPr>
        <w:rPr>
          <w:b/>
        </w:rPr>
      </w:pPr>
      <w:r w:rsidRPr="007E3D67">
        <w:rPr>
          <w:b/>
        </w:rPr>
        <w:t>Nov</w:t>
      </w:r>
      <w:r w:rsidR="00847C26" w:rsidRPr="007E3D67">
        <w:rPr>
          <w:b/>
        </w:rPr>
        <w:t>á</w:t>
      </w:r>
      <w:r w:rsidRPr="007E3D67">
        <w:rPr>
          <w:b/>
        </w:rPr>
        <w:t xml:space="preserve"> klasické makroekonomie</w:t>
      </w:r>
    </w:p>
    <w:p w:rsidR="004C60CD" w:rsidRPr="007E3D67" w:rsidRDefault="004C60CD" w:rsidP="004C60CD">
      <w:pPr>
        <w:rPr>
          <w:b/>
        </w:rPr>
      </w:pPr>
    </w:p>
    <w:p w:rsidR="004C60CD" w:rsidRPr="007E3D67" w:rsidRDefault="004C60CD" w:rsidP="004C60CD">
      <w:r w:rsidRPr="007E3D67">
        <w:t>Tento přístup vychází z hypotézy racionálních očekávání. Tato hypotéza implikuje, že krátkodobě může být účinná pouze neočekávaná hospodářská politika. Hospodářské cykly tedy způsobuje neočekávaná hospodářská politika. Když např. centrální banka zvýší neočekávané peněžní zásobu, a tedy inflaci, dojde, stejně jako podle monetaristů, k poklesu reálných mezd a růstu produkce. Toto je však opět krátkodobé a po úpravě nominálních mezd dojde k návratu produkce na potenciální úroveň. Přístup „Nové klasické makroekonomie" se od monetarismu liší v tom, že ekonomické subjekty nedělají „špatná rozhodnutí" typu peněžní iluze, ale mají při formulování svých očekávání nedokonalé informace.</w:t>
      </w:r>
      <w:r w:rsidR="00C923E7" w:rsidRPr="007E3D67">
        <w:t xml:space="preserve"> </w:t>
      </w:r>
    </w:p>
    <w:p w:rsidR="004C60CD" w:rsidRPr="007E3D67" w:rsidRDefault="004C60CD" w:rsidP="004C60CD"/>
    <w:p w:rsidR="004C60CD" w:rsidRPr="007E3D67" w:rsidRDefault="00847C26" w:rsidP="004C60CD">
      <w:pPr>
        <w:rPr>
          <w:b/>
        </w:rPr>
      </w:pPr>
      <w:r w:rsidRPr="007E3D67">
        <w:rPr>
          <w:b/>
        </w:rPr>
        <w:t>Nová</w:t>
      </w:r>
      <w:r w:rsidR="004C60CD" w:rsidRPr="007E3D67">
        <w:rPr>
          <w:b/>
        </w:rPr>
        <w:t xml:space="preserve"> keynesiánské ekonomie</w:t>
      </w:r>
    </w:p>
    <w:p w:rsidR="004C60CD" w:rsidRPr="007E3D67" w:rsidRDefault="004C60CD" w:rsidP="004C60CD"/>
    <w:p w:rsidR="00847C26" w:rsidRPr="007E3D67" w:rsidRDefault="004C60CD" w:rsidP="00847C26">
      <w:r w:rsidRPr="007E3D67">
        <w:t>Přístup „Nové keynesiánské ekonomie" se liší od „Nové klasické makroekonomie" především v pojetí pružnosti mezd a cen. Noví keynesiánci připisují nepružným cenám a mzdám mnohem déle trvající reakce, tzn. růst cen se</w:t>
      </w:r>
      <w:r w:rsidR="00847C26" w:rsidRPr="007E3D67">
        <w:t xml:space="preserve"> při expanzivní politice projeví později a nominální mzdy se také později přizpůsobí. I když jsou očekávání také tvořena </w:t>
      </w:r>
      <w:r w:rsidR="00847C26" w:rsidRPr="007E3D67">
        <w:lastRenderedPageBreak/>
        <w:t>racionálně, dochází díky výše popsaným rigiditám k pomalejšímu opravování předpovědí. To vše vede k větším cyklickým výkyvům produktu.</w:t>
      </w:r>
    </w:p>
    <w:p w:rsidR="00847C26" w:rsidRPr="007E3D67" w:rsidRDefault="00847C26" w:rsidP="00847C26"/>
    <w:p w:rsidR="007257AA" w:rsidRPr="007E3D67" w:rsidRDefault="00847C26" w:rsidP="00847C26">
      <w:r w:rsidRPr="007E3D67">
        <w:t>Na závěr je třeba u tradičních přístupů k hospodářským cyklům zmínit přístup ostatních keynesiánských směrů, jenž je dominantním při uplatňování stabilizační politiky nejběžněji popisované v učebnicích. Ty považují za hlavní zdroj cyklických výkyvů změnu investičních očekávání. Dochází-li ke změnám očekávání z optimistických na pesimistická nebo naopak, musí nutně, v souladu s působením multiplikačně akceleračního principu, docházet k výrazným výkyvům agregátní poptávky, a tedy i produktu.</w:t>
      </w:r>
    </w:p>
    <w:p w:rsidR="00E615D8" w:rsidRPr="007E3D67" w:rsidRDefault="00E615D8" w:rsidP="00847C26"/>
    <w:p w:rsidR="00FF5D90" w:rsidRPr="007E3D67" w:rsidRDefault="00E615D8" w:rsidP="00E615D8">
      <w:r w:rsidRPr="007E3D67">
        <w:t>Tradiční teorie hospodářského cyklu však těžko vysvětlí déle trvající hospodářské cykly. Proto teoretic</w:t>
      </w:r>
      <w:r w:rsidR="0074457B" w:rsidRPr="007E3D67">
        <w:t xml:space="preserve">i reálného hospodářského </w:t>
      </w:r>
      <w:r w:rsidR="0074457B" w:rsidRPr="00FC2C3D">
        <w:t>cyklu</w:t>
      </w:r>
      <w:r w:rsidR="00C46FBD" w:rsidRPr="00FC2C3D">
        <w:t xml:space="preserve"> </w:t>
      </w:r>
      <w:r w:rsidR="0025333C" w:rsidRPr="00FC2C3D">
        <w:t>(</w:t>
      </w:r>
      <w:r w:rsidR="00C46FBD" w:rsidRPr="00FC2C3D">
        <w:t>G</w:t>
      </w:r>
      <w:r w:rsidR="0065352F" w:rsidRPr="00FC2C3D">
        <w:t>ÄRTNER 200</w:t>
      </w:r>
      <w:r w:rsidR="0025333C" w:rsidRPr="00FC2C3D">
        <w:t>8</w:t>
      </w:r>
      <w:r w:rsidR="0065352F" w:rsidRPr="00FC2C3D">
        <w:t>:</w:t>
      </w:r>
      <w:r w:rsidR="00C46FBD" w:rsidRPr="00FC2C3D">
        <w:t> 481-499</w:t>
      </w:r>
      <w:r w:rsidR="0025333C" w:rsidRPr="00FC2C3D">
        <w:t>)</w:t>
      </w:r>
      <w:r w:rsidRPr="00FC2C3D">
        <w:t xml:space="preserve"> přišli s vysvětlením, že k hospodářským cyklům dochází na straně dlouhodobé agregátní nabídky</w:t>
      </w:r>
      <w:r w:rsidRPr="007E3D67">
        <w:t>, tzn. změnou produkční funkce. Nedochází tedy k odchylkám reálného produktu od jeho potenciální úrovně, ale přímo ke kolísání samotného potenciáln</w:t>
      </w:r>
      <w:r w:rsidR="00D56EF2" w:rsidRPr="007E3D67">
        <w:t>ího</w:t>
      </w:r>
      <w:r w:rsidRPr="007E3D67">
        <w:t xml:space="preserve"> produktu. To může být způsobeno např. ropnými šoky, neúrodou, válkami apod. Změny v peněžní zásobě jsou pak u reálných hospodářských cyklů důsledkem těchto cyklů a ne jejich příčinou. Přínosem teorie reálného hospodářského cyklu je především to, že připouští nejenom existenci odchylek produktu od jeho potenciální úrovně, ale také kolísání samotného potenciálního produktu.</w:t>
      </w:r>
      <w:r w:rsidR="0074457B" w:rsidRPr="007E3D67">
        <w:t xml:space="preserve"> </w:t>
      </w:r>
    </w:p>
    <w:p w:rsidR="00C46FBD" w:rsidRPr="007E3D67" w:rsidRDefault="00C46FBD" w:rsidP="00E615D8"/>
    <w:p w:rsidR="00E615D8" w:rsidRPr="007E3D67" w:rsidRDefault="00E615D8" w:rsidP="00E615D8">
      <w:pPr>
        <w:rPr>
          <w:b/>
        </w:rPr>
      </w:pPr>
      <w:r w:rsidRPr="007E3D67">
        <w:rPr>
          <w:b/>
        </w:rPr>
        <w:t>Opatření tvůrců HP v oblasti stabilizační hospodářské politiky</w:t>
      </w:r>
    </w:p>
    <w:p w:rsidR="00FF5D90" w:rsidRPr="007E3D67" w:rsidRDefault="00FF5D90" w:rsidP="00E615D8"/>
    <w:p w:rsidR="004048AB" w:rsidRPr="007E3D67" w:rsidRDefault="004048AB" w:rsidP="004048AB">
      <w:r w:rsidRPr="007E3D67">
        <w:t>Jak již bylo uvedeno v úvodu této kapitoly, t</w:t>
      </w:r>
      <w:r w:rsidR="00E615D8" w:rsidRPr="007E3D67">
        <w:t>eorie hospodářské politiky i praktická hospodářská politika v podobě jakou ji známe dnes, začala být uplatňována na počátku 30. let 20. století. Tvůrci hospodářské politiky se soustředili na aktuální krátkodobé hospodářsko-politické problémy. Pokoušeli se stimulovat zaměstnanost a krátkodobý ekonomický růst a odstranit důsledky</w:t>
      </w:r>
      <w:r w:rsidRPr="007E3D67">
        <w:t xml:space="preserve"> Světové hospodářské krize. Teoretický zdroj pak nalezli v učení J. M. Keynese. V této době odstartovaný přístup k hospodářské realitě byl přístupem stabilizačním, a jeho cílem bylo usměrnit hospodářský cyklus pomocí ovlivnění agregátní poptávky. Pravý rozvoj tohoto typu hospodářské politiky započal až po 2. světové válce, především ve Velké Británii a v USA. Ve Velké Británii byla uplatňována </w:t>
      </w:r>
      <w:r w:rsidRPr="007E3D67">
        <w:lastRenderedPageBreak/>
        <w:t>tzv. semaforová politika (stop-go policy). Vycházela z premisy, že pokud se ekonomika nachází v recesi, je třeba uplatnit princip „go" a provést expanzivní hospodářskou politiku a stimulovat agregátní poptávku. Naopak v případě přílišného ekonomického růstu, který hrozil přehřátím ekonomiky, je nutno uplatnit princip „stop" a destimulovat agregátní poptávku restriktivní hospodářskou politikou. Někdy se této politice říká i „politika jemného ladění" (fine tunning policy). Stejně tak byla krátkodobá proticyklická (stabilizační) politika uplatňována po 2. světové válce v USA a ostatních zemích.</w:t>
      </w:r>
    </w:p>
    <w:p w:rsidR="00E615D8" w:rsidRPr="007E3D67" w:rsidRDefault="004048AB" w:rsidP="004048AB">
      <w:r w:rsidRPr="007E3D67">
        <w:t xml:space="preserve">Zobecníme-li výše popsané, dostaneme několik obecných charakteristik stabilizační politiky. </w:t>
      </w:r>
      <w:r w:rsidR="00590FDE" w:rsidRPr="007E3D67">
        <w:t>Ú</w:t>
      </w:r>
      <w:r w:rsidRPr="007E3D67">
        <w:t>loha stabilizační politiky je přeceňovaná na úkor politiky prorůstové</w:t>
      </w:r>
      <w:r w:rsidR="00590FDE" w:rsidRPr="007E3D67">
        <w:t xml:space="preserve">. Především pak </w:t>
      </w:r>
      <w:r w:rsidRPr="007E3D67">
        <w:t>praktická hospodářská politika má tendenci sklouzávat k politice krátkodobé - stabilizační, což vychází z podstaty demokracie. Základním prvkem pluralitní demokracie a legitimity moci je tzv. vláda na čas. Politikové tak mají tendenci preferovat krátkodobé (stabilizační) hledisko z důvodu opětovného zvolení. Tím se dostáváme k dalšímu rysu stabilizační politiky. Stabilizační politika je často ztotožňována s politikou fiskální. Monetární politika má jistě určitou stabilizační funkci, ale od období stagflace 70. let 20. století má výrazněji na zřeteli hledisko dlouhodobé - prorůstové. Třetí charakteristikou stabilizační politiky je historický vývoj jejího uplatňování. Jak už bylo řečeno, od nekritického obdivu a jejího neomezeného uplatňování ve čtyřicátých až šedesátých letech 20. století, došlo v</w:t>
      </w:r>
      <w:r w:rsidR="00590FDE" w:rsidRPr="007E3D67">
        <w:t xml:space="preserve"> </w:t>
      </w:r>
      <w:r w:rsidRPr="007E3D67">
        <w:t>letech sedmdesátých, pod dojmem stagflace a vlivem monetarismu, k výraznému odklonu od této politiky. Od využívání stabilizační politiky se neustoupilo, ale začal být také pomalu kladen důraz na politiku prorůstovou.</w:t>
      </w:r>
    </w:p>
    <w:p w:rsidR="00590FDE" w:rsidRPr="007E3D67" w:rsidRDefault="00590FDE" w:rsidP="004048AB"/>
    <w:p w:rsidR="00590FDE" w:rsidRPr="007E3D67" w:rsidRDefault="00590FDE" w:rsidP="00590FDE">
      <w:r w:rsidRPr="007E3D67">
        <w:t xml:space="preserve">Z keynesiánského zdůvodnění fází hospodářského cyklu můžeme definovat 2 typy stabilizační politiky: </w:t>
      </w:r>
    </w:p>
    <w:p w:rsidR="00590FDE" w:rsidRPr="007E3D67" w:rsidRDefault="00590FDE" w:rsidP="00E311BA">
      <w:pPr>
        <w:pStyle w:val="Odstavecseseznamem"/>
        <w:numPr>
          <w:ilvl w:val="0"/>
          <w:numId w:val="22"/>
        </w:numPr>
        <w:spacing w:line="360" w:lineRule="auto"/>
        <w:rPr>
          <w:rFonts w:ascii="Times New Roman" w:hAnsi="Times New Roman" w:cs="Times New Roman"/>
        </w:rPr>
      </w:pPr>
      <w:r w:rsidRPr="007E3D67">
        <w:rPr>
          <w:rFonts w:ascii="Times New Roman" w:hAnsi="Times New Roman" w:cs="Times New Roman"/>
        </w:rPr>
        <w:t>Politika jemného ladění – pomocí diskrečních opatření typu „stop – go“ je eliminován hospodářský cyklus.</w:t>
      </w:r>
    </w:p>
    <w:p w:rsidR="00590FDE" w:rsidRPr="007E3D67" w:rsidRDefault="00590FDE" w:rsidP="00E311BA">
      <w:pPr>
        <w:pStyle w:val="Odstavecseseznamem"/>
        <w:numPr>
          <w:ilvl w:val="0"/>
          <w:numId w:val="22"/>
        </w:numPr>
        <w:spacing w:line="360" w:lineRule="auto"/>
        <w:rPr>
          <w:rFonts w:ascii="Times New Roman" w:hAnsi="Times New Roman" w:cs="Times New Roman"/>
        </w:rPr>
      </w:pPr>
      <w:r w:rsidRPr="007E3D67">
        <w:rPr>
          <w:rFonts w:ascii="Times New Roman" w:hAnsi="Times New Roman" w:cs="Times New Roman"/>
        </w:rPr>
        <w:t>Politika automatického ladění – využívajících vestavěných stabilizátorů.</w:t>
      </w:r>
    </w:p>
    <w:p w:rsidR="00DF02AF" w:rsidRPr="007E3D67" w:rsidRDefault="00DF02AF" w:rsidP="00DF02AF"/>
    <w:p w:rsidR="00DF02AF" w:rsidRPr="007E3D67" w:rsidRDefault="00DF02AF" w:rsidP="00DF02AF">
      <w:pPr>
        <w:pStyle w:val="Nadpis3"/>
        <w:rPr>
          <w:rFonts w:cs="Times New Roman"/>
        </w:rPr>
      </w:pPr>
      <w:bookmarkStart w:id="69" w:name="_Toc278920727"/>
      <w:bookmarkStart w:id="70" w:name="_Toc279696215"/>
      <w:r w:rsidRPr="007E3D67">
        <w:rPr>
          <w:rFonts w:cs="Times New Roman"/>
        </w:rPr>
        <w:t>Prorůstová hospodářská politika</w:t>
      </w:r>
      <w:bookmarkEnd w:id="69"/>
      <w:bookmarkEnd w:id="70"/>
    </w:p>
    <w:p w:rsidR="007960C1" w:rsidRPr="007E3D67" w:rsidRDefault="007960C1" w:rsidP="007960C1">
      <w:r w:rsidRPr="007E3D67">
        <w:t xml:space="preserve">Teorie růstu analyzují růst HDP z dlouhodobého pohledu. Předmětem </w:t>
      </w:r>
      <w:r w:rsidR="0057273E" w:rsidRPr="007E3D67">
        <w:t>analýz není</w:t>
      </w:r>
      <w:r w:rsidRPr="007E3D67">
        <w:t xml:space="preserve"> tedy to, co ovlivňuje HDP v krátkodobém, meziročním období. Tím se zabývají teorie </w:t>
      </w:r>
      <w:r w:rsidRPr="007E3D67">
        <w:lastRenderedPageBreak/>
        <w:t xml:space="preserve">hospodářského cyklu a v tomto kontextu pak posuzují úkoly stabilizační politiky, tedy v pravém smyslu keynesiánské hospodářské politiky. </w:t>
      </w:r>
      <w:r w:rsidR="0057273E" w:rsidRPr="007E3D67">
        <w:t>T</w:t>
      </w:r>
      <w:r w:rsidRPr="007E3D67">
        <w:t>eor</w:t>
      </w:r>
      <w:r w:rsidR="0057273E" w:rsidRPr="007E3D67">
        <w:t>ie</w:t>
      </w:r>
      <w:r w:rsidRPr="007E3D67">
        <w:t xml:space="preserve"> růstu zkoum</w:t>
      </w:r>
      <w:r w:rsidR="0057273E" w:rsidRPr="007E3D67">
        <w:t>ají to</w:t>
      </w:r>
      <w:r w:rsidRPr="007E3D67">
        <w:t xml:space="preserve">, co ovlivňuje </w:t>
      </w:r>
      <w:r w:rsidR="00EC0A2F" w:rsidRPr="007E3D67">
        <w:t xml:space="preserve"> kapacitvornost ekonomiky, resp. </w:t>
      </w:r>
      <w:r w:rsidRPr="007E3D67">
        <w:t>jej</w:t>
      </w:r>
      <w:r w:rsidR="00EC0A2F" w:rsidRPr="007E3D67">
        <w:t>í</w:t>
      </w:r>
      <w:r w:rsidR="0057273E" w:rsidRPr="007E3D67">
        <w:t xml:space="preserve"> potenciá</w:t>
      </w:r>
      <w:r w:rsidR="00EC0A2F" w:rsidRPr="007E3D67">
        <w:t>l</w:t>
      </w:r>
      <w:r w:rsidR="0057273E" w:rsidRPr="007E3D67">
        <w:t xml:space="preserve">, </w:t>
      </w:r>
      <w:r w:rsidR="00EC0A2F" w:rsidRPr="007E3D67">
        <w:t xml:space="preserve">vyjádřen v </w:t>
      </w:r>
      <w:r w:rsidRPr="007E3D67">
        <w:t>potenciální</w:t>
      </w:r>
      <w:r w:rsidR="00EC0A2F" w:rsidRPr="007E3D67">
        <w:t>m</w:t>
      </w:r>
      <w:r w:rsidRPr="007E3D67">
        <w:t xml:space="preserve"> růst</w:t>
      </w:r>
      <w:r w:rsidR="00EC0A2F" w:rsidRPr="007E3D67">
        <w:t>u</w:t>
      </w:r>
      <w:r w:rsidRPr="007E3D67">
        <w:t xml:space="preserve"> HDP. Potenciální růst </w:t>
      </w:r>
      <w:r w:rsidR="0057273E" w:rsidRPr="007E3D67">
        <w:t>je však teoretickou konstrukcí. J</w:t>
      </w:r>
      <w:r w:rsidRPr="007E3D67">
        <w:t xml:space="preserve">e mnoho možností, jak ho zjistit, avšak nejjednodušší je, jak už bylo výše řečeno, vypočítat ho jako geometrický průměr temp růstu HDP za pokud </w:t>
      </w:r>
      <w:r w:rsidR="00EC0A2F" w:rsidRPr="007E3D67">
        <w:t>možno co</w:t>
      </w:r>
      <w:r w:rsidRPr="007E3D67">
        <w:t xml:space="preserve"> nejdelší časové období.</w:t>
      </w:r>
    </w:p>
    <w:p w:rsidR="0057273E" w:rsidRPr="007E3D67" w:rsidRDefault="0057273E" w:rsidP="007960C1"/>
    <w:p w:rsidR="00370F51" w:rsidRPr="007E3D67" w:rsidRDefault="00EC0A2F" w:rsidP="0057273E">
      <w:r w:rsidRPr="007E3D67">
        <w:t>V souladu s klasickými teoriemi, jsou faktory ovlivňující kapacitvornost ekonomiky následující:</w:t>
      </w:r>
      <w:r w:rsidR="0057273E" w:rsidRPr="007E3D67">
        <w:t xml:space="preserve"> </w:t>
      </w:r>
    </w:p>
    <w:p w:rsidR="00590FDE" w:rsidRPr="007E3D67" w:rsidRDefault="00D47910" w:rsidP="00E311BA">
      <w:pPr>
        <w:pStyle w:val="Odstavecseseznamem"/>
        <w:numPr>
          <w:ilvl w:val="0"/>
          <w:numId w:val="23"/>
        </w:numPr>
        <w:spacing w:line="360" w:lineRule="auto"/>
        <w:rPr>
          <w:rFonts w:ascii="Times New Roman" w:hAnsi="Times New Roman" w:cs="Times New Roman"/>
        </w:rPr>
      </w:pPr>
      <w:r w:rsidRPr="007E3D67">
        <w:rPr>
          <w:rFonts w:ascii="Times New Roman" w:hAnsi="Times New Roman" w:cs="Times New Roman"/>
        </w:rPr>
        <w:t>Růst produktivity práce</w:t>
      </w:r>
      <w:r w:rsidR="00370F51" w:rsidRPr="007E3D67">
        <w:rPr>
          <w:rFonts w:ascii="Times New Roman" w:hAnsi="Times New Roman" w:cs="Times New Roman"/>
        </w:rPr>
        <w:t xml:space="preserve"> –</w:t>
      </w:r>
      <w:r w:rsidRPr="007E3D67">
        <w:rPr>
          <w:rFonts w:ascii="Times New Roman" w:hAnsi="Times New Roman" w:cs="Times New Roman"/>
        </w:rPr>
        <w:t xml:space="preserve"> neboli růst výstupu na obyvatele, protože poroste-li dlouhodobě výstup na obyvatele, dojde k růstu životní úrovně. </w:t>
      </w:r>
    </w:p>
    <w:p w:rsidR="00590FDE" w:rsidRPr="007E3D67" w:rsidRDefault="00370F51" w:rsidP="00E311BA">
      <w:pPr>
        <w:pStyle w:val="Odstavecseseznamem"/>
        <w:numPr>
          <w:ilvl w:val="0"/>
          <w:numId w:val="23"/>
        </w:numPr>
        <w:spacing w:line="360" w:lineRule="auto"/>
        <w:rPr>
          <w:rFonts w:ascii="Times New Roman" w:hAnsi="Times New Roman" w:cs="Times New Roman"/>
        </w:rPr>
      </w:pPr>
      <w:r w:rsidRPr="007E3D67">
        <w:rPr>
          <w:rFonts w:ascii="Times New Roman" w:hAnsi="Times New Roman" w:cs="Times New Roman"/>
        </w:rPr>
        <w:t xml:space="preserve">Růst akumulace kapitálu – neboli růst počtu nových strojů a zařízení. Vyšší vypovídací hodnotu bude mít podíl kapitálové akumulace na pracovníka (tzv. kapitálová vybavenost výroby) než samotná kapitálová akumulace, protože je celkem zřejmé, že stroje a zařízení </w:t>
      </w:r>
      <w:r w:rsidR="00AE7E4B" w:rsidRPr="007E3D67">
        <w:rPr>
          <w:rFonts w:ascii="Times New Roman" w:hAnsi="Times New Roman" w:cs="Times New Roman"/>
        </w:rPr>
        <w:t>mají využití</w:t>
      </w:r>
      <w:r w:rsidRPr="007E3D67">
        <w:rPr>
          <w:rFonts w:ascii="Times New Roman" w:hAnsi="Times New Roman" w:cs="Times New Roman"/>
        </w:rPr>
        <w:t xml:space="preserve"> pouze tehdy, bude-li na nich mít kdo pracovat. </w:t>
      </w:r>
    </w:p>
    <w:p w:rsidR="00D47910" w:rsidRPr="007E3D67" w:rsidRDefault="00D47910" w:rsidP="00E311BA">
      <w:pPr>
        <w:pStyle w:val="Odstavecseseznamem"/>
        <w:numPr>
          <w:ilvl w:val="0"/>
          <w:numId w:val="23"/>
        </w:numPr>
        <w:spacing w:line="360" w:lineRule="auto"/>
        <w:rPr>
          <w:rFonts w:ascii="Times New Roman" w:hAnsi="Times New Roman" w:cs="Times New Roman"/>
        </w:rPr>
      </w:pPr>
      <w:r w:rsidRPr="007E3D67">
        <w:rPr>
          <w:rFonts w:ascii="Times New Roman" w:hAnsi="Times New Roman" w:cs="Times New Roman"/>
        </w:rPr>
        <w:t>Technický pokrok – ve většině modelů je chápan tak, že rozšiřuje práci. Za technický pokrok je považováno tedy vše, co směřuje k rozšíření práce, tzn. k růstu produktivity práce.</w:t>
      </w:r>
    </w:p>
    <w:p w:rsidR="00995834" w:rsidRPr="007E3D67" w:rsidRDefault="00995834" w:rsidP="00995834">
      <w:pPr>
        <w:pStyle w:val="Odstavecseseznamem"/>
        <w:spacing w:line="360" w:lineRule="auto"/>
        <w:rPr>
          <w:rFonts w:ascii="Times New Roman" w:hAnsi="Times New Roman" w:cs="Times New Roman"/>
        </w:rPr>
      </w:pPr>
    </w:p>
    <w:p w:rsidR="00EA1E6A" w:rsidRPr="007E3D67" w:rsidRDefault="00995834" w:rsidP="009A2A1F">
      <w:pPr>
        <w:rPr>
          <w:b/>
        </w:rPr>
      </w:pPr>
      <w:r w:rsidRPr="007E3D67">
        <w:rPr>
          <w:b/>
        </w:rPr>
        <w:t>Shrnutí hlavních proudů teorie růstu a jejich modelů</w:t>
      </w:r>
    </w:p>
    <w:p w:rsidR="00995834" w:rsidRPr="007E3D67" w:rsidRDefault="00995834" w:rsidP="009A2A1F">
      <w:pPr>
        <w:rPr>
          <w:b/>
        </w:rPr>
      </w:pPr>
    </w:p>
    <w:p w:rsidR="009A2A1F" w:rsidRPr="007E3D67" w:rsidRDefault="009A2A1F" w:rsidP="00436F12">
      <w:r w:rsidRPr="007E3D67">
        <w:t xml:space="preserve">Keynesiánský model Harroda a Domara. </w:t>
      </w:r>
      <w:r w:rsidR="00436F12" w:rsidRPr="007E3D67">
        <w:t>Tento model vychází z k</w:t>
      </w:r>
      <w:r w:rsidR="000416EE" w:rsidRPr="007E3D67">
        <w:t>eynesiánsk</w:t>
      </w:r>
      <w:r w:rsidR="00436F12" w:rsidRPr="007E3D67">
        <w:t>é</w:t>
      </w:r>
      <w:r w:rsidR="000416EE" w:rsidRPr="007E3D67">
        <w:t xml:space="preserve"> teorie růstu</w:t>
      </w:r>
      <w:r w:rsidR="00436F12" w:rsidRPr="007E3D67">
        <w:t xml:space="preserve">, která </w:t>
      </w:r>
      <w:r w:rsidR="000416EE" w:rsidRPr="007E3D67">
        <w:t>zkoumá podmínky tzv. rovnovážného růstu při plné zaměstnanosti</w:t>
      </w:r>
      <w:r w:rsidR="00436F12" w:rsidRPr="007E3D67">
        <w:t xml:space="preserve">, dostatečné </w:t>
      </w:r>
      <w:r w:rsidR="000416EE" w:rsidRPr="007E3D67">
        <w:t>zásob</w:t>
      </w:r>
      <w:r w:rsidR="00436F12" w:rsidRPr="007E3D67">
        <w:t>ě</w:t>
      </w:r>
      <w:r w:rsidR="000416EE" w:rsidRPr="007E3D67">
        <w:t xml:space="preserve"> kapitálu a při tzv. plné zaměstnanosti pracovní síly a okolnost</w:t>
      </w:r>
      <w:r w:rsidR="00436F12" w:rsidRPr="007E3D67">
        <w:t>m</w:t>
      </w:r>
      <w:r w:rsidR="000416EE" w:rsidRPr="007E3D67">
        <w:t>i narušující tento růst.</w:t>
      </w:r>
      <w:r w:rsidR="00436F12" w:rsidRPr="007E3D67">
        <w:t xml:space="preserve"> Dalším výchozím bodem modelu je to, že se zabývá primárně krátkým </w:t>
      </w:r>
      <w:r w:rsidR="00F82404" w:rsidRPr="007E3D67">
        <w:t>obdobím</w:t>
      </w:r>
      <w:r w:rsidR="00436F12" w:rsidRPr="007E3D67">
        <w:t>.</w:t>
      </w:r>
      <w:r w:rsidRPr="007E3D67">
        <w:t xml:space="preserve"> </w:t>
      </w:r>
      <w:r w:rsidR="00436F12" w:rsidRPr="007E3D67">
        <w:t xml:space="preserve">Harrodův model růstu vznikl koncem </w:t>
      </w:r>
      <w:r w:rsidR="007242A2" w:rsidRPr="007E3D67">
        <w:t>40. let</w:t>
      </w:r>
      <w:r w:rsidR="00436F12" w:rsidRPr="007E3D67">
        <w:t>. Harrod vyjádřil tempo růstu G jako poměr</w:t>
      </w:r>
      <w:r w:rsidR="00F82404" w:rsidRPr="007E3D67">
        <w:t xml:space="preserve"> </w:t>
      </w:r>
      <w:r w:rsidR="00436F12" w:rsidRPr="007E3D67">
        <w:t>přírůstku národního důchodu v daném období k velikosti národního důchodu období</w:t>
      </w:r>
      <w:r w:rsidR="00F82404" w:rsidRPr="007E3D67">
        <w:t xml:space="preserve"> </w:t>
      </w:r>
      <w:r w:rsidR="00436F12" w:rsidRPr="007E3D67">
        <w:t>předcházejícího</w:t>
      </w:r>
      <w:r w:rsidR="00F82404" w:rsidRPr="007E3D67">
        <w:t>:</w:t>
      </w:r>
    </w:p>
    <w:p w:rsidR="00F82404" w:rsidRPr="007E3D67" w:rsidRDefault="00F82404" w:rsidP="00436F12"/>
    <w:p w:rsidR="00995834" w:rsidRPr="007E3D67" w:rsidRDefault="00A86723" w:rsidP="00BB37EF">
      <w:pPr>
        <w:jc w:val="center"/>
      </w:pPr>
      <m:oMath>
        <m:r>
          <w:rPr>
            <w:rFonts w:ascii="Cambria Math" w:hAnsi="Cambria Math"/>
          </w:rPr>
          <m:t>G</m:t>
        </m:r>
        <m:r>
          <w:rPr>
            <w:rFonts w:ascii="Cambria Math"/>
          </w:rPr>
          <m:t xml:space="preserve">=  </m:t>
        </m:r>
        <m:f>
          <m:fPr>
            <m:ctrlPr>
              <w:rPr>
                <w:rFonts w:ascii="Cambria Math" w:hAnsi="Cambria Math"/>
                <w:i/>
              </w:rPr>
            </m:ctrlPr>
          </m:fPr>
          <m:num>
            <m:r>
              <m:t>∆</m:t>
            </m:r>
            <m:r>
              <w:rPr>
                <w:rFonts w:ascii="Cambria Math"/>
              </w:rPr>
              <m:t xml:space="preserve"> </m:t>
            </m:r>
            <m:sSub>
              <m:sSubPr>
                <m:ctrlPr>
                  <w:rPr>
                    <w:rFonts w:ascii="Cambria Math" w:hAnsi="Cambria Math"/>
                    <w:i/>
                  </w:rPr>
                </m:ctrlPr>
              </m:sSubPr>
              <m:e>
                <m:r>
                  <w:rPr>
                    <w:rFonts w:ascii="Cambria Math" w:hAnsi="Cambria Math"/>
                  </w:rPr>
                  <m:t>Y</m:t>
                </m:r>
              </m:e>
              <m:sub>
                <m:r>
                  <w:rPr>
                    <w:rFonts w:ascii="Cambria Math" w:hAnsi="Cambria Math"/>
                  </w:rPr>
                  <m:t>t</m:t>
                </m:r>
              </m:sub>
            </m:sSub>
            <m:r>
              <w:rPr>
                <w:rFonts w:ascii="Cambria Math"/>
              </w:rPr>
              <m:t xml:space="preserve"> </m:t>
            </m:r>
          </m:num>
          <m:den>
            <m:r>
              <m:t>∆</m:t>
            </m:r>
            <m:r>
              <w:rPr>
                <w:rFonts w:ascii="Cambria Math"/>
              </w:rPr>
              <m:t xml:space="preserve"> </m:t>
            </m:r>
            <m:sSub>
              <m:sSubPr>
                <m:ctrlPr>
                  <w:rPr>
                    <w:rFonts w:ascii="Cambria Math" w:hAnsi="Cambria Math"/>
                    <w:i/>
                  </w:rPr>
                </m:ctrlPr>
              </m:sSubPr>
              <m:e>
                <m:r>
                  <w:rPr>
                    <w:rFonts w:ascii="Cambria Math" w:hAnsi="Cambria Math"/>
                  </w:rPr>
                  <m:t>Y</m:t>
                </m:r>
              </m:e>
              <m:sub>
                <m:r>
                  <w:rPr>
                    <w:rFonts w:ascii="Cambria Math" w:hAnsi="Cambria Math"/>
                  </w:rPr>
                  <m:t>t</m:t>
                </m:r>
                <m:r>
                  <m:t>-</m:t>
                </m:r>
                <m:r>
                  <w:rPr>
                    <w:rFonts w:ascii="Cambria Math"/>
                  </w:rPr>
                  <m:t>1</m:t>
                </m:r>
              </m:sub>
            </m:sSub>
            <m:r>
              <w:rPr>
                <w:rFonts w:ascii="Cambria Math"/>
              </w:rPr>
              <m:t xml:space="preserve"> </m:t>
            </m:r>
          </m:den>
        </m:f>
        <m:r>
          <w:rPr>
            <w:rFonts w:ascii="Cambria Math"/>
          </w:rPr>
          <m:t xml:space="preserve"> </m:t>
        </m:r>
      </m:oMath>
      <w:r w:rsidR="00BB37EF" w:rsidRPr="007E3D67">
        <w:tab/>
      </w:r>
      <w:r w:rsidR="00BB37EF" w:rsidRPr="007E3D67">
        <w:tab/>
        <w:t>(4)</w:t>
      </w:r>
    </w:p>
    <w:p w:rsidR="00F82404" w:rsidRPr="007E3D67" w:rsidRDefault="00F82404" w:rsidP="00F82404">
      <w:r w:rsidRPr="007E3D67">
        <w:lastRenderedPageBreak/>
        <w:t>Harrod rozlišoval 3 typy tempa růstu:</w:t>
      </w:r>
    </w:p>
    <w:p w:rsidR="00F82404" w:rsidRPr="007E3D67" w:rsidRDefault="00F82404" w:rsidP="00F82404">
      <w:pPr>
        <w:pStyle w:val="Odstavecseseznamem"/>
        <w:numPr>
          <w:ilvl w:val="0"/>
          <w:numId w:val="25"/>
        </w:numPr>
        <w:spacing w:line="360" w:lineRule="auto"/>
        <w:rPr>
          <w:rFonts w:ascii="Times New Roman" w:hAnsi="Times New Roman" w:cs="Times New Roman"/>
        </w:rPr>
      </w:pPr>
      <w:r w:rsidRPr="007E3D67">
        <w:rPr>
          <w:rFonts w:ascii="Times New Roman" w:hAnsi="Times New Roman" w:cs="Times New Roman"/>
        </w:rPr>
        <w:t>Skutečné tempo růstu – skutečný růst reálného HDP.</w:t>
      </w:r>
    </w:p>
    <w:p w:rsidR="00F82404" w:rsidRPr="007E3D67" w:rsidRDefault="00F82404" w:rsidP="00F82404">
      <w:pPr>
        <w:pStyle w:val="Odstavecseseznamem"/>
        <w:numPr>
          <w:ilvl w:val="0"/>
          <w:numId w:val="25"/>
        </w:numPr>
        <w:spacing w:line="360" w:lineRule="auto"/>
        <w:rPr>
          <w:rFonts w:ascii="Times New Roman" w:hAnsi="Times New Roman" w:cs="Times New Roman"/>
        </w:rPr>
      </w:pPr>
      <w:r w:rsidRPr="007E3D67">
        <w:rPr>
          <w:rFonts w:ascii="Times New Roman" w:hAnsi="Times New Roman" w:cs="Times New Roman"/>
        </w:rPr>
        <w:t>Zaručené tempo růstu – je takové, při němž je dosaženo požadované efektivnosti kapitálu. Při odvození zaručeného tempa Harrod vycházel z podmínky rovnosti úspor a investic.</w:t>
      </w:r>
    </w:p>
    <w:p w:rsidR="009973C9" w:rsidRPr="007E3D67" w:rsidRDefault="00F82404" w:rsidP="00F82404">
      <w:pPr>
        <w:pStyle w:val="Odstavecseseznamem"/>
        <w:numPr>
          <w:ilvl w:val="0"/>
          <w:numId w:val="25"/>
        </w:numPr>
        <w:spacing w:line="360" w:lineRule="auto"/>
        <w:rPr>
          <w:rFonts w:ascii="Times New Roman" w:hAnsi="Times New Roman" w:cs="Times New Roman"/>
        </w:rPr>
      </w:pPr>
      <w:r w:rsidRPr="007E3D67">
        <w:rPr>
          <w:rFonts w:ascii="Times New Roman" w:hAnsi="Times New Roman" w:cs="Times New Roman"/>
        </w:rPr>
        <w:t xml:space="preserve">Přirozené tempo růstu </w:t>
      </w:r>
      <w:r w:rsidR="009973C9" w:rsidRPr="007E3D67">
        <w:rPr>
          <w:rFonts w:ascii="Times New Roman" w:hAnsi="Times New Roman" w:cs="Times New Roman"/>
        </w:rPr>
        <w:t>–</w:t>
      </w:r>
      <w:r w:rsidRPr="007E3D67">
        <w:rPr>
          <w:rFonts w:ascii="Times New Roman" w:hAnsi="Times New Roman" w:cs="Times New Roman"/>
        </w:rPr>
        <w:t xml:space="preserve"> </w:t>
      </w:r>
      <w:r w:rsidR="009973C9" w:rsidRPr="007E3D67">
        <w:rPr>
          <w:rFonts w:ascii="Times New Roman" w:hAnsi="Times New Roman" w:cs="Times New Roman"/>
        </w:rPr>
        <w:t xml:space="preserve">je dáno součtem tempa růstu pracovní síly a technického pokroku (tedy produktivity práce). </w:t>
      </w:r>
    </w:p>
    <w:p w:rsidR="009973C9" w:rsidRPr="007E3D67" w:rsidRDefault="009973C9" w:rsidP="00F82404">
      <w:pPr>
        <w:pStyle w:val="Odstavecseseznamem"/>
        <w:numPr>
          <w:ilvl w:val="0"/>
          <w:numId w:val="25"/>
        </w:numPr>
        <w:spacing w:line="360" w:lineRule="auto"/>
        <w:rPr>
          <w:rFonts w:ascii="Times New Roman" w:hAnsi="Times New Roman" w:cs="Times New Roman"/>
        </w:rPr>
      </w:pPr>
      <w:r w:rsidRPr="007E3D67">
        <w:rPr>
          <w:rFonts w:ascii="Times New Roman" w:hAnsi="Times New Roman" w:cs="Times New Roman"/>
        </w:rPr>
        <w:t>Očekávané tempo růstu – je takové</w:t>
      </w:r>
      <w:r w:rsidR="009D6E25" w:rsidRPr="007E3D67">
        <w:rPr>
          <w:rFonts w:ascii="Times New Roman" w:hAnsi="Times New Roman" w:cs="Times New Roman"/>
        </w:rPr>
        <w:t>,</w:t>
      </w:r>
      <w:r w:rsidRPr="007E3D67">
        <w:rPr>
          <w:rFonts w:ascii="Times New Roman" w:hAnsi="Times New Roman" w:cs="Times New Roman"/>
        </w:rPr>
        <w:t xml:space="preserve"> je</w:t>
      </w:r>
      <w:r w:rsidR="009D6E25" w:rsidRPr="007E3D67">
        <w:rPr>
          <w:rFonts w:ascii="Times New Roman" w:hAnsi="Times New Roman" w:cs="Times New Roman"/>
        </w:rPr>
        <w:t>n</w:t>
      </w:r>
      <w:r w:rsidRPr="007E3D67">
        <w:rPr>
          <w:rFonts w:ascii="Times New Roman" w:hAnsi="Times New Roman" w:cs="Times New Roman"/>
        </w:rPr>
        <w:t>ž investoři a ostatní ekonomické subjekty očekávají.</w:t>
      </w:r>
    </w:p>
    <w:p w:rsidR="003268DE" w:rsidRPr="007E3D67" w:rsidRDefault="009973C9" w:rsidP="003268DE">
      <w:r w:rsidRPr="007E3D67">
        <w:t>Podle Harroda je ekonomika v rovnováze pouze, pokud se skutečné, zaručené, přirozené a očekávané tempo růstu sobě rovnají, což je celkem nepravděpodobné. Odtud se bere skepse Harroda, že ekonomika nemůže dlouhodobě stabilně růst, a že kapitalismus je krajně nestabilní systém (což je zcela v souladu s názory keynesiánců). Někdy je toto nazýváno jako „rovnováha na ostří nože".</w:t>
      </w:r>
    </w:p>
    <w:p w:rsidR="009973C9" w:rsidRPr="007E3D67" w:rsidRDefault="009973C9" w:rsidP="003268DE"/>
    <w:p w:rsidR="003E0EDE" w:rsidRPr="007E3D67" w:rsidRDefault="003E0EDE" w:rsidP="003E0EDE">
      <w:r w:rsidRPr="007E3D67">
        <w:t>Dalším modelem je neoklasický model Solowa a Swana, který částečně vychází a rozvíjí původní myšlenky Harroda. Neoklasický se nazývá proto, že vychází z neoklasické produkční funkce</w:t>
      </w:r>
      <w:r w:rsidR="00BB37EF" w:rsidRPr="007E3D67">
        <w:t>, viz rovnice (5)</w:t>
      </w:r>
      <w:r w:rsidRPr="007E3D67">
        <w:t xml:space="preserve">. </w:t>
      </w:r>
    </w:p>
    <w:p w:rsidR="00DD1600" w:rsidRPr="007E3D67" w:rsidRDefault="00DD1600" w:rsidP="003E0EDE"/>
    <w:p w:rsidR="000A539A" w:rsidRPr="007E3D67" w:rsidRDefault="000A539A" w:rsidP="00BB37EF">
      <w:pPr>
        <w:jc w:val="center"/>
      </w:pPr>
      <m:oMath>
        <m:r>
          <w:rPr>
            <w:rFonts w:ascii="Cambria Math" w:hAnsi="Cambria Math"/>
          </w:rPr>
          <m:t>Y</m:t>
        </m:r>
        <m:r>
          <w:rPr>
            <w:rFonts w:ascii="Cambria Math"/>
          </w:rPr>
          <m:t>=</m:t>
        </m:r>
        <m:r>
          <w:rPr>
            <w:rFonts w:ascii="Cambria Math" w:hAnsi="Cambria Math"/>
          </w:rPr>
          <m:t>f</m:t>
        </m:r>
        <m:r>
          <w:rPr>
            <w:rFonts w:ascii="Cambria Math"/>
          </w:rPr>
          <m:t xml:space="preserve"> (</m:t>
        </m:r>
        <m:r>
          <w:rPr>
            <w:rFonts w:ascii="Cambria Math" w:hAnsi="Cambria Math"/>
          </w:rPr>
          <m:t>K</m:t>
        </m:r>
        <m:r>
          <w:rPr>
            <w:rFonts w:ascii="Cambria Math"/>
          </w:rPr>
          <m:t xml:space="preserve">, </m:t>
        </m:r>
        <m:r>
          <w:rPr>
            <w:rFonts w:ascii="Cambria Math" w:hAnsi="Cambria Math"/>
          </w:rPr>
          <m:t>L</m:t>
        </m:r>
        <m:r>
          <w:rPr>
            <w:rFonts w:ascii="Cambria Math"/>
          </w:rPr>
          <m:t>)</m:t>
        </m:r>
      </m:oMath>
      <w:r w:rsidR="00BB37EF" w:rsidRPr="007E3D67">
        <w:tab/>
      </w:r>
      <w:r w:rsidR="00BB37EF" w:rsidRPr="007E3D67">
        <w:tab/>
        <w:t>(5)</w:t>
      </w:r>
    </w:p>
    <w:p w:rsidR="00077CB4" w:rsidRPr="007E3D67" w:rsidRDefault="00077CB4" w:rsidP="003E0EDE"/>
    <w:p w:rsidR="00077CB4" w:rsidRPr="007E3D67" w:rsidRDefault="003E0EDE" w:rsidP="003268DE">
      <w:r w:rsidRPr="007E3D67">
        <w:t>Tento model zkoumá ekonomický růst na pracovníka či na obyvatele, který je dominantní ve vztahu k životní úrovni. Klíčovým se v modelu jeví předpoklad klesajících výnosů z kapitálu. Jak ukazuje neoklasická produkční funkce, každá dodatečná jednotka kapitálu na pracovníka tak vede k menšímu růstu výstupu na pracovníka.</w:t>
      </w:r>
      <w:r w:rsidR="00261B67" w:rsidRPr="007E3D67">
        <w:t xml:space="preserve"> Další investice, tedy zvyšování akumulace kapitálu už nepřináší další růst produkce. Růst výstupu na pracovníka se zastaví. Tato situace se nazývá stálý stav. První a klíčový závěr Solowova modelu je, že každá ekonomika se dříve či později dostane do tohoto stálého stavu, jenž je způsoben klesajícím mezním produktem kapitálu. V tomto případě má smysl zvyšovat kapitálovou akumulaci, pouze pokud chceme strojem vybavit dalšího pracovníka, či pokud vzroste produktivita práce, což je technický pokrok.</w:t>
      </w:r>
    </w:p>
    <w:p w:rsidR="00077CB4" w:rsidRPr="007E3D67" w:rsidRDefault="00077CB4" w:rsidP="003268DE"/>
    <w:p w:rsidR="00077CB4" w:rsidRPr="007E3D67" w:rsidRDefault="00077CB4" w:rsidP="003268DE">
      <w:r w:rsidRPr="007E3D67">
        <w:lastRenderedPageBreak/>
        <w:t xml:space="preserve">Problémem tohoto modelu je, že technický pokrok chápe jako exogenní veličinu a dále ho neupřesňuje, pouze předpokládá, že roste konstantním tempem. </w:t>
      </w:r>
    </w:p>
    <w:p w:rsidR="007F6AFE" w:rsidRDefault="007F6AFE" w:rsidP="003268DE">
      <w:r>
        <w:t>(WEI-BIN ZHANG 2005: 74 )</w:t>
      </w:r>
    </w:p>
    <w:p w:rsidR="007F6AFE" w:rsidRPr="007E3D67" w:rsidRDefault="007F6AFE" w:rsidP="003268DE"/>
    <w:p w:rsidR="0057064F" w:rsidRPr="007E3D67" w:rsidRDefault="009D6E25" w:rsidP="003268DE">
      <w:r w:rsidRPr="007E3D67">
        <w:t>Nové teorie růstu, v podobě teoríí endogenního růstu Lucase či Romera, daly základ dalším m</w:t>
      </w:r>
      <w:r w:rsidR="007242A2" w:rsidRPr="007E3D67">
        <w:t>odelům. Tyto modely již</w:t>
      </w:r>
      <w:r w:rsidRPr="007E3D67">
        <w:t xml:space="preserve"> endogenizují technický pokrok. Technický pokrok je potom např. pozitivně spjat s kapitálovou akumulací apod. Dalším přínosem nových teorií růstu je rozšíření pojetí kapitálu o lidský kapitál. Toto rozšíření má velmi významné konsekvence. Někteří představitelé nových teorií růstu se domnívají, že lidský kapitál (znalosti, vzdělání apod.) nemají klesající mezní produkt, tedy, že každá dodatečná jednotka kapitálu povede k většímu růstu výstupu. Investice do vzdělání jsou pak nejlepší investicí. Pokud bychom kapitálovou akumulaci chápali jako akumulaci fyzického i lidského kapitálu, tak by mezní produkt kapitálu jako celku klesal mnohem pomaleji, než se domníval Solow, nebo dokonce vůbec neklesal. V extremním případě by pak mezní produkt kapitálu rostl.</w:t>
      </w:r>
    </w:p>
    <w:p w:rsidR="0066604C" w:rsidRDefault="0066604C">
      <w:pPr>
        <w:spacing w:line="240" w:lineRule="auto"/>
        <w:jc w:val="left"/>
      </w:pPr>
      <w:r>
        <w:br w:type="page"/>
      </w:r>
    </w:p>
    <w:p w:rsidR="00DD1600" w:rsidRPr="007E3D67" w:rsidRDefault="00DD1600" w:rsidP="003268DE"/>
    <w:p w:rsidR="00BB5CD7" w:rsidRPr="007E3D67" w:rsidRDefault="00BB5CD7" w:rsidP="00AB317A">
      <w:pPr>
        <w:pStyle w:val="CaptionIntroductionparagraph"/>
      </w:pPr>
      <w:bookmarkStart w:id="71" w:name="_Toc279438697"/>
      <w:bookmarkStart w:id="72" w:name="_Toc279696246"/>
      <w:bookmarkStart w:id="73" w:name="_Toc279696335"/>
      <w:bookmarkStart w:id="74" w:name="_Toc279307370"/>
      <w:r w:rsidRPr="007E3D67">
        <w:t>Tab</w:t>
      </w:r>
      <w:r w:rsidR="00DD1600" w:rsidRPr="007E3D67">
        <w:t xml:space="preserve">. </w:t>
      </w:r>
      <w:r w:rsidR="005442EA" w:rsidRPr="007E3D67">
        <w:t>4</w:t>
      </w:r>
      <w:r w:rsidR="00DD1600" w:rsidRPr="007E3D67">
        <w:t>:</w:t>
      </w:r>
      <w:r w:rsidRPr="007E3D67">
        <w:t xml:space="preserve"> Faktory a zdroje dlouhodobého ekonomického růstu</w:t>
      </w:r>
      <w:bookmarkEnd w:id="71"/>
      <w:bookmarkEnd w:id="72"/>
      <w:bookmarkEnd w:id="73"/>
      <w:r w:rsidRPr="007E3D67">
        <w:t xml:space="preserve"> </w:t>
      </w:r>
      <w:bookmarkEnd w:id="74"/>
    </w:p>
    <w:tbl>
      <w:tblPr>
        <w:tblW w:w="8220" w:type="dxa"/>
        <w:tblInd w:w="53" w:type="dxa"/>
        <w:tblCellMar>
          <w:left w:w="70" w:type="dxa"/>
          <w:right w:w="70" w:type="dxa"/>
        </w:tblCellMar>
        <w:tblLook w:val="04A0"/>
      </w:tblPr>
      <w:tblGrid>
        <w:gridCol w:w="1720"/>
        <w:gridCol w:w="1180"/>
        <w:gridCol w:w="5320"/>
      </w:tblGrid>
      <w:tr w:rsidR="000C4D75" w:rsidRPr="007E3D67" w:rsidTr="000C4D75">
        <w:trPr>
          <w:trHeight w:val="615"/>
        </w:trPr>
        <w:tc>
          <w:tcPr>
            <w:tcW w:w="1720" w:type="dxa"/>
            <w:tcBorders>
              <w:top w:val="single" w:sz="4" w:space="0" w:color="auto"/>
              <w:left w:val="single" w:sz="4" w:space="0" w:color="auto"/>
              <w:bottom w:val="single" w:sz="4" w:space="0" w:color="auto"/>
              <w:right w:val="single" w:sz="4" w:space="0" w:color="auto"/>
            </w:tcBorders>
            <w:shd w:val="clear" w:color="000000" w:fill="95B3D7"/>
            <w:vAlign w:val="center"/>
            <w:hideMark/>
          </w:tcPr>
          <w:p w:rsidR="000C4D75" w:rsidRPr="007E3D67" w:rsidRDefault="000C4D75" w:rsidP="000C4D75">
            <w:pPr>
              <w:spacing w:line="240" w:lineRule="auto"/>
              <w:jc w:val="center"/>
              <w:rPr>
                <w:b/>
                <w:bCs/>
                <w:color w:val="FFFFFF"/>
                <w:sz w:val="22"/>
                <w:szCs w:val="22"/>
                <w:lang w:eastAsia="cs-CZ"/>
              </w:rPr>
            </w:pPr>
            <w:r w:rsidRPr="007E3D67">
              <w:rPr>
                <w:b/>
                <w:bCs/>
                <w:color w:val="FFFFFF"/>
                <w:sz w:val="22"/>
                <w:szCs w:val="22"/>
                <w:lang w:eastAsia="cs-CZ"/>
              </w:rPr>
              <w:t>Faktor</w:t>
            </w:r>
          </w:p>
        </w:tc>
        <w:tc>
          <w:tcPr>
            <w:tcW w:w="1180" w:type="dxa"/>
            <w:tcBorders>
              <w:top w:val="single" w:sz="4" w:space="0" w:color="auto"/>
              <w:left w:val="nil"/>
              <w:bottom w:val="single" w:sz="4" w:space="0" w:color="auto"/>
              <w:right w:val="single" w:sz="4" w:space="0" w:color="auto"/>
            </w:tcBorders>
            <w:shd w:val="clear" w:color="000000" w:fill="95B3D7"/>
            <w:vAlign w:val="center"/>
            <w:hideMark/>
          </w:tcPr>
          <w:p w:rsidR="000C4D75" w:rsidRPr="007E3D67" w:rsidRDefault="000C4D75" w:rsidP="000C4D75">
            <w:pPr>
              <w:spacing w:line="240" w:lineRule="auto"/>
              <w:jc w:val="center"/>
              <w:rPr>
                <w:b/>
                <w:bCs/>
                <w:color w:val="FFFFFF"/>
                <w:sz w:val="22"/>
                <w:szCs w:val="22"/>
                <w:lang w:eastAsia="cs-CZ"/>
              </w:rPr>
            </w:pPr>
            <w:r w:rsidRPr="007E3D67">
              <w:rPr>
                <w:b/>
                <w:bCs/>
                <w:color w:val="FFFFFF"/>
                <w:sz w:val="22"/>
                <w:szCs w:val="22"/>
                <w:lang w:eastAsia="cs-CZ"/>
              </w:rPr>
              <w:t>Vliv na DD růst</w:t>
            </w:r>
          </w:p>
        </w:tc>
        <w:tc>
          <w:tcPr>
            <w:tcW w:w="5320" w:type="dxa"/>
            <w:tcBorders>
              <w:top w:val="single" w:sz="4" w:space="0" w:color="auto"/>
              <w:left w:val="nil"/>
              <w:bottom w:val="single" w:sz="4" w:space="0" w:color="auto"/>
              <w:right w:val="single" w:sz="4" w:space="0" w:color="auto"/>
            </w:tcBorders>
            <w:shd w:val="clear" w:color="000000" w:fill="95B3D7"/>
            <w:vAlign w:val="center"/>
            <w:hideMark/>
          </w:tcPr>
          <w:p w:rsidR="000C4D75" w:rsidRPr="007E3D67" w:rsidRDefault="000C4D75" w:rsidP="000C4D75">
            <w:pPr>
              <w:spacing w:line="240" w:lineRule="auto"/>
              <w:jc w:val="center"/>
              <w:rPr>
                <w:b/>
                <w:bCs/>
                <w:color w:val="FFFFFF"/>
                <w:sz w:val="22"/>
                <w:szCs w:val="22"/>
                <w:lang w:eastAsia="cs-CZ"/>
              </w:rPr>
            </w:pPr>
            <w:r w:rsidRPr="007E3D67">
              <w:rPr>
                <w:b/>
                <w:bCs/>
                <w:color w:val="FFFFFF"/>
                <w:sz w:val="22"/>
                <w:szCs w:val="22"/>
                <w:lang w:eastAsia="cs-CZ"/>
              </w:rPr>
              <w:t>Zdůvodnění</w:t>
            </w:r>
          </w:p>
        </w:tc>
      </w:tr>
      <w:tr w:rsidR="000C4D75" w:rsidRPr="007E3D67" w:rsidTr="00BB5CD7">
        <w:trPr>
          <w:trHeight w:val="647"/>
        </w:trPr>
        <w:tc>
          <w:tcPr>
            <w:tcW w:w="1720" w:type="dxa"/>
            <w:tcBorders>
              <w:top w:val="nil"/>
              <w:left w:val="single" w:sz="8" w:space="0" w:color="auto"/>
              <w:bottom w:val="single" w:sz="4" w:space="0" w:color="auto"/>
              <w:right w:val="single" w:sz="4" w:space="0" w:color="auto"/>
            </w:tcBorders>
            <w:shd w:val="clear" w:color="auto" w:fill="auto"/>
            <w:hideMark/>
          </w:tcPr>
          <w:p w:rsidR="000C4D75" w:rsidRPr="007E3D67" w:rsidRDefault="000C4D75" w:rsidP="00BB5CD7">
            <w:pPr>
              <w:spacing w:line="240" w:lineRule="auto"/>
              <w:jc w:val="left"/>
              <w:rPr>
                <w:color w:val="000000"/>
                <w:sz w:val="20"/>
                <w:szCs w:val="20"/>
                <w:lang w:eastAsia="cs-CZ"/>
              </w:rPr>
            </w:pPr>
            <w:r w:rsidRPr="007E3D67">
              <w:rPr>
                <w:color w:val="000000"/>
                <w:sz w:val="20"/>
                <w:szCs w:val="20"/>
                <w:lang w:eastAsia="cs-CZ"/>
              </w:rPr>
              <w:t>míra úspor</w:t>
            </w:r>
            <w:r w:rsidR="00BB5CD7" w:rsidRPr="007E3D67">
              <w:rPr>
                <w:color w:val="000000"/>
                <w:sz w:val="20"/>
                <w:szCs w:val="20"/>
                <w:lang w:eastAsia="cs-CZ"/>
              </w:rPr>
              <w:t>,</w:t>
            </w:r>
            <w:r w:rsidRPr="007E3D67">
              <w:rPr>
                <w:color w:val="000000"/>
                <w:sz w:val="20"/>
                <w:szCs w:val="20"/>
                <w:lang w:eastAsia="cs-CZ"/>
              </w:rPr>
              <w:t xml:space="preserve"> míra investic</w:t>
            </w:r>
            <w:r w:rsidR="00BB5CD7" w:rsidRPr="007E3D67">
              <w:rPr>
                <w:color w:val="000000"/>
                <w:sz w:val="20"/>
                <w:szCs w:val="20"/>
                <w:lang w:eastAsia="cs-CZ"/>
              </w:rPr>
              <w:t>,</w:t>
            </w:r>
            <w:r w:rsidRPr="007E3D67">
              <w:rPr>
                <w:color w:val="000000"/>
                <w:sz w:val="20"/>
                <w:szCs w:val="20"/>
                <w:lang w:eastAsia="cs-CZ"/>
              </w:rPr>
              <w:t xml:space="preserve"> akumulace kapitálu</w:t>
            </w:r>
          </w:p>
        </w:tc>
        <w:tc>
          <w:tcPr>
            <w:tcW w:w="1180" w:type="dxa"/>
            <w:tcBorders>
              <w:top w:val="nil"/>
              <w:left w:val="nil"/>
              <w:bottom w:val="single" w:sz="4" w:space="0" w:color="auto"/>
              <w:right w:val="single" w:sz="4" w:space="0" w:color="auto"/>
            </w:tcBorders>
            <w:shd w:val="clear" w:color="auto" w:fill="auto"/>
            <w:hideMark/>
          </w:tcPr>
          <w:p w:rsidR="000C4D75" w:rsidRPr="007E3D67" w:rsidRDefault="000C4D75" w:rsidP="005F3144">
            <w:pPr>
              <w:spacing w:line="240" w:lineRule="auto"/>
              <w:jc w:val="center"/>
              <w:rPr>
                <w:color w:val="000000"/>
                <w:sz w:val="20"/>
                <w:szCs w:val="20"/>
                <w:lang w:eastAsia="cs-CZ"/>
              </w:rPr>
            </w:pPr>
            <w:r w:rsidRPr="007E3D67">
              <w:rPr>
                <w:color w:val="000000"/>
                <w:sz w:val="20"/>
                <w:szCs w:val="20"/>
                <w:lang w:eastAsia="cs-CZ"/>
              </w:rPr>
              <w:t>pozitivní</w:t>
            </w:r>
          </w:p>
        </w:tc>
        <w:tc>
          <w:tcPr>
            <w:tcW w:w="5320" w:type="dxa"/>
            <w:tcBorders>
              <w:top w:val="nil"/>
              <w:left w:val="nil"/>
              <w:bottom w:val="single" w:sz="4" w:space="0" w:color="auto"/>
              <w:right w:val="single" w:sz="8" w:space="0" w:color="auto"/>
            </w:tcBorders>
            <w:shd w:val="clear" w:color="auto" w:fill="auto"/>
            <w:hideMark/>
          </w:tcPr>
          <w:p w:rsidR="000C4D75" w:rsidRPr="007E3D67" w:rsidRDefault="000C4D75" w:rsidP="000C4D75">
            <w:pPr>
              <w:spacing w:line="240" w:lineRule="auto"/>
              <w:jc w:val="left"/>
              <w:rPr>
                <w:color w:val="000000"/>
                <w:sz w:val="20"/>
                <w:szCs w:val="20"/>
                <w:lang w:eastAsia="cs-CZ"/>
              </w:rPr>
            </w:pPr>
            <w:r w:rsidRPr="007E3D67">
              <w:rPr>
                <w:color w:val="000000"/>
                <w:sz w:val="20"/>
                <w:szCs w:val="20"/>
                <w:lang w:eastAsia="cs-CZ"/>
              </w:rPr>
              <w:t>růst míry úspor vede, prostřednictvím růstu investic, k růstu akumulace kapitálu a zvýšení dlouhodobého růstu, avšak pouze na cestě ke stálému stavu (viz neoklasický model růstu)</w:t>
            </w:r>
          </w:p>
        </w:tc>
      </w:tr>
      <w:tr w:rsidR="000C4D75" w:rsidRPr="007E3D67" w:rsidTr="00BB5CD7">
        <w:trPr>
          <w:trHeight w:val="477"/>
        </w:trPr>
        <w:tc>
          <w:tcPr>
            <w:tcW w:w="1720" w:type="dxa"/>
            <w:tcBorders>
              <w:top w:val="nil"/>
              <w:left w:val="single" w:sz="8" w:space="0" w:color="auto"/>
              <w:bottom w:val="single" w:sz="4" w:space="0" w:color="auto"/>
              <w:right w:val="single" w:sz="4" w:space="0" w:color="auto"/>
            </w:tcBorders>
            <w:shd w:val="clear" w:color="auto" w:fill="auto"/>
            <w:hideMark/>
          </w:tcPr>
          <w:p w:rsidR="000C4D75" w:rsidRPr="007E3D67" w:rsidRDefault="000C4D75" w:rsidP="00BB5CD7">
            <w:pPr>
              <w:spacing w:line="240" w:lineRule="auto"/>
              <w:jc w:val="left"/>
              <w:rPr>
                <w:color w:val="000000"/>
                <w:sz w:val="20"/>
                <w:szCs w:val="20"/>
                <w:lang w:eastAsia="cs-CZ"/>
              </w:rPr>
            </w:pPr>
            <w:r w:rsidRPr="007E3D67">
              <w:rPr>
                <w:color w:val="000000"/>
                <w:sz w:val="20"/>
                <w:szCs w:val="20"/>
                <w:lang w:eastAsia="cs-CZ"/>
              </w:rPr>
              <w:t>pracovní síla</w:t>
            </w:r>
          </w:p>
        </w:tc>
        <w:tc>
          <w:tcPr>
            <w:tcW w:w="1180" w:type="dxa"/>
            <w:tcBorders>
              <w:top w:val="nil"/>
              <w:left w:val="nil"/>
              <w:bottom w:val="single" w:sz="4" w:space="0" w:color="auto"/>
              <w:right w:val="single" w:sz="4" w:space="0" w:color="auto"/>
            </w:tcBorders>
            <w:shd w:val="clear" w:color="auto" w:fill="auto"/>
            <w:hideMark/>
          </w:tcPr>
          <w:p w:rsidR="000C4D75" w:rsidRPr="007E3D67" w:rsidRDefault="000C4D75" w:rsidP="005F3144">
            <w:pPr>
              <w:spacing w:line="240" w:lineRule="auto"/>
              <w:jc w:val="center"/>
              <w:rPr>
                <w:color w:val="000000"/>
                <w:sz w:val="20"/>
                <w:szCs w:val="20"/>
                <w:lang w:eastAsia="cs-CZ"/>
              </w:rPr>
            </w:pPr>
            <w:r w:rsidRPr="007E3D67">
              <w:rPr>
                <w:color w:val="000000"/>
                <w:sz w:val="20"/>
                <w:szCs w:val="20"/>
                <w:lang w:eastAsia="cs-CZ"/>
              </w:rPr>
              <w:t>pozitivní</w:t>
            </w:r>
          </w:p>
        </w:tc>
        <w:tc>
          <w:tcPr>
            <w:tcW w:w="5320" w:type="dxa"/>
            <w:tcBorders>
              <w:top w:val="nil"/>
              <w:left w:val="nil"/>
              <w:bottom w:val="single" w:sz="4" w:space="0" w:color="auto"/>
              <w:right w:val="single" w:sz="8" w:space="0" w:color="auto"/>
            </w:tcBorders>
            <w:shd w:val="clear" w:color="auto" w:fill="auto"/>
            <w:hideMark/>
          </w:tcPr>
          <w:p w:rsidR="000C4D75" w:rsidRPr="007E3D67" w:rsidRDefault="000C4D75" w:rsidP="000C4D75">
            <w:pPr>
              <w:spacing w:line="240" w:lineRule="auto"/>
              <w:jc w:val="left"/>
              <w:rPr>
                <w:color w:val="000000"/>
                <w:sz w:val="20"/>
                <w:szCs w:val="20"/>
                <w:lang w:eastAsia="cs-CZ"/>
              </w:rPr>
            </w:pPr>
            <w:r w:rsidRPr="007E3D67">
              <w:rPr>
                <w:color w:val="000000"/>
                <w:sz w:val="20"/>
                <w:szCs w:val="20"/>
                <w:lang w:eastAsia="cs-CZ"/>
              </w:rPr>
              <w:t>růst pracovní síly vede ke zvýšení kapacit ekonomiky a k DD růstu ekonomiky</w:t>
            </w:r>
          </w:p>
        </w:tc>
      </w:tr>
      <w:tr w:rsidR="000C4D75" w:rsidRPr="007E3D67" w:rsidTr="00BB5CD7">
        <w:trPr>
          <w:trHeight w:val="429"/>
        </w:trPr>
        <w:tc>
          <w:tcPr>
            <w:tcW w:w="1720" w:type="dxa"/>
            <w:tcBorders>
              <w:top w:val="nil"/>
              <w:left w:val="single" w:sz="8" w:space="0" w:color="auto"/>
              <w:bottom w:val="single" w:sz="4" w:space="0" w:color="auto"/>
              <w:right w:val="single" w:sz="4" w:space="0" w:color="auto"/>
            </w:tcBorders>
            <w:shd w:val="clear" w:color="auto" w:fill="auto"/>
            <w:hideMark/>
          </w:tcPr>
          <w:p w:rsidR="000C4D75" w:rsidRPr="007E3D67" w:rsidRDefault="000C4D75" w:rsidP="00BB5CD7">
            <w:pPr>
              <w:spacing w:line="240" w:lineRule="auto"/>
              <w:jc w:val="left"/>
              <w:rPr>
                <w:color w:val="000000"/>
                <w:sz w:val="20"/>
                <w:szCs w:val="20"/>
                <w:lang w:eastAsia="cs-CZ"/>
              </w:rPr>
            </w:pPr>
            <w:r w:rsidRPr="007E3D67">
              <w:rPr>
                <w:color w:val="000000"/>
                <w:sz w:val="20"/>
                <w:szCs w:val="20"/>
                <w:lang w:eastAsia="cs-CZ"/>
              </w:rPr>
              <w:t>technický pokrok</w:t>
            </w:r>
          </w:p>
        </w:tc>
        <w:tc>
          <w:tcPr>
            <w:tcW w:w="1180" w:type="dxa"/>
            <w:tcBorders>
              <w:top w:val="nil"/>
              <w:left w:val="nil"/>
              <w:bottom w:val="single" w:sz="4" w:space="0" w:color="auto"/>
              <w:right w:val="single" w:sz="4" w:space="0" w:color="auto"/>
            </w:tcBorders>
            <w:shd w:val="clear" w:color="auto" w:fill="auto"/>
            <w:hideMark/>
          </w:tcPr>
          <w:p w:rsidR="000C4D75" w:rsidRPr="007E3D67" w:rsidRDefault="000C4D75" w:rsidP="005F3144">
            <w:pPr>
              <w:spacing w:line="240" w:lineRule="auto"/>
              <w:jc w:val="center"/>
              <w:rPr>
                <w:color w:val="000000"/>
                <w:sz w:val="20"/>
                <w:szCs w:val="20"/>
                <w:lang w:eastAsia="cs-CZ"/>
              </w:rPr>
            </w:pPr>
            <w:r w:rsidRPr="007E3D67">
              <w:rPr>
                <w:color w:val="000000"/>
                <w:sz w:val="20"/>
                <w:szCs w:val="20"/>
                <w:lang w:eastAsia="cs-CZ"/>
              </w:rPr>
              <w:t>pozitivní</w:t>
            </w:r>
          </w:p>
        </w:tc>
        <w:tc>
          <w:tcPr>
            <w:tcW w:w="5320" w:type="dxa"/>
            <w:tcBorders>
              <w:top w:val="nil"/>
              <w:left w:val="nil"/>
              <w:bottom w:val="single" w:sz="4" w:space="0" w:color="auto"/>
              <w:right w:val="single" w:sz="8" w:space="0" w:color="auto"/>
            </w:tcBorders>
            <w:shd w:val="clear" w:color="auto" w:fill="auto"/>
            <w:hideMark/>
          </w:tcPr>
          <w:p w:rsidR="000C4D75" w:rsidRPr="007E3D67" w:rsidRDefault="000C4D75" w:rsidP="000C4D75">
            <w:pPr>
              <w:spacing w:line="240" w:lineRule="auto"/>
              <w:jc w:val="left"/>
              <w:rPr>
                <w:color w:val="000000"/>
                <w:sz w:val="20"/>
                <w:szCs w:val="20"/>
                <w:lang w:eastAsia="cs-CZ"/>
              </w:rPr>
            </w:pPr>
            <w:r w:rsidRPr="007E3D67">
              <w:rPr>
                <w:color w:val="000000"/>
                <w:sz w:val="20"/>
                <w:szCs w:val="20"/>
                <w:lang w:eastAsia="cs-CZ"/>
              </w:rPr>
              <w:t>růst technického pokroku, tzn. růst produktivity výrobních faktorů vede k vyššímu DD růstu</w:t>
            </w:r>
          </w:p>
        </w:tc>
      </w:tr>
      <w:tr w:rsidR="000C4D75" w:rsidRPr="007E3D67" w:rsidTr="00BB5CD7">
        <w:trPr>
          <w:trHeight w:val="636"/>
        </w:trPr>
        <w:tc>
          <w:tcPr>
            <w:tcW w:w="1720" w:type="dxa"/>
            <w:tcBorders>
              <w:top w:val="nil"/>
              <w:left w:val="single" w:sz="8" w:space="0" w:color="auto"/>
              <w:bottom w:val="single" w:sz="4" w:space="0" w:color="auto"/>
              <w:right w:val="single" w:sz="4" w:space="0" w:color="auto"/>
            </w:tcBorders>
            <w:shd w:val="clear" w:color="auto" w:fill="auto"/>
            <w:hideMark/>
          </w:tcPr>
          <w:p w:rsidR="000C4D75" w:rsidRPr="007E3D67" w:rsidRDefault="000C4D75" w:rsidP="00BB5CD7">
            <w:pPr>
              <w:spacing w:line="240" w:lineRule="auto"/>
              <w:jc w:val="left"/>
              <w:rPr>
                <w:color w:val="000000"/>
                <w:sz w:val="20"/>
                <w:szCs w:val="20"/>
                <w:lang w:eastAsia="cs-CZ"/>
              </w:rPr>
            </w:pPr>
            <w:r w:rsidRPr="007E3D67">
              <w:rPr>
                <w:color w:val="000000"/>
                <w:sz w:val="20"/>
                <w:szCs w:val="20"/>
                <w:lang w:eastAsia="cs-CZ"/>
              </w:rPr>
              <w:t>lidský kapitál</w:t>
            </w:r>
          </w:p>
        </w:tc>
        <w:tc>
          <w:tcPr>
            <w:tcW w:w="1180" w:type="dxa"/>
            <w:tcBorders>
              <w:top w:val="nil"/>
              <w:left w:val="nil"/>
              <w:bottom w:val="single" w:sz="4" w:space="0" w:color="auto"/>
              <w:right w:val="single" w:sz="4" w:space="0" w:color="auto"/>
            </w:tcBorders>
            <w:shd w:val="clear" w:color="auto" w:fill="auto"/>
            <w:hideMark/>
          </w:tcPr>
          <w:p w:rsidR="000C4D75" w:rsidRPr="007E3D67" w:rsidRDefault="000C4D75" w:rsidP="005F3144">
            <w:pPr>
              <w:spacing w:line="240" w:lineRule="auto"/>
              <w:jc w:val="center"/>
              <w:rPr>
                <w:color w:val="000000"/>
                <w:sz w:val="20"/>
                <w:szCs w:val="20"/>
                <w:lang w:eastAsia="cs-CZ"/>
              </w:rPr>
            </w:pPr>
            <w:r w:rsidRPr="007E3D67">
              <w:rPr>
                <w:color w:val="000000"/>
                <w:sz w:val="20"/>
                <w:szCs w:val="20"/>
                <w:lang w:eastAsia="cs-CZ"/>
              </w:rPr>
              <w:t>pozitivní</w:t>
            </w:r>
          </w:p>
        </w:tc>
        <w:tc>
          <w:tcPr>
            <w:tcW w:w="5320" w:type="dxa"/>
            <w:tcBorders>
              <w:top w:val="nil"/>
              <w:left w:val="nil"/>
              <w:bottom w:val="single" w:sz="4" w:space="0" w:color="auto"/>
              <w:right w:val="single" w:sz="8" w:space="0" w:color="auto"/>
            </w:tcBorders>
            <w:shd w:val="clear" w:color="auto" w:fill="auto"/>
            <w:hideMark/>
          </w:tcPr>
          <w:p w:rsidR="000C4D75" w:rsidRPr="007E3D67" w:rsidRDefault="000C4D75" w:rsidP="000C4D75">
            <w:pPr>
              <w:spacing w:line="240" w:lineRule="auto"/>
              <w:jc w:val="left"/>
              <w:rPr>
                <w:color w:val="000000"/>
                <w:sz w:val="20"/>
                <w:szCs w:val="20"/>
                <w:lang w:eastAsia="cs-CZ"/>
              </w:rPr>
            </w:pPr>
            <w:r w:rsidRPr="007E3D67">
              <w:rPr>
                <w:color w:val="000000"/>
                <w:sz w:val="20"/>
                <w:szCs w:val="20"/>
                <w:lang w:eastAsia="cs-CZ"/>
              </w:rPr>
              <w:t>zvýšení podílu lidského kapitálu, tzn. znalostí a dovedností, vede k lepšímu využití stávajícího fyzického kapitálu a ke zvýšení produktivity práce a ekonomického růstu</w:t>
            </w:r>
          </w:p>
        </w:tc>
      </w:tr>
      <w:tr w:rsidR="000C4D75" w:rsidRPr="007E3D67" w:rsidTr="00BB5CD7">
        <w:trPr>
          <w:trHeight w:val="906"/>
        </w:trPr>
        <w:tc>
          <w:tcPr>
            <w:tcW w:w="1720" w:type="dxa"/>
            <w:tcBorders>
              <w:top w:val="nil"/>
              <w:left w:val="single" w:sz="8" w:space="0" w:color="auto"/>
              <w:bottom w:val="single" w:sz="4" w:space="0" w:color="auto"/>
              <w:right w:val="single" w:sz="4" w:space="0" w:color="auto"/>
            </w:tcBorders>
            <w:shd w:val="clear" w:color="auto" w:fill="auto"/>
            <w:hideMark/>
          </w:tcPr>
          <w:p w:rsidR="000C4D75" w:rsidRPr="007E3D67" w:rsidRDefault="000C4D75" w:rsidP="00BB5CD7">
            <w:pPr>
              <w:spacing w:line="240" w:lineRule="auto"/>
              <w:jc w:val="left"/>
              <w:rPr>
                <w:color w:val="000000"/>
                <w:sz w:val="20"/>
                <w:szCs w:val="20"/>
                <w:lang w:eastAsia="cs-CZ"/>
              </w:rPr>
            </w:pPr>
            <w:r w:rsidRPr="007E3D67">
              <w:rPr>
                <w:color w:val="000000"/>
                <w:sz w:val="20"/>
                <w:szCs w:val="20"/>
                <w:lang w:eastAsia="cs-CZ"/>
              </w:rPr>
              <w:t>hospodářské cykly</w:t>
            </w:r>
          </w:p>
        </w:tc>
        <w:tc>
          <w:tcPr>
            <w:tcW w:w="1180" w:type="dxa"/>
            <w:tcBorders>
              <w:top w:val="nil"/>
              <w:left w:val="nil"/>
              <w:bottom w:val="single" w:sz="4" w:space="0" w:color="auto"/>
              <w:right w:val="single" w:sz="4" w:space="0" w:color="auto"/>
            </w:tcBorders>
            <w:shd w:val="clear" w:color="auto" w:fill="auto"/>
            <w:hideMark/>
          </w:tcPr>
          <w:p w:rsidR="000C4D75" w:rsidRPr="007E3D67" w:rsidRDefault="000C4D75" w:rsidP="005F3144">
            <w:pPr>
              <w:spacing w:line="240" w:lineRule="auto"/>
              <w:jc w:val="center"/>
              <w:rPr>
                <w:color w:val="000000"/>
                <w:sz w:val="20"/>
                <w:szCs w:val="20"/>
                <w:lang w:eastAsia="cs-CZ"/>
              </w:rPr>
            </w:pPr>
            <w:r w:rsidRPr="007E3D67">
              <w:rPr>
                <w:color w:val="000000"/>
                <w:sz w:val="20"/>
                <w:szCs w:val="20"/>
                <w:lang w:eastAsia="cs-CZ"/>
              </w:rPr>
              <w:t>negativní</w:t>
            </w:r>
          </w:p>
        </w:tc>
        <w:tc>
          <w:tcPr>
            <w:tcW w:w="5320" w:type="dxa"/>
            <w:tcBorders>
              <w:top w:val="nil"/>
              <w:left w:val="nil"/>
              <w:bottom w:val="single" w:sz="4" w:space="0" w:color="auto"/>
              <w:right w:val="single" w:sz="8" w:space="0" w:color="auto"/>
            </w:tcBorders>
            <w:shd w:val="clear" w:color="auto" w:fill="auto"/>
            <w:hideMark/>
          </w:tcPr>
          <w:p w:rsidR="000C4D75" w:rsidRPr="007E3D67" w:rsidRDefault="000C4D75" w:rsidP="000C4D75">
            <w:pPr>
              <w:spacing w:line="240" w:lineRule="auto"/>
              <w:jc w:val="left"/>
              <w:rPr>
                <w:color w:val="000000"/>
                <w:sz w:val="20"/>
                <w:szCs w:val="20"/>
                <w:lang w:eastAsia="cs-CZ"/>
              </w:rPr>
            </w:pPr>
            <w:r w:rsidRPr="007E3D67">
              <w:rPr>
                <w:color w:val="000000"/>
                <w:sz w:val="20"/>
                <w:szCs w:val="20"/>
                <w:lang w:eastAsia="cs-CZ"/>
              </w:rPr>
              <w:t>země s častějšími hospodářskými cykly nebo s cykly s větší amplitudou, dosahují DD nižšího tempa růstu z důvodu hystereze na trhu práce a kapitálu a snížení efektivnosti reakce na tržní signály</w:t>
            </w:r>
          </w:p>
        </w:tc>
      </w:tr>
      <w:tr w:rsidR="000C4D75" w:rsidRPr="007E3D67" w:rsidTr="00BB5CD7">
        <w:trPr>
          <w:trHeight w:val="754"/>
        </w:trPr>
        <w:tc>
          <w:tcPr>
            <w:tcW w:w="1720" w:type="dxa"/>
            <w:tcBorders>
              <w:top w:val="nil"/>
              <w:left w:val="single" w:sz="8" w:space="0" w:color="auto"/>
              <w:bottom w:val="single" w:sz="4" w:space="0" w:color="auto"/>
              <w:right w:val="single" w:sz="4" w:space="0" w:color="auto"/>
            </w:tcBorders>
            <w:shd w:val="clear" w:color="auto" w:fill="auto"/>
            <w:hideMark/>
          </w:tcPr>
          <w:p w:rsidR="000C4D75" w:rsidRPr="007E3D67" w:rsidRDefault="000C4D75" w:rsidP="00BB5CD7">
            <w:pPr>
              <w:spacing w:line="240" w:lineRule="auto"/>
              <w:jc w:val="left"/>
              <w:rPr>
                <w:color w:val="000000"/>
                <w:sz w:val="20"/>
                <w:szCs w:val="20"/>
                <w:lang w:eastAsia="cs-CZ"/>
              </w:rPr>
            </w:pPr>
            <w:r w:rsidRPr="007E3D67">
              <w:rPr>
                <w:color w:val="000000"/>
                <w:sz w:val="20"/>
                <w:szCs w:val="20"/>
                <w:lang w:eastAsia="cs-CZ"/>
              </w:rPr>
              <w:t>inflace variabilita inflace</w:t>
            </w:r>
          </w:p>
        </w:tc>
        <w:tc>
          <w:tcPr>
            <w:tcW w:w="1180" w:type="dxa"/>
            <w:tcBorders>
              <w:top w:val="nil"/>
              <w:left w:val="nil"/>
              <w:bottom w:val="single" w:sz="4" w:space="0" w:color="auto"/>
              <w:right w:val="single" w:sz="4" w:space="0" w:color="auto"/>
            </w:tcBorders>
            <w:shd w:val="clear" w:color="auto" w:fill="auto"/>
            <w:hideMark/>
          </w:tcPr>
          <w:p w:rsidR="000C4D75" w:rsidRPr="007E3D67" w:rsidRDefault="000C4D75" w:rsidP="005F3144">
            <w:pPr>
              <w:spacing w:line="240" w:lineRule="auto"/>
              <w:jc w:val="center"/>
              <w:rPr>
                <w:color w:val="000000"/>
                <w:sz w:val="20"/>
                <w:szCs w:val="20"/>
                <w:lang w:eastAsia="cs-CZ"/>
              </w:rPr>
            </w:pPr>
            <w:r w:rsidRPr="007E3D67">
              <w:rPr>
                <w:color w:val="000000"/>
                <w:sz w:val="20"/>
                <w:szCs w:val="20"/>
                <w:lang w:eastAsia="cs-CZ"/>
              </w:rPr>
              <w:t>negativní</w:t>
            </w:r>
          </w:p>
        </w:tc>
        <w:tc>
          <w:tcPr>
            <w:tcW w:w="5320" w:type="dxa"/>
            <w:tcBorders>
              <w:top w:val="nil"/>
              <w:left w:val="nil"/>
              <w:bottom w:val="single" w:sz="4" w:space="0" w:color="auto"/>
              <w:right w:val="single" w:sz="8" w:space="0" w:color="auto"/>
            </w:tcBorders>
            <w:shd w:val="clear" w:color="auto" w:fill="auto"/>
            <w:hideMark/>
          </w:tcPr>
          <w:p w:rsidR="000C4D75" w:rsidRPr="007E3D67" w:rsidRDefault="000C4D75" w:rsidP="000C4D75">
            <w:pPr>
              <w:spacing w:line="240" w:lineRule="auto"/>
              <w:jc w:val="left"/>
              <w:rPr>
                <w:color w:val="000000"/>
                <w:sz w:val="20"/>
                <w:szCs w:val="20"/>
                <w:lang w:eastAsia="cs-CZ"/>
              </w:rPr>
            </w:pPr>
            <w:r w:rsidRPr="007E3D67">
              <w:rPr>
                <w:color w:val="000000"/>
                <w:sz w:val="20"/>
                <w:szCs w:val="20"/>
                <w:lang w:eastAsia="cs-CZ"/>
              </w:rPr>
              <w:t xml:space="preserve">inflace poškozuje ekonomický růst (viz předchozí kapitola), avšak spíše až od vyšších hladin (8-10%), </w:t>
            </w:r>
            <w:r w:rsidR="007242A2" w:rsidRPr="007E3D67">
              <w:rPr>
                <w:color w:val="000000"/>
                <w:sz w:val="20"/>
                <w:szCs w:val="20"/>
                <w:lang w:eastAsia="cs-CZ"/>
              </w:rPr>
              <w:t>variabilita</w:t>
            </w:r>
            <w:r w:rsidRPr="007E3D67">
              <w:rPr>
                <w:color w:val="000000"/>
                <w:sz w:val="20"/>
                <w:szCs w:val="20"/>
                <w:lang w:eastAsia="cs-CZ"/>
              </w:rPr>
              <w:t xml:space="preserve"> ho ale poškozuje v jakékoliv výši</w:t>
            </w:r>
          </w:p>
        </w:tc>
      </w:tr>
      <w:tr w:rsidR="000C4D75" w:rsidRPr="007E3D67" w:rsidTr="00BB5CD7">
        <w:trPr>
          <w:trHeight w:val="910"/>
        </w:trPr>
        <w:tc>
          <w:tcPr>
            <w:tcW w:w="1720" w:type="dxa"/>
            <w:tcBorders>
              <w:top w:val="nil"/>
              <w:left w:val="single" w:sz="8" w:space="0" w:color="auto"/>
              <w:bottom w:val="single" w:sz="4" w:space="0" w:color="auto"/>
              <w:right w:val="single" w:sz="4" w:space="0" w:color="auto"/>
            </w:tcBorders>
            <w:shd w:val="clear" w:color="auto" w:fill="auto"/>
            <w:hideMark/>
          </w:tcPr>
          <w:p w:rsidR="000C4D75" w:rsidRPr="007E3D67" w:rsidRDefault="000C4D75" w:rsidP="00BB5CD7">
            <w:pPr>
              <w:spacing w:line="240" w:lineRule="auto"/>
              <w:jc w:val="left"/>
              <w:rPr>
                <w:color w:val="000000"/>
                <w:sz w:val="20"/>
                <w:szCs w:val="20"/>
                <w:lang w:eastAsia="cs-CZ"/>
              </w:rPr>
            </w:pPr>
            <w:r w:rsidRPr="007E3D67">
              <w:rPr>
                <w:color w:val="000000"/>
                <w:sz w:val="20"/>
                <w:szCs w:val="20"/>
                <w:lang w:eastAsia="cs-CZ"/>
              </w:rPr>
              <w:t>občanské svobody, politický režim fungování institucí</w:t>
            </w:r>
          </w:p>
        </w:tc>
        <w:tc>
          <w:tcPr>
            <w:tcW w:w="1180" w:type="dxa"/>
            <w:tcBorders>
              <w:top w:val="nil"/>
              <w:left w:val="nil"/>
              <w:bottom w:val="single" w:sz="4" w:space="0" w:color="auto"/>
              <w:right w:val="single" w:sz="4" w:space="0" w:color="auto"/>
            </w:tcBorders>
            <w:shd w:val="clear" w:color="auto" w:fill="auto"/>
            <w:hideMark/>
          </w:tcPr>
          <w:p w:rsidR="000C4D75" w:rsidRPr="007E3D67" w:rsidRDefault="000C4D75" w:rsidP="005F3144">
            <w:pPr>
              <w:spacing w:line="240" w:lineRule="auto"/>
              <w:jc w:val="center"/>
              <w:rPr>
                <w:color w:val="000000"/>
                <w:sz w:val="20"/>
                <w:szCs w:val="20"/>
                <w:lang w:eastAsia="cs-CZ"/>
              </w:rPr>
            </w:pPr>
            <w:r w:rsidRPr="007E3D67">
              <w:rPr>
                <w:color w:val="000000"/>
                <w:sz w:val="20"/>
                <w:szCs w:val="20"/>
                <w:lang w:eastAsia="cs-CZ"/>
              </w:rPr>
              <w:t>pozitivní</w:t>
            </w:r>
          </w:p>
        </w:tc>
        <w:tc>
          <w:tcPr>
            <w:tcW w:w="5320" w:type="dxa"/>
            <w:tcBorders>
              <w:top w:val="nil"/>
              <w:left w:val="nil"/>
              <w:bottom w:val="single" w:sz="4" w:space="0" w:color="auto"/>
              <w:right w:val="single" w:sz="8" w:space="0" w:color="auto"/>
            </w:tcBorders>
            <w:shd w:val="clear" w:color="auto" w:fill="auto"/>
            <w:hideMark/>
          </w:tcPr>
          <w:p w:rsidR="000C4D75" w:rsidRPr="007E3D67" w:rsidRDefault="000C4D75" w:rsidP="000C4D75">
            <w:pPr>
              <w:spacing w:line="240" w:lineRule="auto"/>
              <w:jc w:val="left"/>
              <w:rPr>
                <w:color w:val="000000"/>
                <w:sz w:val="20"/>
                <w:szCs w:val="20"/>
                <w:lang w:eastAsia="cs-CZ"/>
              </w:rPr>
            </w:pPr>
            <w:r w:rsidRPr="007E3D67">
              <w:rPr>
                <w:color w:val="000000"/>
                <w:sz w:val="20"/>
                <w:szCs w:val="20"/>
                <w:lang w:eastAsia="cs-CZ"/>
              </w:rPr>
              <w:t>empiricky bylo potvrzeno, že u zemí, kde nejsou občanské svobody výrazně omezeny, kde se příliš často nemění vlády, popř. politický režim a instituce fungují optimálně, dochází k vyššímu DD růstu</w:t>
            </w:r>
          </w:p>
        </w:tc>
      </w:tr>
      <w:tr w:rsidR="000C4D75" w:rsidRPr="007E3D67" w:rsidTr="00BB5CD7">
        <w:trPr>
          <w:trHeight w:val="727"/>
        </w:trPr>
        <w:tc>
          <w:tcPr>
            <w:tcW w:w="1720" w:type="dxa"/>
            <w:tcBorders>
              <w:top w:val="nil"/>
              <w:left w:val="single" w:sz="8" w:space="0" w:color="auto"/>
              <w:bottom w:val="single" w:sz="4" w:space="0" w:color="auto"/>
              <w:right w:val="single" w:sz="4" w:space="0" w:color="auto"/>
            </w:tcBorders>
            <w:shd w:val="clear" w:color="auto" w:fill="auto"/>
            <w:hideMark/>
          </w:tcPr>
          <w:p w:rsidR="000C4D75" w:rsidRPr="007E3D67" w:rsidRDefault="000C4D75" w:rsidP="00BB5CD7">
            <w:pPr>
              <w:spacing w:line="240" w:lineRule="auto"/>
              <w:jc w:val="left"/>
              <w:rPr>
                <w:color w:val="000000"/>
                <w:sz w:val="20"/>
                <w:szCs w:val="20"/>
                <w:lang w:eastAsia="cs-CZ"/>
              </w:rPr>
            </w:pPr>
            <w:r w:rsidRPr="007E3D67">
              <w:rPr>
                <w:color w:val="000000"/>
                <w:sz w:val="20"/>
                <w:szCs w:val="20"/>
                <w:lang w:eastAsia="cs-CZ"/>
              </w:rPr>
              <w:t>míra otevřenosti ekonomiky</w:t>
            </w:r>
          </w:p>
        </w:tc>
        <w:tc>
          <w:tcPr>
            <w:tcW w:w="1180" w:type="dxa"/>
            <w:tcBorders>
              <w:top w:val="nil"/>
              <w:left w:val="nil"/>
              <w:bottom w:val="single" w:sz="4" w:space="0" w:color="auto"/>
              <w:right w:val="single" w:sz="4" w:space="0" w:color="auto"/>
            </w:tcBorders>
            <w:shd w:val="clear" w:color="auto" w:fill="auto"/>
            <w:hideMark/>
          </w:tcPr>
          <w:p w:rsidR="000C4D75" w:rsidRPr="007E3D67" w:rsidRDefault="000C4D75" w:rsidP="005F3144">
            <w:pPr>
              <w:spacing w:line="240" w:lineRule="auto"/>
              <w:jc w:val="center"/>
              <w:rPr>
                <w:color w:val="000000"/>
                <w:sz w:val="20"/>
                <w:szCs w:val="20"/>
                <w:lang w:eastAsia="cs-CZ"/>
              </w:rPr>
            </w:pPr>
            <w:r w:rsidRPr="007E3D67">
              <w:rPr>
                <w:color w:val="000000"/>
                <w:sz w:val="20"/>
                <w:szCs w:val="20"/>
                <w:lang w:eastAsia="cs-CZ"/>
              </w:rPr>
              <w:t>pozitivní</w:t>
            </w:r>
          </w:p>
        </w:tc>
        <w:tc>
          <w:tcPr>
            <w:tcW w:w="5320" w:type="dxa"/>
            <w:tcBorders>
              <w:top w:val="nil"/>
              <w:left w:val="nil"/>
              <w:bottom w:val="single" w:sz="4" w:space="0" w:color="auto"/>
              <w:right w:val="single" w:sz="8" w:space="0" w:color="auto"/>
            </w:tcBorders>
            <w:shd w:val="clear" w:color="auto" w:fill="auto"/>
            <w:hideMark/>
          </w:tcPr>
          <w:p w:rsidR="000C4D75" w:rsidRPr="007E3D67" w:rsidRDefault="000C4D75" w:rsidP="000C4D75">
            <w:pPr>
              <w:spacing w:line="240" w:lineRule="auto"/>
              <w:jc w:val="left"/>
              <w:rPr>
                <w:color w:val="000000"/>
                <w:sz w:val="20"/>
                <w:szCs w:val="20"/>
                <w:lang w:eastAsia="cs-CZ"/>
              </w:rPr>
            </w:pPr>
            <w:r w:rsidRPr="007E3D67">
              <w:rPr>
                <w:color w:val="000000"/>
                <w:sz w:val="20"/>
                <w:szCs w:val="20"/>
                <w:lang w:eastAsia="cs-CZ"/>
              </w:rPr>
              <w:t>teorie zahraničního obchodu implikují, že otevřenější ekonomiky využívající specializace, dělby práce a mezinárodní transfer technologií, dosahují vyššího ekonomického růstu</w:t>
            </w:r>
          </w:p>
        </w:tc>
      </w:tr>
      <w:tr w:rsidR="000C4D75" w:rsidRPr="007E3D67" w:rsidTr="00BB5CD7">
        <w:trPr>
          <w:trHeight w:val="1170"/>
        </w:trPr>
        <w:tc>
          <w:tcPr>
            <w:tcW w:w="1720" w:type="dxa"/>
            <w:tcBorders>
              <w:top w:val="nil"/>
              <w:left w:val="single" w:sz="8" w:space="0" w:color="auto"/>
              <w:bottom w:val="single" w:sz="4" w:space="0" w:color="auto"/>
              <w:right w:val="single" w:sz="4" w:space="0" w:color="auto"/>
            </w:tcBorders>
            <w:shd w:val="clear" w:color="auto" w:fill="auto"/>
            <w:hideMark/>
          </w:tcPr>
          <w:p w:rsidR="000C4D75" w:rsidRPr="007E3D67" w:rsidRDefault="000C4D75" w:rsidP="00BB5CD7">
            <w:pPr>
              <w:spacing w:line="240" w:lineRule="auto"/>
              <w:jc w:val="left"/>
              <w:rPr>
                <w:color w:val="000000"/>
                <w:sz w:val="20"/>
                <w:szCs w:val="20"/>
                <w:lang w:eastAsia="cs-CZ"/>
              </w:rPr>
            </w:pPr>
            <w:r w:rsidRPr="007E3D67">
              <w:rPr>
                <w:color w:val="000000"/>
                <w:sz w:val="20"/>
                <w:szCs w:val="20"/>
                <w:lang w:eastAsia="cs-CZ"/>
              </w:rPr>
              <w:t>vládní spotřeba</w:t>
            </w:r>
          </w:p>
        </w:tc>
        <w:tc>
          <w:tcPr>
            <w:tcW w:w="1180" w:type="dxa"/>
            <w:tcBorders>
              <w:top w:val="nil"/>
              <w:left w:val="nil"/>
              <w:bottom w:val="single" w:sz="4" w:space="0" w:color="auto"/>
              <w:right w:val="single" w:sz="4" w:space="0" w:color="auto"/>
            </w:tcBorders>
            <w:shd w:val="clear" w:color="auto" w:fill="auto"/>
            <w:hideMark/>
          </w:tcPr>
          <w:p w:rsidR="000C4D75" w:rsidRPr="007E3D67" w:rsidRDefault="000C4D75" w:rsidP="005F3144">
            <w:pPr>
              <w:spacing w:line="240" w:lineRule="auto"/>
              <w:jc w:val="center"/>
              <w:rPr>
                <w:color w:val="000000"/>
                <w:sz w:val="20"/>
                <w:szCs w:val="20"/>
                <w:lang w:eastAsia="cs-CZ"/>
              </w:rPr>
            </w:pPr>
            <w:r w:rsidRPr="007E3D67">
              <w:rPr>
                <w:color w:val="000000"/>
                <w:sz w:val="20"/>
                <w:szCs w:val="20"/>
                <w:lang w:eastAsia="cs-CZ"/>
              </w:rPr>
              <w:t>negativní</w:t>
            </w:r>
          </w:p>
        </w:tc>
        <w:tc>
          <w:tcPr>
            <w:tcW w:w="5320" w:type="dxa"/>
            <w:tcBorders>
              <w:top w:val="nil"/>
              <w:left w:val="nil"/>
              <w:bottom w:val="single" w:sz="4" w:space="0" w:color="auto"/>
              <w:right w:val="single" w:sz="8" w:space="0" w:color="auto"/>
            </w:tcBorders>
            <w:shd w:val="clear" w:color="auto" w:fill="auto"/>
            <w:hideMark/>
          </w:tcPr>
          <w:p w:rsidR="000C4D75" w:rsidRPr="007E3D67" w:rsidRDefault="000C4D75" w:rsidP="000C4D75">
            <w:pPr>
              <w:spacing w:line="240" w:lineRule="auto"/>
              <w:jc w:val="left"/>
              <w:rPr>
                <w:color w:val="000000"/>
                <w:sz w:val="20"/>
                <w:szCs w:val="20"/>
                <w:lang w:eastAsia="cs-CZ"/>
              </w:rPr>
            </w:pPr>
            <w:r w:rsidRPr="007E3D67">
              <w:rPr>
                <w:color w:val="000000"/>
                <w:sz w:val="20"/>
                <w:szCs w:val="20"/>
                <w:lang w:eastAsia="cs-CZ"/>
              </w:rPr>
              <w:t>i přes nesporný krátkodobý pozitivní efekt na ekonomický růst se empirické práce shodují, že DD existuje negativní korelace mezi růstem vládní spotřeby a ekonomickým růstem, tzn., že jednotka soukromé spotřeby je vynaložena efektivněji než jednotka vládní spotřeby</w:t>
            </w:r>
          </w:p>
        </w:tc>
      </w:tr>
      <w:tr w:rsidR="000C4D75" w:rsidRPr="007E3D67" w:rsidTr="00BB5CD7">
        <w:trPr>
          <w:trHeight w:val="783"/>
        </w:trPr>
        <w:tc>
          <w:tcPr>
            <w:tcW w:w="1720" w:type="dxa"/>
            <w:tcBorders>
              <w:top w:val="nil"/>
              <w:left w:val="single" w:sz="8" w:space="0" w:color="auto"/>
              <w:bottom w:val="single" w:sz="4" w:space="0" w:color="auto"/>
              <w:right w:val="single" w:sz="4" w:space="0" w:color="auto"/>
            </w:tcBorders>
            <w:shd w:val="clear" w:color="auto" w:fill="auto"/>
            <w:hideMark/>
          </w:tcPr>
          <w:p w:rsidR="000C4D75" w:rsidRPr="007E3D67" w:rsidRDefault="000C4D75" w:rsidP="00BB5CD7">
            <w:pPr>
              <w:spacing w:line="240" w:lineRule="auto"/>
              <w:jc w:val="left"/>
              <w:rPr>
                <w:color w:val="000000"/>
                <w:sz w:val="20"/>
                <w:szCs w:val="20"/>
                <w:lang w:eastAsia="cs-CZ"/>
              </w:rPr>
            </w:pPr>
            <w:r w:rsidRPr="007E3D67">
              <w:rPr>
                <w:color w:val="000000"/>
                <w:sz w:val="20"/>
                <w:szCs w:val="20"/>
                <w:lang w:eastAsia="cs-CZ"/>
              </w:rPr>
              <w:t>očekávaná délka života</w:t>
            </w:r>
          </w:p>
        </w:tc>
        <w:tc>
          <w:tcPr>
            <w:tcW w:w="1180" w:type="dxa"/>
            <w:tcBorders>
              <w:top w:val="nil"/>
              <w:left w:val="nil"/>
              <w:bottom w:val="single" w:sz="4" w:space="0" w:color="auto"/>
              <w:right w:val="single" w:sz="4" w:space="0" w:color="auto"/>
            </w:tcBorders>
            <w:shd w:val="clear" w:color="auto" w:fill="auto"/>
            <w:hideMark/>
          </w:tcPr>
          <w:p w:rsidR="000C4D75" w:rsidRPr="007E3D67" w:rsidRDefault="000C4D75" w:rsidP="005F3144">
            <w:pPr>
              <w:spacing w:line="240" w:lineRule="auto"/>
              <w:jc w:val="center"/>
              <w:rPr>
                <w:color w:val="000000"/>
                <w:sz w:val="20"/>
                <w:szCs w:val="20"/>
                <w:lang w:eastAsia="cs-CZ"/>
              </w:rPr>
            </w:pPr>
            <w:r w:rsidRPr="007E3D67">
              <w:rPr>
                <w:color w:val="000000"/>
                <w:sz w:val="20"/>
                <w:szCs w:val="20"/>
                <w:lang w:eastAsia="cs-CZ"/>
              </w:rPr>
              <w:t>pozitivní</w:t>
            </w:r>
          </w:p>
        </w:tc>
        <w:tc>
          <w:tcPr>
            <w:tcW w:w="5320" w:type="dxa"/>
            <w:tcBorders>
              <w:top w:val="nil"/>
              <w:left w:val="nil"/>
              <w:bottom w:val="single" w:sz="4" w:space="0" w:color="auto"/>
              <w:right w:val="single" w:sz="8" w:space="0" w:color="auto"/>
            </w:tcBorders>
            <w:shd w:val="clear" w:color="auto" w:fill="auto"/>
            <w:hideMark/>
          </w:tcPr>
          <w:p w:rsidR="000C4D75" w:rsidRPr="007E3D67" w:rsidRDefault="000C4D75" w:rsidP="000C4D75">
            <w:pPr>
              <w:spacing w:line="240" w:lineRule="auto"/>
              <w:jc w:val="left"/>
              <w:rPr>
                <w:color w:val="000000"/>
                <w:sz w:val="20"/>
                <w:szCs w:val="20"/>
                <w:lang w:eastAsia="cs-CZ"/>
              </w:rPr>
            </w:pPr>
            <w:r w:rsidRPr="007E3D67">
              <w:rPr>
                <w:color w:val="000000"/>
                <w:sz w:val="20"/>
                <w:szCs w:val="20"/>
                <w:lang w:eastAsia="cs-CZ"/>
              </w:rPr>
              <w:t>tato proměnná je považovaná za aproximaci vyšších investic do zdravotnictví, dobrých pracovních podmínek apod., což vše zvyšuje DD ekonomický růst</w:t>
            </w:r>
          </w:p>
        </w:tc>
      </w:tr>
      <w:tr w:rsidR="000C4D75" w:rsidRPr="007E3D67" w:rsidTr="000C4D75">
        <w:trPr>
          <w:trHeight w:val="615"/>
        </w:trPr>
        <w:tc>
          <w:tcPr>
            <w:tcW w:w="1720" w:type="dxa"/>
            <w:tcBorders>
              <w:top w:val="nil"/>
              <w:left w:val="single" w:sz="8" w:space="0" w:color="auto"/>
              <w:bottom w:val="single" w:sz="8" w:space="0" w:color="auto"/>
              <w:right w:val="single" w:sz="4" w:space="0" w:color="auto"/>
            </w:tcBorders>
            <w:shd w:val="clear" w:color="auto" w:fill="auto"/>
            <w:hideMark/>
          </w:tcPr>
          <w:p w:rsidR="000C4D75" w:rsidRPr="007E3D67" w:rsidRDefault="000C4D75" w:rsidP="00BB5CD7">
            <w:pPr>
              <w:spacing w:line="240" w:lineRule="auto"/>
              <w:jc w:val="left"/>
              <w:rPr>
                <w:color w:val="000000"/>
                <w:sz w:val="20"/>
                <w:szCs w:val="20"/>
                <w:lang w:eastAsia="cs-CZ"/>
              </w:rPr>
            </w:pPr>
            <w:r w:rsidRPr="007E3D67">
              <w:rPr>
                <w:color w:val="000000"/>
                <w:sz w:val="20"/>
                <w:szCs w:val="20"/>
                <w:lang w:eastAsia="cs-CZ"/>
              </w:rPr>
              <w:t>rozvoj finančních trhů</w:t>
            </w:r>
          </w:p>
        </w:tc>
        <w:tc>
          <w:tcPr>
            <w:tcW w:w="1180" w:type="dxa"/>
            <w:tcBorders>
              <w:top w:val="nil"/>
              <w:left w:val="nil"/>
              <w:bottom w:val="single" w:sz="8" w:space="0" w:color="auto"/>
              <w:right w:val="single" w:sz="4" w:space="0" w:color="auto"/>
            </w:tcBorders>
            <w:shd w:val="clear" w:color="auto" w:fill="auto"/>
            <w:hideMark/>
          </w:tcPr>
          <w:p w:rsidR="000C4D75" w:rsidRPr="007E3D67" w:rsidRDefault="000C4D75" w:rsidP="005F3144">
            <w:pPr>
              <w:spacing w:line="240" w:lineRule="auto"/>
              <w:jc w:val="center"/>
              <w:rPr>
                <w:color w:val="000000"/>
                <w:sz w:val="20"/>
                <w:szCs w:val="20"/>
                <w:lang w:eastAsia="cs-CZ"/>
              </w:rPr>
            </w:pPr>
            <w:r w:rsidRPr="007E3D67">
              <w:rPr>
                <w:color w:val="000000"/>
                <w:sz w:val="20"/>
                <w:szCs w:val="20"/>
                <w:lang w:eastAsia="cs-CZ"/>
              </w:rPr>
              <w:t>pozitivní</w:t>
            </w:r>
          </w:p>
        </w:tc>
        <w:tc>
          <w:tcPr>
            <w:tcW w:w="5320" w:type="dxa"/>
            <w:tcBorders>
              <w:top w:val="nil"/>
              <w:left w:val="nil"/>
              <w:bottom w:val="single" w:sz="8" w:space="0" w:color="auto"/>
              <w:right w:val="single" w:sz="8" w:space="0" w:color="auto"/>
            </w:tcBorders>
            <w:shd w:val="clear" w:color="auto" w:fill="auto"/>
            <w:hideMark/>
          </w:tcPr>
          <w:p w:rsidR="000C4D75" w:rsidRPr="007E3D67" w:rsidRDefault="000C4D75" w:rsidP="000C4D75">
            <w:pPr>
              <w:spacing w:line="240" w:lineRule="auto"/>
              <w:jc w:val="left"/>
              <w:rPr>
                <w:color w:val="000000"/>
                <w:sz w:val="20"/>
                <w:szCs w:val="20"/>
                <w:lang w:eastAsia="cs-CZ"/>
              </w:rPr>
            </w:pPr>
            <w:r w:rsidRPr="007E3D67">
              <w:rPr>
                <w:color w:val="000000"/>
                <w:sz w:val="20"/>
                <w:szCs w:val="20"/>
                <w:lang w:eastAsia="cs-CZ"/>
              </w:rPr>
              <w:t xml:space="preserve">rozvoj finančních trhů vede k lepší alokaci zdrojů a následně vyššímu ekonomickému růstu  </w:t>
            </w:r>
          </w:p>
        </w:tc>
      </w:tr>
    </w:tbl>
    <w:p w:rsidR="00A86723" w:rsidRPr="007E3D67" w:rsidRDefault="00A86723" w:rsidP="00A86723">
      <w:pPr>
        <w:rPr>
          <w:i/>
          <w:sz w:val="20"/>
        </w:rPr>
      </w:pPr>
      <w:r w:rsidRPr="007E3D67">
        <w:rPr>
          <w:i/>
          <w:sz w:val="20"/>
        </w:rPr>
        <w:t>Tabulka: Vlastní konstrukce.</w:t>
      </w:r>
    </w:p>
    <w:p w:rsidR="00A86723" w:rsidRPr="007E3D67" w:rsidRDefault="00A86723" w:rsidP="00A86723">
      <w:pPr>
        <w:rPr>
          <w:i/>
          <w:sz w:val="20"/>
        </w:rPr>
      </w:pPr>
    </w:p>
    <w:p w:rsidR="000C4D75" w:rsidRPr="007E3D67" w:rsidRDefault="00CA3C8F" w:rsidP="00A86723">
      <w:pPr>
        <w:rPr>
          <w:b/>
        </w:rPr>
      </w:pPr>
      <w:r w:rsidRPr="007E3D67">
        <w:rPr>
          <w:b/>
        </w:rPr>
        <w:t>Shrnutí</w:t>
      </w:r>
    </w:p>
    <w:p w:rsidR="00CA3C8F" w:rsidRPr="007E3D67" w:rsidRDefault="00CA3C8F" w:rsidP="00A86723">
      <w:pPr>
        <w:rPr>
          <w:b/>
        </w:rPr>
      </w:pPr>
    </w:p>
    <w:p w:rsidR="00CA3C8F" w:rsidRPr="007E3D67" w:rsidRDefault="00CA3C8F" w:rsidP="00CA3C8F">
      <w:r w:rsidRPr="007E3D67">
        <w:t>Prorůstová politika je spatřována v několika směrech. Jedná se o stimulaci úspor a podporu jejich přeměny na investice. Cílem je tedy stabilizovat bankovní sektor, zvýšit důvěru v něj apod. Dalším úkolem je stimulovat příliv přímých zahraničních investic vytvářením výhodných podmínek pro investory (např. investiční pobídky, apod.).</w:t>
      </w:r>
    </w:p>
    <w:p w:rsidR="00DD1600" w:rsidRPr="007E3D67" w:rsidRDefault="00DD1600" w:rsidP="00CA3C8F"/>
    <w:p w:rsidR="00CA3C8F" w:rsidRPr="007E3D67" w:rsidRDefault="00CA3C8F" w:rsidP="00CA3C8F">
      <w:r w:rsidRPr="007E3D67">
        <w:lastRenderedPageBreak/>
        <w:t>Klíčovým se pak jeví podpora zvyšování lidského kapitálu. Jedná se o výraznější investice do vzdělání a Školství, podporu vědy a výzkumu. Důležitou je podpora konverze získaných znalostí do inovací.</w:t>
      </w:r>
    </w:p>
    <w:p w:rsidR="00CA3C8F" w:rsidRPr="007E3D67" w:rsidRDefault="00CA3C8F" w:rsidP="00CA3C8F"/>
    <w:p w:rsidR="00CA3C8F" w:rsidRPr="007E3D67" w:rsidRDefault="00CA3C8F" w:rsidP="00CA3C8F">
      <w:r w:rsidRPr="007E3D67">
        <w:t xml:space="preserve">Často diskutovanou je úloha centrální banky při podpoře dlouhodobého růstu. Nezávislá centrální banka by měla dlouhodobě snižovat vysokou inflaci, a to i za cenu krátkodobého poklesu produktu. Zmíněné se pak projeví ve zvýšení trendu dlouhodobého ekonomického růstu. Centrální banka by se měla ale vyvarovat rychlých změn peněžní zásoby při boji s inflací, což by mohlo způsobit hospodářské cykly a následný pokles dlouhodobého ekonomického růstu. </w:t>
      </w:r>
    </w:p>
    <w:p w:rsidR="00CA3C8F" w:rsidRPr="007E3D67" w:rsidRDefault="00CA3C8F" w:rsidP="00CA3C8F"/>
    <w:p w:rsidR="00CA3C8F" w:rsidRPr="007E3D67" w:rsidRDefault="00CA3C8F" w:rsidP="00CA3C8F">
      <w:r w:rsidRPr="007E3D67">
        <w:t>Tvůrci hospodářské politiky by měli zamezit prudkému růstu vládních výdajů, měli by zeštíhlit a zpružnit státní správu, snížit přímé daně, snížit růst sociálních výdajů, napravit regulované ceny, snížit korupci na všech úrovních státní správy apod. Z dalších opatření je možno vyjmenovat ještě zvýšení otevřenosti ekonomiky. Zmíněná opatření pak povedou k dlouhodobě vyšším tempům růstu výstupu.</w:t>
      </w:r>
    </w:p>
    <w:p w:rsidR="00D764C8" w:rsidRPr="007E3D67" w:rsidRDefault="00D764C8" w:rsidP="00CA3C8F"/>
    <w:p w:rsidR="00D764C8" w:rsidRPr="007E3D67" w:rsidRDefault="00D764C8" w:rsidP="00D764C8">
      <w:pPr>
        <w:pStyle w:val="Nadpis3"/>
        <w:rPr>
          <w:rFonts w:cs="Times New Roman"/>
        </w:rPr>
      </w:pPr>
      <w:bookmarkStart w:id="75" w:name="_Toc278920728"/>
      <w:bookmarkStart w:id="76" w:name="_Toc279696216"/>
      <w:r w:rsidRPr="007E3D67">
        <w:rPr>
          <w:rFonts w:cs="Times New Roman"/>
        </w:rPr>
        <w:t>Srovnání poptávkově a nabídkově orientované hospodářské politiky</w:t>
      </w:r>
      <w:bookmarkEnd w:id="75"/>
      <w:bookmarkEnd w:id="76"/>
    </w:p>
    <w:p w:rsidR="00D764C8" w:rsidRPr="007E3D67" w:rsidRDefault="00D764C8" w:rsidP="00D764C8">
      <w:r w:rsidRPr="007E3D67">
        <w:t>Členění hospodářské politiky na poptávkově, resp. nabídkově orientovanou velmi úzce souvisí s již analyzovanou problematikou vztahu stabilizační a prorůstové politiky. Vzhledem k určitým odlišnostem je však této problematice věnována samostatná subkapitola. Účinky poptávkové a nabídkové hospodářské politiky bude vysvětleno za pomoci základního modelového aparátu modelu AS-AD.</w:t>
      </w:r>
    </w:p>
    <w:p w:rsidR="00D764C8" w:rsidRPr="007E3D67" w:rsidRDefault="00D764C8" w:rsidP="00D764C8"/>
    <w:p w:rsidR="00D764C8" w:rsidRPr="007E3D67" w:rsidRDefault="00D764C8" w:rsidP="00D764C8">
      <w:pPr>
        <w:rPr>
          <w:b/>
        </w:rPr>
      </w:pPr>
      <w:r w:rsidRPr="007E3D67">
        <w:rPr>
          <w:b/>
        </w:rPr>
        <w:t>Poptávkově orientovaná hospodářská politika</w:t>
      </w:r>
    </w:p>
    <w:p w:rsidR="00B12A0C" w:rsidRPr="007E3D67" w:rsidRDefault="00B12A0C" w:rsidP="00D764C8">
      <w:pPr>
        <w:rPr>
          <w:b/>
        </w:rPr>
      </w:pPr>
    </w:p>
    <w:p w:rsidR="00B12A0C" w:rsidRPr="007E3D67" w:rsidRDefault="00B12A0C" w:rsidP="00B12A0C">
      <w:r w:rsidRPr="007E3D67">
        <w:t xml:space="preserve">Tvůrci hospodářské politiky mohou přes poptávkovou stranu ekonomiky ovlivňovat hospodářský cyklus potřebným směrem. V případě recesní mezery, kdy je v ekonomice nedostatečná poptávka, provádějí expanzivní hospodářskou politiku. Mohou stimulovat agregátní poptávku (AD) dvěma základními způsoby, pomocí nástrojů fiskální politiky a pomocí nástrojů politiky monetární. Stimulace agregátní poptávky pak </w:t>
      </w:r>
      <w:r w:rsidR="00DD1600" w:rsidRPr="007E3D67">
        <w:t>vyústí ve snížení</w:t>
      </w:r>
      <w:r w:rsidRPr="007E3D67">
        <w:t xml:space="preserve"> </w:t>
      </w:r>
      <w:r w:rsidRPr="007E3D67">
        <w:lastRenderedPageBreak/>
        <w:t>nezaměstnanosti a zvýšení ekonomického výstupu. Tento efekt bude ale doprovázen růstem cenové hladiny, tedy in</w:t>
      </w:r>
      <w:r w:rsidRPr="003F60AB">
        <w:t xml:space="preserve">flací (viz </w:t>
      </w:r>
      <w:r w:rsidR="003F60AB" w:rsidRPr="003F60AB">
        <w:t>o</w:t>
      </w:r>
      <w:r w:rsidR="00DD1600" w:rsidRPr="003F60AB">
        <w:t>br</w:t>
      </w:r>
      <w:r w:rsidR="00DD1600" w:rsidRPr="007E3D67">
        <w:t>. 4</w:t>
      </w:r>
      <w:r w:rsidRPr="007E3D67">
        <w:t xml:space="preserve">). </w:t>
      </w:r>
      <w:r w:rsidR="00AA6F76" w:rsidRPr="007E3D67">
        <w:t>Mezi n</w:t>
      </w:r>
      <w:r w:rsidRPr="007E3D67">
        <w:t>ástroj</w:t>
      </w:r>
      <w:r w:rsidR="00AA6F76" w:rsidRPr="007E3D67">
        <w:t>e</w:t>
      </w:r>
      <w:r w:rsidRPr="007E3D67">
        <w:t xml:space="preserve"> fiskální politiky sloužícími ke stimulaci agregátní poptávky </w:t>
      </w:r>
      <w:r w:rsidR="00AA6F76" w:rsidRPr="007E3D67">
        <w:t>patří</w:t>
      </w:r>
      <w:r w:rsidRPr="007E3D67">
        <w:t xml:space="preserve"> </w:t>
      </w:r>
      <w:r w:rsidR="00AA6F76" w:rsidRPr="007E3D67">
        <w:t>především</w:t>
      </w:r>
      <w:r w:rsidRPr="007E3D67">
        <w:t xml:space="preserve"> zvyšování vládních výdajů a snižování přímých a nepřímých daní. Tvůrci hospodářské politiky mohou použít také nástroje monetární politiky </w:t>
      </w:r>
      <w:r w:rsidR="00AA6F76" w:rsidRPr="007E3D67">
        <w:t>(</w:t>
      </w:r>
      <w:r w:rsidRPr="007E3D67">
        <w:t>např. snižování úrokových měr, zvyšování nabídky peněz apod.).</w:t>
      </w:r>
    </w:p>
    <w:p w:rsidR="00AA6F76" w:rsidRPr="007E3D67" w:rsidRDefault="00AA6F76" w:rsidP="00B12A0C"/>
    <w:p w:rsidR="00B12A0C" w:rsidRPr="007E3D67" w:rsidRDefault="00B12A0C" w:rsidP="00B12A0C">
      <w:r w:rsidRPr="007E3D67">
        <w:t xml:space="preserve">Opačně by potom, v případě, že se ekonomika nachází v inflační mezeře a potřebuje </w:t>
      </w:r>
      <w:r w:rsidR="00AA6F76" w:rsidRPr="007E3D67">
        <w:t>zpomalit</w:t>
      </w:r>
      <w:r w:rsidRPr="007E3D67">
        <w:t>, byly použity nástroje restriktivní fiskální a monetární politiky ke snížení agregátní poptávky, výstupu a zaměstnanosti.</w:t>
      </w:r>
    </w:p>
    <w:p w:rsidR="00AA6F76" w:rsidRPr="007E3D67" w:rsidRDefault="00AA6F76" w:rsidP="00B12A0C"/>
    <w:p w:rsidR="00B12A0C" w:rsidRPr="007E3D67" w:rsidRDefault="00B12A0C" w:rsidP="00B12A0C">
      <w:r w:rsidRPr="007E3D67">
        <w:t>Poptávkově orientovaná hospodářská politika tak povede k růstu produktu (v následující kapitole bude analyzován případ, kdy tomu tak být nemusí - jedná se o tzv. vytěsňovací efekt fiskální politiky), což vyvolá i následný růst cenové hladiny. Velikost růstu cen bude klíčovým způsobem záviset na tvaru agregátní nabídky (AS). Bude-li se eko</w:t>
      </w:r>
      <w:r w:rsidR="00AA6F76" w:rsidRPr="007E3D67">
        <w:t>nomika nacházet v hluboké recesi</w:t>
      </w:r>
      <w:r w:rsidR="005379E3" w:rsidRPr="007E3D67">
        <w:t xml:space="preserve"> (křivka agregátní nabídky bude horizontální – tzv. keynesiánský případ) potom k růstu cen nedojde a naopak bude-li ekonomika operovat na úrovni potenciálního produktu (křivka agregátní nabídky bude vertikální na úrovni potenciálního produktu – tzv. neoklasický případ), potom bude růst cen maximální a produkt se nezvýší. </w:t>
      </w:r>
    </w:p>
    <w:p w:rsidR="00AA6F76" w:rsidRPr="007E3D67" w:rsidRDefault="00DD1600" w:rsidP="00AB317A">
      <w:pPr>
        <w:pStyle w:val="CaptionIntroductionparagraph"/>
      </w:pPr>
      <w:bookmarkStart w:id="77" w:name="_Toc279307132"/>
      <w:bookmarkStart w:id="78" w:name="_Toc279438613"/>
      <w:bookmarkStart w:id="79" w:name="_Toc279696247"/>
      <w:bookmarkStart w:id="80" w:name="_Toc279696336"/>
      <w:r w:rsidRPr="003F60AB">
        <w:t xml:space="preserve">Obr. </w:t>
      </w:r>
      <w:r w:rsidR="00C85F92" w:rsidRPr="003F60AB">
        <w:t>4:</w:t>
      </w:r>
      <w:r w:rsidR="00AA6F76" w:rsidRPr="003F60AB">
        <w:t xml:space="preserve"> Poptávková hospodářská politika v modelu </w:t>
      </w:r>
      <w:r w:rsidR="007242A2" w:rsidRPr="003F60AB">
        <w:t>AS – AD</w:t>
      </w:r>
      <w:bookmarkEnd w:id="77"/>
      <w:bookmarkEnd w:id="78"/>
      <w:bookmarkEnd w:id="79"/>
      <w:bookmarkEnd w:id="80"/>
      <w:r w:rsidR="00AA6F76" w:rsidRPr="007E3D67">
        <w:t xml:space="preserve"> </w:t>
      </w:r>
    </w:p>
    <w:p w:rsidR="00AA6F76" w:rsidRPr="007E3D67" w:rsidRDefault="00AA6F76" w:rsidP="00B12A0C"/>
    <w:p w:rsidR="00D764C8" w:rsidRPr="007E3D67" w:rsidRDefault="000D6875" w:rsidP="00D764C8">
      <w:pPr>
        <w:rPr>
          <w:b/>
        </w:rPr>
      </w:pPr>
      <w:r w:rsidRPr="007E3D67">
        <w:rPr>
          <w:b/>
          <w:noProof/>
          <w:lang w:eastAsia="cs-CZ"/>
        </w:rPr>
        <w:drawing>
          <wp:inline distT="0" distB="0" distL="0" distR="0">
            <wp:extent cx="4876800" cy="3028950"/>
            <wp:effectExtent l="19050" t="0" r="19050" b="0"/>
            <wp:docPr id="6" name="Graf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764C8" w:rsidRPr="007E3D67" w:rsidRDefault="00377B9E" w:rsidP="00D764C8">
      <w:pPr>
        <w:rPr>
          <w:i/>
          <w:sz w:val="20"/>
        </w:rPr>
      </w:pPr>
      <w:r w:rsidRPr="007E3D67">
        <w:rPr>
          <w:i/>
          <w:sz w:val="20"/>
        </w:rPr>
        <w:t>Obrázek</w:t>
      </w:r>
      <w:r w:rsidR="009179C4" w:rsidRPr="007E3D67">
        <w:rPr>
          <w:i/>
          <w:sz w:val="20"/>
        </w:rPr>
        <w:t>: Vlastní konstrukce</w:t>
      </w:r>
    </w:p>
    <w:p w:rsidR="009179C4" w:rsidRPr="007E3D67" w:rsidRDefault="0079540D" w:rsidP="00D764C8">
      <w:pPr>
        <w:rPr>
          <w:b/>
        </w:rPr>
      </w:pPr>
      <w:r w:rsidRPr="007E3D67">
        <w:rPr>
          <w:b/>
        </w:rPr>
        <w:lastRenderedPageBreak/>
        <w:t>Nabídkově orientovaná hospodářská politika</w:t>
      </w:r>
    </w:p>
    <w:p w:rsidR="00CC1DDA" w:rsidRPr="007E3D67" w:rsidRDefault="00CC1DDA" w:rsidP="00D764C8">
      <w:pPr>
        <w:rPr>
          <w:b/>
        </w:rPr>
      </w:pPr>
    </w:p>
    <w:p w:rsidR="009347F6" w:rsidRPr="007E3D67" w:rsidRDefault="00CC1DDA" w:rsidP="009347F6">
      <w:r w:rsidRPr="007E3D67">
        <w:t>Cílem této politiky je především zvýšit potenciální agregátní nabídku v ekonomice takovým způsobem, aby byl realizován větší výstup.</w:t>
      </w:r>
      <w:r w:rsidR="009347F6" w:rsidRPr="007E3D67">
        <w:t xml:space="preserve"> Jak vyplývá z</w:t>
      </w:r>
      <w:r w:rsidR="00377B9E" w:rsidRPr="007E3D67">
        <w:t> obr. 5</w:t>
      </w:r>
      <w:r w:rsidR="009347F6" w:rsidRPr="007E3D67">
        <w:t>, mohou toho tvůrci hospodářské politiky dosáhnout, aniž by došlo k současnému růstu cen.</w:t>
      </w:r>
    </w:p>
    <w:p w:rsidR="0066604C" w:rsidRDefault="0066604C" w:rsidP="00AB317A">
      <w:pPr>
        <w:pStyle w:val="CaptionIntroductionparagraph"/>
      </w:pPr>
      <w:bookmarkStart w:id="81" w:name="_Toc279307133"/>
      <w:bookmarkStart w:id="82" w:name="_Toc279438614"/>
    </w:p>
    <w:p w:rsidR="009347F6" w:rsidRPr="007E3D67" w:rsidRDefault="00377B9E" w:rsidP="00AB317A">
      <w:pPr>
        <w:pStyle w:val="CaptionIntroductionparagraph"/>
      </w:pPr>
      <w:bookmarkStart w:id="83" w:name="_Toc279696248"/>
      <w:bookmarkStart w:id="84" w:name="_Toc279696337"/>
      <w:r w:rsidRPr="007E3D67">
        <w:t>Obr. 5:</w:t>
      </w:r>
      <w:r w:rsidR="009347F6" w:rsidRPr="007E3D67">
        <w:t xml:space="preserve"> Nabídková hospodářská politika v modelu </w:t>
      </w:r>
      <w:r w:rsidR="007242A2" w:rsidRPr="007E3D67">
        <w:t>AS – AD</w:t>
      </w:r>
      <w:bookmarkEnd w:id="81"/>
      <w:bookmarkEnd w:id="82"/>
      <w:bookmarkEnd w:id="83"/>
      <w:bookmarkEnd w:id="84"/>
      <w:r w:rsidR="009347F6" w:rsidRPr="007E3D67">
        <w:t xml:space="preserve"> </w:t>
      </w:r>
    </w:p>
    <w:p w:rsidR="009347F6" w:rsidRPr="007E3D67" w:rsidRDefault="006F04F7" w:rsidP="009347F6">
      <w:r w:rsidRPr="007E3D67">
        <w:rPr>
          <w:noProof/>
          <w:lang w:eastAsia="cs-CZ"/>
        </w:rPr>
        <w:drawing>
          <wp:inline distT="0" distB="0" distL="0" distR="0">
            <wp:extent cx="4876801" cy="3028950"/>
            <wp:effectExtent l="19050" t="0" r="19049" b="0"/>
            <wp:docPr id="4"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6F04F7" w:rsidRPr="007E3D67" w:rsidRDefault="00377B9E" w:rsidP="006F04F7">
      <w:pPr>
        <w:rPr>
          <w:i/>
          <w:sz w:val="20"/>
        </w:rPr>
      </w:pPr>
      <w:r w:rsidRPr="007E3D67">
        <w:rPr>
          <w:i/>
          <w:sz w:val="20"/>
        </w:rPr>
        <w:t>Obrázek</w:t>
      </w:r>
      <w:r w:rsidR="006F04F7" w:rsidRPr="007E3D67">
        <w:rPr>
          <w:i/>
          <w:sz w:val="20"/>
        </w:rPr>
        <w:t>: Vlastní konstrukce</w:t>
      </w:r>
    </w:p>
    <w:p w:rsidR="006F04F7" w:rsidRPr="007E3D67" w:rsidRDefault="006F04F7" w:rsidP="00D764C8"/>
    <w:p w:rsidR="00CC1DDA" w:rsidRPr="007E3D67" w:rsidRDefault="009347F6" w:rsidP="00D764C8">
      <w:r w:rsidRPr="007E3D67">
        <w:t>Zmíněnému přístupu k hospodářské politice se zjednodušeně říká ekonomie strany nabídky. Pragmatickým základem tohoto učení se stal celosvětový odpor proti daním, tzv. revolta proti daním, v 70. letech 20. století. Teoretickou oporu odporu proti daním tvořilo především učení A. Laffera, P. Robertse, M. Weidenbauma atd. Klíčovou konstrukcí, o kterou se uvedené učení opíralo, je tzv. Lafferova křivka. Ta ukazuje vztah průměrné míry zdanění v ekonomice a daňových příjmů do státního rozpočtu a potažmo její vliv na podněty k práci, úsporám, investování a na výkonnost ekonomiky.</w:t>
      </w:r>
    </w:p>
    <w:p w:rsidR="009347F6" w:rsidRPr="007E3D67" w:rsidRDefault="009347F6" w:rsidP="00D764C8"/>
    <w:p w:rsidR="00AB317A" w:rsidRPr="007E3D67" w:rsidRDefault="00AB317A" w:rsidP="00D764C8"/>
    <w:p w:rsidR="00AB317A" w:rsidRPr="007E3D67" w:rsidRDefault="00AB317A" w:rsidP="00D764C8"/>
    <w:p w:rsidR="00AB317A" w:rsidRPr="007E3D67" w:rsidRDefault="00AB317A" w:rsidP="00D764C8"/>
    <w:p w:rsidR="00AB317A" w:rsidRPr="007E3D67" w:rsidRDefault="00AB317A" w:rsidP="00D764C8"/>
    <w:p w:rsidR="00CC1DDA" w:rsidRPr="007E3D67" w:rsidRDefault="00377B9E" w:rsidP="00AB317A">
      <w:pPr>
        <w:pStyle w:val="CaptionIntroductionparagraph"/>
        <w:rPr>
          <w:i/>
          <w:sz w:val="22"/>
        </w:rPr>
      </w:pPr>
      <w:bookmarkStart w:id="85" w:name="_Toc279307134"/>
      <w:bookmarkStart w:id="86" w:name="_Toc279438615"/>
      <w:bookmarkStart w:id="87" w:name="_Toc279696249"/>
      <w:bookmarkStart w:id="88" w:name="_Toc279696338"/>
      <w:r w:rsidRPr="007E3D67">
        <w:lastRenderedPageBreak/>
        <w:t>Obr. 6</w:t>
      </w:r>
      <w:r w:rsidR="009347F6" w:rsidRPr="007E3D67">
        <w:t>: Lafferova křivka</w:t>
      </w:r>
      <w:bookmarkEnd w:id="85"/>
      <w:bookmarkEnd w:id="86"/>
      <w:bookmarkEnd w:id="87"/>
      <w:bookmarkEnd w:id="88"/>
    </w:p>
    <w:p w:rsidR="00CC1DDA" w:rsidRPr="007E3D67" w:rsidRDefault="00CC1DDA" w:rsidP="00D764C8">
      <w:pPr>
        <w:rPr>
          <w:i/>
          <w:sz w:val="22"/>
        </w:rPr>
      </w:pPr>
      <w:r w:rsidRPr="007E3D67">
        <w:rPr>
          <w:i/>
          <w:noProof/>
          <w:sz w:val="22"/>
          <w:lang w:eastAsia="cs-CZ"/>
        </w:rPr>
        <w:drawing>
          <wp:inline distT="0" distB="0" distL="0" distR="0">
            <wp:extent cx="4690546" cy="3296064"/>
            <wp:effectExtent l="19050" t="0" r="14804" b="0"/>
            <wp:docPr id="10" name="Graf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9347F6" w:rsidRPr="007E3D67" w:rsidRDefault="00377B9E" w:rsidP="009347F6">
      <w:pPr>
        <w:rPr>
          <w:i/>
          <w:sz w:val="20"/>
        </w:rPr>
      </w:pPr>
      <w:r w:rsidRPr="007E3D67">
        <w:rPr>
          <w:i/>
          <w:sz w:val="20"/>
        </w:rPr>
        <w:t>Obrázek</w:t>
      </w:r>
      <w:r w:rsidR="009347F6" w:rsidRPr="007E3D67">
        <w:rPr>
          <w:i/>
          <w:sz w:val="20"/>
        </w:rPr>
        <w:t>: Vlastní konstrukce</w:t>
      </w:r>
    </w:p>
    <w:p w:rsidR="009347F6" w:rsidRPr="007E3D67" w:rsidRDefault="009347F6" w:rsidP="009347F6">
      <w:pPr>
        <w:rPr>
          <w:sz w:val="20"/>
        </w:rPr>
      </w:pPr>
    </w:p>
    <w:p w:rsidR="009347F6" w:rsidRPr="007E3D67" w:rsidRDefault="009347F6" w:rsidP="009347F6">
      <w:r w:rsidRPr="007E3D67">
        <w:t>Daňové příjmy tedy rostou při zvyšující se daňové sazbě, avšak pouze do určité meze (dokud není dosaženo tzv. Lafferova bodu). Poté je již opětovné zvyšování daňové sazby kontraproduktivní a nevede k dalším daňovým příjmům, ale k jejich poklesu (viz v</w:t>
      </w:r>
      <w:r w:rsidR="00377B9E" w:rsidRPr="007E3D67">
        <w:t> obr. 6 vyznačené</w:t>
      </w:r>
      <w:r w:rsidRPr="007E3D67">
        <w:t xml:space="preserve"> „zakázané pásmo"). </w:t>
      </w:r>
    </w:p>
    <w:p w:rsidR="00A35E63" w:rsidRPr="007E3D67" w:rsidRDefault="00A35E63" w:rsidP="009347F6"/>
    <w:p w:rsidR="00054DB0" w:rsidRPr="007E3D67" w:rsidRDefault="009347F6" w:rsidP="009347F6">
      <w:r w:rsidRPr="007E3D67">
        <w:t xml:space="preserve"> Ekonomové strany nabídky doporučují snížit průměrnou míru daňového zatížení, tím dojde ke zlepšení výkonnosti ekonomiky a snížení nezaměstnanosti, a stát nemusí nutně přijít o své daňové příjmy</w:t>
      </w:r>
      <w:r w:rsidR="00054DB0" w:rsidRPr="007E3D67">
        <w:t xml:space="preserve">. </w:t>
      </w:r>
    </w:p>
    <w:p w:rsidR="00054DB0" w:rsidRPr="007E3D67" w:rsidRDefault="00054DB0" w:rsidP="009347F6"/>
    <w:p w:rsidR="00054DB0" w:rsidRPr="007E3D67" w:rsidRDefault="00054DB0" w:rsidP="009347F6">
      <w:r w:rsidRPr="007E3D67">
        <w:t xml:space="preserve">Ekonomie strany nabídky má dvojí charakter. Tržně konformní přístup, jehož pilířem je podpora svobodného podnikání. Jako nástroje využívá snižování daňového zatížení ekonomických subjektů (preference nepřímých před přímými daněmi), podpora konkurence, zamezení dvojímu zdanění, boj proti některým praktikám odborů, atd. </w:t>
      </w:r>
    </w:p>
    <w:p w:rsidR="00054DB0" w:rsidRPr="007E3D67" w:rsidRDefault="00054DB0" w:rsidP="009347F6"/>
    <w:p w:rsidR="009347F6" w:rsidRPr="007E3D67" w:rsidRDefault="00054DB0" w:rsidP="009347F6">
      <w:r w:rsidRPr="007E3D67">
        <w:t xml:space="preserve">Druhým přístupem je tzv. důchodová politika. Ta je také nabídkově orientovanou hospodářskou politikou, avšak politikou intervencionistickou. Jejím cílem je ovlivňovat vývoj mezd a cen. To se děje na bázi příkazu nebo konsensu. Podle toho rozlišujeme formu </w:t>
      </w:r>
      <w:r w:rsidRPr="007E3D67">
        <w:lastRenderedPageBreak/>
        <w:t>imperativní (příkazovou), indikativní (přesvědčování na základě motivace dotčených subjektů) a kooperativní (snaha o vzájemnou dohodu vlády i dotčených subjektů). Existují 3 základní typy důchodových politik (</w:t>
      </w:r>
      <w:r w:rsidRPr="00111805">
        <w:rPr>
          <w:i/>
        </w:rPr>
        <w:t>jawboning,</w:t>
      </w:r>
      <w:r w:rsidRPr="007E3D67">
        <w:t xml:space="preserve"> mzdově cenová regulace a mzdové, resp. cenové moratorium). </w:t>
      </w:r>
    </w:p>
    <w:p w:rsidR="009347F6" w:rsidRPr="007E3D67" w:rsidRDefault="009347F6" w:rsidP="00D764C8">
      <w:pPr>
        <w:rPr>
          <w:i/>
          <w:sz w:val="22"/>
        </w:rPr>
      </w:pPr>
    </w:p>
    <w:p w:rsidR="005B2AC9" w:rsidRPr="007E3D67" w:rsidRDefault="005B2AC9" w:rsidP="005B2AC9">
      <w:pPr>
        <w:pStyle w:val="Nadpis1"/>
        <w:rPr>
          <w:lang w:val="cs-CZ"/>
        </w:rPr>
      </w:pPr>
      <w:bookmarkStart w:id="89" w:name="_Toc254255967"/>
      <w:bookmarkStart w:id="90" w:name="_Toc254796348"/>
      <w:bookmarkStart w:id="91" w:name="_Toc278920729"/>
      <w:bookmarkStart w:id="92" w:name="_Toc279696217"/>
      <w:r w:rsidRPr="007E3D67">
        <w:rPr>
          <w:lang w:val="cs-CZ"/>
        </w:rPr>
        <w:lastRenderedPageBreak/>
        <w:t>Hypoteční krize. Příčiny, průběh, následky</w:t>
      </w:r>
      <w:bookmarkEnd w:id="89"/>
      <w:bookmarkEnd w:id="90"/>
      <w:bookmarkEnd w:id="91"/>
      <w:bookmarkEnd w:id="92"/>
    </w:p>
    <w:p w:rsidR="005B2AC9" w:rsidRPr="007E3D67" w:rsidRDefault="005B2AC9" w:rsidP="005B2AC9">
      <w:pPr>
        <w:pStyle w:val="Nadpis2"/>
        <w:rPr>
          <w:rFonts w:cs="Times New Roman"/>
        </w:rPr>
      </w:pPr>
      <w:bookmarkStart w:id="93" w:name="_Toc254796349"/>
      <w:bookmarkStart w:id="94" w:name="_Toc278920730"/>
      <w:bookmarkStart w:id="95" w:name="_Toc279696218"/>
      <w:r w:rsidRPr="007E3D67">
        <w:rPr>
          <w:rFonts w:cs="Times New Roman"/>
        </w:rPr>
        <w:t>Počátky v USA</w:t>
      </w:r>
      <w:bookmarkEnd w:id="93"/>
      <w:bookmarkEnd w:id="94"/>
      <w:bookmarkEnd w:id="95"/>
      <w:r w:rsidRPr="007E3D67">
        <w:rPr>
          <w:rFonts w:cs="Times New Roman"/>
        </w:rPr>
        <w:t xml:space="preserve"> </w:t>
      </w:r>
    </w:p>
    <w:p w:rsidR="005B2AC9" w:rsidRPr="007E3D67" w:rsidRDefault="005B2AC9" w:rsidP="005B2AC9">
      <w:pPr>
        <w:pStyle w:val="Bodytext"/>
      </w:pPr>
      <w:r w:rsidRPr="007E3D67">
        <w:t>Každá událost, stejně tak i každá krize má své příčiny. Příčiny hypoteční krize v USA bychom mohli chronologicky shrnout do následujících bodů:</w:t>
      </w:r>
    </w:p>
    <w:p w:rsidR="005B2AC9" w:rsidRPr="007E3D67" w:rsidRDefault="005B2AC9" w:rsidP="005B2AC9">
      <w:pPr>
        <w:pStyle w:val="Nadpis3"/>
        <w:rPr>
          <w:rFonts w:cs="Times New Roman"/>
        </w:rPr>
      </w:pPr>
      <w:bookmarkStart w:id="96" w:name="_Toc254796350"/>
      <w:bookmarkStart w:id="97" w:name="_Toc278920731"/>
      <w:bookmarkStart w:id="98" w:name="_Toc279696219"/>
      <w:r w:rsidRPr="007E3D67">
        <w:rPr>
          <w:rFonts w:cs="Times New Roman"/>
        </w:rPr>
        <w:t>Rok 1998-2000, Internetová bublina</w:t>
      </w:r>
      <w:bookmarkEnd w:id="96"/>
      <w:bookmarkEnd w:id="97"/>
      <w:bookmarkEnd w:id="98"/>
    </w:p>
    <w:p w:rsidR="005B2AC9" w:rsidRPr="007E3D67" w:rsidRDefault="005B2AC9" w:rsidP="005B2AC9">
      <w:r w:rsidRPr="007E3D67">
        <w:t>V roce 2000 došlo v USA k pádu nadhodnocených technologických akcií. Index NASDAQ se propadl v průběhu několika mála měsíců z rekordních 5 000 bodů na 2500 bodů. V následujících dvou letech klesla jeho hodnota až na 1 200 bodů (</w:t>
      </w:r>
      <w:r w:rsidR="00CC1789">
        <w:t xml:space="preserve">viz </w:t>
      </w:r>
      <w:r w:rsidRPr="007E3D67">
        <w:t xml:space="preserve"> </w:t>
      </w:r>
      <w:r w:rsidR="005442EA" w:rsidRPr="007E3D67">
        <w:t>o</w:t>
      </w:r>
      <w:r w:rsidRPr="007E3D67">
        <w:t>b</w:t>
      </w:r>
      <w:r w:rsidR="005442EA" w:rsidRPr="007E3D67">
        <w:t>r</w:t>
      </w:r>
      <w:r w:rsidRPr="007E3D67">
        <w:t xml:space="preserve">. </w:t>
      </w:r>
      <w:r w:rsidR="005442EA" w:rsidRPr="007E3D67">
        <w:t>7</w:t>
      </w:r>
      <w:r w:rsidRPr="007E3D67">
        <w:t>). Tato nadhodnocená výše 5 000 bodů nebyla ovšem reálnou hodnotou technologických firem obchodovaných na americké burze. Šlo do velké míry o virtuální hodnotu mladých a dravých internetových firem vyhnanou do výše především vírou akcionářů v permanentní růst jejich hodnoty - tedy vírou v růst tržeb a zisků o desítky až stovky procent ročně.</w:t>
      </w:r>
    </w:p>
    <w:p w:rsidR="005B2AC9" w:rsidRPr="007E3D67" w:rsidRDefault="005B2AC9" w:rsidP="005B2AC9"/>
    <w:p w:rsidR="005B2AC9" w:rsidRPr="007E3D67" w:rsidRDefault="00A35E63" w:rsidP="00AB317A">
      <w:pPr>
        <w:pStyle w:val="CaptionIntroductionparagraph"/>
      </w:pPr>
      <w:bookmarkStart w:id="99" w:name="_Toc279307135"/>
      <w:bookmarkStart w:id="100" w:name="_Toc279438616"/>
      <w:bookmarkStart w:id="101" w:name="_Toc279696250"/>
      <w:bookmarkStart w:id="102" w:name="_Toc279696339"/>
      <w:r w:rsidRPr="007E3D67">
        <w:t>Obr</w:t>
      </w:r>
      <w:r w:rsidR="005B2AC9" w:rsidRPr="007E3D67">
        <w:t xml:space="preserve">. </w:t>
      </w:r>
      <w:r w:rsidRPr="007E3D67">
        <w:t>7</w:t>
      </w:r>
      <w:r w:rsidR="005B2AC9" w:rsidRPr="007E3D67">
        <w:t>: Index NASDAQ v letech 1994 – 2005.</w:t>
      </w:r>
      <w:bookmarkEnd w:id="99"/>
      <w:bookmarkEnd w:id="100"/>
      <w:bookmarkEnd w:id="101"/>
      <w:bookmarkEnd w:id="102"/>
    </w:p>
    <w:p w:rsidR="005B2AC9" w:rsidRPr="007E3D67" w:rsidRDefault="005B2AC9" w:rsidP="005B2AC9">
      <w:r w:rsidRPr="007E3D67">
        <w:rPr>
          <w:noProof/>
          <w:lang w:eastAsia="cs-CZ"/>
        </w:rPr>
        <w:drawing>
          <wp:inline distT="0" distB="0" distL="0" distR="0">
            <wp:extent cx="5572125" cy="3343275"/>
            <wp:effectExtent l="19050" t="0" r="9525" b="0"/>
            <wp:docPr id="12" name="obrázek 1" descr="C:\Users\Marek Šípoš\Desktop\forum-nasdaq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ek Šípoš\Desktop\forum-nasdaq1.png"/>
                    <pic:cNvPicPr>
                      <a:picLocks noChangeAspect="1" noChangeArrowheads="1"/>
                    </pic:cNvPicPr>
                  </pic:nvPicPr>
                  <pic:blipFill>
                    <a:blip r:embed="rId26" cstate="print"/>
                    <a:srcRect/>
                    <a:stretch>
                      <a:fillRect/>
                    </a:stretch>
                  </pic:blipFill>
                  <pic:spPr bwMode="auto">
                    <a:xfrm>
                      <a:off x="0" y="0"/>
                      <a:ext cx="5572125" cy="3343275"/>
                    </a:xfrm>
                    <a:prstGeom prst="rect">
                      <a:avLst/>
                    </a:prstGeom>
                    <a:noFill/>
                    <a:ln w="9525">
                      <a:noFill/>
                      <a:miter lim="800000"/>
                      <a:headEnd/>
                      <a:tailEnd/>
                    </a:ln>
                  </pic:spPr>
                </pic:pic>
              </a:graphicData>
            </a:graphic>
          </wp:inline>
        </w:drawing>
      </w:r>
    </w:p>
    <w:p w:rsidR="005B2AC9" w:rsidRPr="007E3D67" w:rsidRDefault="005B2AC9" w:rsidP="005B2AC9">
      <w:pPr>
        <w:rPr>
          <w:i/>
          <w:sz w:val="20"/>
        </w:rPr>
      </w:pPr>
      <w:r w:rsidRPr="007E3D67">
        <w:rPr>
          <w:i/>
          <w:sz w:val="20"/>
        </w:rPr>
        <w:t>Zdroj: Euroekonom, http://www.euroekonom.cz</w:t>
      </w:r>
    </w:p>
    <w:p w:rsidR="005B2AC9" w:rsidRPr="007E3D67" w:rsidRDefault="005B2AC9" w:rsidP="005B2AC9">
      <w:r w:rsidRPr="007E3D67">
        <w:lastRenderedPageBreak/>
        <w:t>Až do roku 1998 tato spekulace v obrovský růst celého technologického oboru</w:t>
      </w:r>
      <w:r w:rsidR="00D20DCB" w:rsidRPr="007E3D67">
        <w:t>,</w:t>
      </w:r>
      <w:r w:rsidRPr="007E3D67">
        <w:t xml:space="preserve"> zhruba odpovídala realitě. V roce 1998 index NASDAQ překročil hodnotu 2 000 bodů, což byl dvojnásobek hodnoty z roku 1995. Internet opravdu dokázal v průběhu 90. let přinášet zisky tisícům firem po celém světě. Stovky z nich založily svůj byznys pouze na internetu. Síť internetových obchodů se rozrůstaly obrovským tempem (eBay, Amazon), vznikaly první internetové vyhledavače (Yahoo!, Altavista, zárodek Googlu), první zpravodajské portály, rozmach zaznamenal internetový marketing, emailová komunikace (Yahoo!, Hotmail), outsourcing prostřednictvím internetu (telefonní operátoři a zákaznická podpora z Indie), sdílení hudby (iTunes). Zároveň s tím došlo k obrovskému celosvětovému boomu mobilní komunikace (Nokia, Samsung, Sony Ericsson, Motorola). To mělo za následek jednu věc: Investice v řádech desítek až stovek </w:t>
      </w:r>
      <w:r w:rsidR="005904A6" w:rsidRPr="007E3D67">
        <w:t>mld.</w:t>
      </w:r>
      <w:r w:rsidRPr="007E3D67">
        <w:t xml:space="preserve"> dolarů do internetových sítí, serverů, programování webových aplikací, obchodu a marketingu. Vše s vidinou návratnosti investice do pěti, maximálně deseti let.</w:t>
      </w:r>
    </w:p>
    <w:p w:rsidR="005B2AC9" w:rsidRPr="007E3D67" w:rsidRDefault="005B2AC9" w:rsidP="005B2AC9"/>
    <w:p w:rsidR="005B2AC9" w:rsidRPr="007E3D67" w:rsidRDefault="005B2AC9" w:rsidP="005B2AC9">
      <w:pPr>
        <w:pStyle w:val="Bodytext"/>
      </w:pPr>
      <w:r w:rsidRPr="007E3D67">
        <w:t xml:space="preserve">Firmy v USA získávaly podstatnou část finančních prostředků na investice prostřednictvím emisí akcií, jedná se o nejlevnější způsob financování. Skupina vlastníků firmy se tímto způsobem sice neustále rozrůstá, na druhou stranu firma nemusí platit žádné úroky za bankovní úvěry či firemní dluhopisy. </w:t>
      </w:r>
    </w:p>
    <w:p w:rsidR="005B2AC9" w:rsidRPr="007E3D67" w:rsidRDefault="005B2AC9" w:rsidP="005B2AC9">
      <w:pPr>
        <w:pStyle w:val="Bodytext"/>
      </w:pPr>
    </w:p>
    <w:p w:rsidR="005B2AC9" w:rsidRPr="007E3D67" w:rsidRDefault="005B2AC9" w:rsidP="005B2AC9">
      <w:pPr>
        <w:pStyle w:val="Bodytext"/>
      </w:pPr>
      <w:r w:rsidRPr="007E3D67">
        <w:t>Kombinace peněz zdarma, vidiny zisku, neuvážených investic, nepřiměřených očekávání a zrodu doposud neznámých technologií, se stala americké ekonomice osudná. V roce 1999 až 2000 chtěl s vidinou obrovských zisků investovat do technologických akcií téměř každý. Akcie třeba i ztrátových, avšak v očích investorů perspektivních firem, se jako štafeta předávaly od jednoho akcionáře k druh</w:t>
      </w:r>
      <w:r w:rsidR="00A35E63" w:rsidRPr="007E3D67">
        <w:t>ému. První koupil akcii za 10 USD</w:t>
      </w:r>
      <w:r w:rsidRPr="007E3D67">
        <w:t>, druhý od prvního za 20</w:t>
      </w:r>
      <w:r w:rsidR="00A35E63" w:rsidRPr="007E3D67">
        <w:t xml:space="preserve"> USD</w:t>
      </w:r>
      <w:r w:rsidRPr="007E3D67">
        <w:t xml:space="preserve">, třetí od druhého za 30 </w:t>
      </w:r>
      <w:r w:rsidR="00A35E63" w:rsidRPr="007E3D67">
        <w:t>USD</w:t>
      </w:r>
      <w:r w:rsidRPr="007E3D67">
        <w:t xml:space="preserve">… a ten poslední (nejnaivnější a nejméně informovaný) za ní byl ochoten zaplatit třeba i 200 </w:t>
      </w:r>
      <w:r w:rsidR="00A35E63" w:rsidRPr="007E3D67">
        <w:t>USD</w:t>
      </w:r>
      <w:r w:rsidRPr="007E3D67">
        <w:t>. Skutečná cena dané firmy byla přitom stále stejná (podle velikosti tržeb a zisků), maximálně se zvýšila řádově o desítku procent. Tuto situaci ještě zhoršoval fakt, že, na trh stále přicházely nové akciové emise. Problém byl především v domácnostech, které si pořizovaly akcie v mnoha případech na dluh. Došlo ke zrodu Internetové bubliny.</w:t>
      </w:r>
    </w:p>
    <w:p w:rsidR="005B2AC9" w:rsidRPr="007E3D67" w:rsidRDefault="005B2AC9" w:rsidP="005B2AC9">
      <w:pPr>
        <w:pStyle w:val="Bodytext"/>
      </w:pPr>
    </w:p>
    <w:p w:rsidR="005B2AC9" w:rsidRPr="007E3D67" w:rsidRDefault="005B2AC9" w:rsidP="005B2AC9">
      <w:pPr>
        <w:pStyle w:val="Bodytext"/>
      </w:pPr>
      <w:r w:rsidRPr="007E3D67">
        <w:lastRenderedPageBreak/>
        <w:t>V roce 2000 tato bublina splaskla. Cena technologických akcií měřená indexem NASDAQ se během následujících tří let vrátila na hodnotu z let 1997 až 1998. Tedy na svou reálnou hodnotu.</w:t>
      </w:r>
    </w:p>
    <w:p w:rsidR="005B2AC9" w:rsidRPr="007E3D67" w:rsidRDefault="005B2AC9" w:rsidP="005B2AC9">
      <w:pPr>
        <w:pStyle w:val="Bodytext"/>
      </w:pPr>
    </w:p>
    <w:p w:rsidR="005B2AC9" w:rsidRPr="007E3D67" w:rsidRDefault="005B2AC9" w:rsidP="005B2AC9">
      <w:pPr>
        <w:pStyle w:val="Nadpis3"/>
        <w:rPr>
          <w:rFonts w:cs="Times New Roman"/>
        </w:rPr>
      </w:pPr>
      <w:bookmarkStart w:id="103" w:name="_Toc254796351"/>
      <w:bookmarkStart w:id="104" w:name="_Toc278920732"/>
      <w:bookmarkStart w:id="105" w:name="_Toc279696220"/>
      <w:r w:rsidRPr="007E3D67">
        <w:rPr>
          <w:rFonts w:cs="Times New Roman"/>
        </w:rPr>
        <w:t>Rok 2001-2004, růst spotřebitelské poptávky</w:t>
      </w:r>
      <w:bookmarkEnd w:id="103"/>
      <w:bookmarkEnd w:id="104"/>
      <w:bookmarkEnd w:id="105"/>
    </w:p>
    <w:p w:rsidR="005B2AC9" w:rsidRPr="007E3D67" w:rsidRDefault="005B2AC9" w:rsidP="005B2AC9">
      <w:r w:rsidRPr="007E3D67">
        <w:t>Mnohé investice firem v oblasti internetových technologií bylo nutno mezi rokem 2000 až 2003 stornovat, nákladně budované kapacity internetových sítí zůstaly nevyužity, investoři, kteří vložili své prostředky do technologií nejpozději, přišli o peníze. Důsledkem byly bankroty části firem, některé prošly restrukturalizací spojenou s propouštěním zaměstnanců. Firmy plošně omezily investice nejen do internetových technologií. Především pak domácnosti omezily své výdaje, kurz dolaru oslaboval kvůli přesunu investic z USA do jiných částí světa, ekonomice USA po vlně rekordního růstu, reálně hrozil propad do recese.</w:t>
      </w:r>
    </w:p>
    <w:p w:rsidR="005B2AC9" w:rsidRPr="007E3D67" w:rsidRDefault="005B2AC9" w:rsidP="005B2AC9"/>
    <w:p w:rsidR="005B2AC9" w:rsidRPr="007E3D67" w:rsidRDefault="005B2AC9" w:rsidP="005B2AC9">
      <w:r w:rsidRPr="007E3D67">
        <w:t xml:space="preserve">V tu dobu začal intervenovat FED, během jednoho roku snížil základní úrokovou sazbu z 6,50% na 1,75%, což představovalo jednu z nejnižších hodnot v historii USA. Na to reagovaly bankovní domy snížením svých úrokových sazeb, peníze se staly „levnějšími“, následkem čehož úvěry byly mnohem dostupnější a firmy i domácnosti měli k dispozici nástroj pro překonání slabé likvidity. </w:t>
      </w:r>
    </w:p>
    <w:p w:rsidR="005B2AC9" w:rsidRPr="007E3D67" w:rsidRDefault="005B2AC9" w:rsidP="005B2AC9"/>
    <w:p w:rsidR="005B2AC9" w:rsidRPr="007E3D67" w:rsidRDefault="005B2AC9" w:rsidP="005B2AC9">
      <w:r w:rsidRPr="007E3D67">
        <w:t xml:space="preserve">K recesi americké ekonomiky v roce 2001 díky rychlému zásahu FEDu nedošlo. Spotřeba domácností poklesla jen minimálně, firmy pokryly své investice namísto emisí akcií levnými úvěry. Růst HDP USA v roce 2001 díky tomu jen lehce přistál. Konkrétně na hodnotu +0,8% (růst HDP rok 2000 = +3,7%), a od této hodnoty opět rostl (viz </w:t>
      </w:r>
      <w:r w:rsidR="005442EA" w:rsidRPr="007E3D67">
        <w:t>o</w:t>
      </w:r>
      <w:r w:rsidR="00B14776" w:rsidRPr="007E3D67">
        <w:t>br</w:t>
      </w:r>
      <w:r w:rsidRPr="007E3D67">
        <w:t xml:space="preserve">. </w:t>
      </w:r>
      <w:r w:rsidR="00B14776" w:rsidRPr="007E3D67">
        <w:t>8</w:t>
      </w:r>
      <w:r w:rsidRPr="007E3D67">
        <w:t xml:space="preserve">). Růst začaly i akciové indexy. A to jak technologický NASDAQ, tak širší Dow Jones index. Ani trh práce po splasknutí internetové bubliny nezažil výraznější šok. Počet lidí bez práce vzrostl z historicky nejnižších 3,9% (rok 2000) na 6,0% (rok 2002), o tři roky později již ale míra nezaměstnanosti v USA činila 4,9% (viz </w:t>
      </w:r>
      <w:r w:rsidR="005442EA" w:rsidRPr="007E3D67">
        <w:t>o</w:t>
      </w:r>
      <w:r w:rsidR="00B14776" w:rsidRPr="007E3D67">
        <w:t>br. 9</w:t>
      </w:r>
      <w:r w:rsidRPr="007E3D67">
        <w:t xml:space="preserve">). </w:t>
      </w:r>
    </w:p>
    <w:p w:rsidR="005B2AC9" w:rsidRPr="007E3D67" w:rsidRDefault="005B2AC9" w:rsidP="005B2AC9"/>
    <w:p w:rsidR="005B2AC9" w:rsidRPr="007E3D67" w:rsidRDefault="005B2AC9" w:rsidP="005B2AC9"/>
    <w:p w:rsidR="005B2AC9" w:rsidRPr="007E3D67" w:rsidRDefault="005B2AC9" w:rsidP="005B2AC9"/>
    <w:p w:rsidR="005B2AC9" w:rsidRPr="007E3D67" w:rsidRDefault="00B14776" w:rsidP="00AB317A">
      <w:pPr>
        <w:pStyle w:val="CaptionIntroductionparagraph"/>
      </w:pPr>
      <w:bookmarkStart w:id="106" w:name="_Toc279307136"/>
      <w:bookmarkStart w:id="107" w:name="_Toc279438617"/>
      <w:bookmarkStart w:id="108" w:name="_Toc279696251"/>
      <w:bookmarkStart w:id="109" w:name="_Toc279696340"/>
      <w:r w:rsidRPr="007E3D67">
        <w:lastRenderedPageBreak/>
        <w:t>Obr. 8</w:t>
      </w:r>
      <w:r w:rsidR="005B2AC9" w:rsidRPr="007E3D67">
        <w:t>: Změna HDP USA v letech 1996-2004 (%)</w:t>
      </w:r>
      <w:bookmarkEnd w:id="106"/>
      <w:bookmarkEnd w:id="107"/>
      <w:bookmarkEnd w:id="108"/>
      <w:bookmarkEnd w:id="109"/>
    </w:p>
    <w:p w:rsidR="005B2AC9" w:rsidRPr="007E3D67" w:rsidRDefault="005B2AC9" w:rsidP="005B2AC9">
      <w:r w:rsidRPr="007E3D67">
        <w:rPr>
          <w:noProof/>
          <w:lang w:eastAsia="cs-CZ"/>
        </w:rPr>
        <w:drawing>
          <wp:inline distT="0" distB="0" distL="0" distR="0">
            <wp:extent cx="5486400" cy="3200400"/>
            <wp:effectExtent l="19050" t="0" r="19050" b="0"/>
            <wp:docPr id="13"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B2AC9" w:rsidRPr="007E3D67" w:rsidRDefault="005B2AC9" w:rsidP="005B2AC9">
      <w:pPr>
        <w:rPr>
          <w:i/>
          <w:sz w:val="20"/>
        </w:rPr>
      </w:pPr>
      <w:r w:rsidRPr="007E3D67">
        <w:rPr>
          <w:i/>
          <w:sz w:val="20"/>
        </w:rPr>
        <w:t xml:space="preserve">Zdroj: Data – Eurostat, http://ec.europa.eu/eurostat, </w:t>
      </w:r>
      <w:r w:rsidR="00B14776" w:rsidRPr="007E3D67">
        <w:rPr>
          <w:i/>
          <w:sz w:val="20"/>
        </w:rPr>
        <w:t>Obrázek</w:t>
      </w:r>
      <w:r w:rsidRPr="007E3D67">
        <w:rPr>
          <w:i/>
          <w:sz w:val="20"/>
        </w:rPr>
        <w:t>: Vlastní konstrukce.</w:t>
      </w:r>
    </w:p>
    <w:p w:rsidR="005B2AC9" w:rsidRPr="007E3D67" w:rsidRDefault="005B2AC9" w:rsidP="005B2AC9"/>
    <w:p w:rsidR="005B2AC9" w:rsidRPr="007E3D67" w:rsidRDefault="00B14776" w:rsidP="00AB317A">
      <w:pPr>
        <w:pStyle w:val="CaptionIntroductionparagraph"/>
      </w:pPr>
      <w:bookmarkStart w:id="110" w:name="_Toc279307137"/>
      <w:bookmarkStart w:id="111" w:name="_Toc279438618"/>
      <w:bookmarkStart w:id="112" w:name="_Toc279696252"/>
      <w:bookmarkStart w:id="113" w:name="_Toc279696341"/>
      <w:r w:rsidRPr="007E3D67">
        <w:t>Obr. 9</w:t>
      </w:r>
      <w:r w:rsidR="005B2AC9" w:rsidRPr="007E3D67">
        <w:t>: Míra nezaměstnanosti v USA v letech 1996-2004 (%)</w:t>
      </w:r>
      <w:bookmarkEnd w:id="110"/>
      <w:bookmarkEnd w:id="111"/>
      <w:bookmarkEnd w:id="112"/>
      <w:bookmarkEnd w:id="113"/>
    </w:p>
    <w:p w:rsidR="005B2AC9" w:rsidRPr="007E3D67" w:rsidRDefault="005B2AC9" w:rsidP="005B2AC9">
      <w:r w:rsidRPr="007E3D67">
        <w:rPr>
          <w:noProof/>
          <w:lang w:eastAsia="cs-CZ"/>
        </w:rPr>
        <w:drawing>
          <wp:inline distT="0" distB="0" distL="0" distR="0">
            <wp:extent cx="5486400" cy="3200400"/>
            <wp:effectExtent l="19050" t="0" r="19050" b="0"/>
            <wp:docPr id="14"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5B2AC9" w:rsidRPr="007E3D67" w:rsidRDefault="005B2AC9" w:rsidP="005B2AC9">
      <w:pPr>
        <w:rPr>
          <w:i/>
          <w:sz w:val="20"/>
        </w:rPr>
      </w:pPr>
      <w:r w:rsidRPr="007E3D67">
        <w:rPr>
          <w:i/>
          <w:sz w:val="20"/>
        </w:rPr>
        <w:t xml:space="preserve">Zdroj: Data – U.S. Department of Labor, http://www.dol.gov, </w:t>
      </w:r>
      <w:r w:rsidR="00B14776" w:rsidRPr="007E3D67">
        <w:rPr>
          <w:i/>
          <w:sz w:val="20"/>
        </w:rPr>
        <w:t>Obrázek</w:t>
      </w:r>
      <w:r w:rsidRPr="007E3D67">
        <w:rPr>
          <w:i/>
          <w:sz w:val="20"/>
        </w:rPr>
        <w:t>: Vlastní konstrukce.</w:t>
      </w:r>
    </w:p>
    <w:p w:rsidR="005B2AC9" w:rsidRPr="007E3D67" w:rsidRDefault="005B2AC9" w:rsidP="005B2AC9"/>
    <w:p w:rsidR="005B2AC9" w:rsidRPr="007E3D67" w:rsidRDefault="005B2AC9" w:rsidP="005B2AC9">
      <w:r w:rsidRPr="007E3D67">
        <w:t xml:space="preserve">Nízké úrokové sazby FEDu sebou nesly i negativní efekty. Ekonomiku sice dokázaly díky spotřebě domácností a levným firemním investicím stimulovat k vyššímu růstu, spotřeba </w:t>
      </w:r>
      <w:r w:rsidRPr="007E3D67">
        <w:lastRenderedPageBreak/>
        <w:t>domácností se však čím dál více transformovala do spotřeby na dluh. Krátkodobě tento proces není nevyhnutelně negativní, ovšem FED v této strategii pokračoval po dobu 4 let.</w:t>
      </w:r>
    </w:p>
    <w:p w:rsidR="005B2AC9" w:rsidRPr="007E3D67" w:rsidRDefault="005B2AC9" w:rsidP="005B2AC9"/>
    <w:p w:rsidR="005B2AC9" w:rsidRPr="007E3D67" w:rsidRDefault="005B2AC9" w:rsidP="005B2AC9">
      <w:r w:rsidRPr="007E3D67">
        <w:t xml:space="preserve">Vysoká spotřeba Amerických domácností na dluh se evolvovala do dvou oblastí. První představovala běžné spotřební zboží. Automobily, oblečení, elektronika, nábytek, atd. Domácí výrobci nestačili s růstem spotřebitelské poptávky vyvolané levnými spotřebitelskými úvěry držet krok, došlo tak k výraznému převisu poptávky nad nabídkou po domácím zboží. Spotřebitelé se tedy začali orientovat na zahraniční zboží. Které navíc díky vysokému kurzu dolaru bylo mnohem levnější než zboží americké. V konečném důsledku se tendence nakupovat v zahraničí projevila propadem bilance zahraničního obchodu USA z -412 </w:t>
      </w:r>
      <w:r w:rsidR="005904A6" w:rsidRPr="007E3D67">
        <w:t>mld.</w:t>
      </w:r>
      <w:r w:rsidRPr="007E3D67">
        <w:t xml:space="preserve"> </w:t>
      </w:r>
      <w:r w:rsidR="00B14776" w:rsidRPr="007E3D67">
        <w:t>USD</w:t>
      </w:r>
      <w:r w:rsidRPr="007E3D67">
        <w:t xml:space="preserve"> (rok 2001) na -651 </w:t>
      </w:r>
      <w:r w:rsidR="005904A6" w:rsidRPr="007E3D67">
        <w:t>mld.</w:t>
      </w:r>
      <w:r w:rsidRPr="007E3D67">
        <w:t xml:space="preserve"> </w:t>
      </w:r>
      <w:r w:rsidR="00B14776" w:rsidRPr="007E3D67">
        <w:t>USD</w:t>
      </w:r>
      <w:r w:rsidRPr="007E3D67">
        <w:t xml:space="preserve"> (rok 2004), (viz </w:t>
      </w:r>
      <w:r w:rsidR="005442EA" w:rsidRPr="007E3D67">
        <w:t>o</w:t>
      </w:r>
      <w:r w:rsidR="00B14776" w:rsidRPr="007E3D67">
        <w:t>br. 10</w:t>
      </w:r>
      <w:r w:rsidRPr="007E3D67">
        <w:t xml:space="preserve">). To v kombinaci s odlivem portfoliových investic z USA, vlivem nízkých bankovních úroků vedlo k pádu dolaru na světovém měnovém trhu. Z parity 1 : 1 dolar/euro až na 1,50 : 1 dolar/euro v roce 2008. </w:t>
      </w:r>
    </w:p>
    <w:p w:rsidR="005B2AC9" w:rsidRPr="007E3D67" w:rsidRDefault="005B2AC9" w:rsidP="005B2AC9"/>
    <w:p w:rsidR="005B2AC9" w:rsidRPr="007E3D67" w:rsidRDefault="00B14776" w:rsidP="00AB317A">
      <w:pPr>
        <w:pStyle w:val="CaptionIntroductionparagraph"/>
      </w:pPr>
      <w:bookmarkStart w:id="114" w:name="_Toc279307138"/>
      <w:bookmarkStart w:id="115" w:name="_Toc279438619"/>
      <w:bookmarkStart w:id="116" w:name="_Toc279696253"/>
      <w:bookmarkStart w:id="117" w:name="_Toc279696342"/>
      <w:r w:rsidRPr="007E3D67">
        <w:t>Obr. 10</w:t>
      </w:r>
      <w:r w:rsidR="005B2AC9" w:rsidRPr="007E3D67">
        <w:t>: Obch</w:t>
      </w:r>
      <w:r w:rsidR="0081560C" w:rsidRPr="007E3D67">
        <w:t>odní bilance USA v letech 1996-</w:t>
      </w:r>
      <w:r w:rsidR="005B2AC9" w:rsidRPr="007E3D67">
        <w:t>2008 (mld. USD)</w:t>
      </w:r>
      <w:bookmarkEnd w:id="114"/>
      <w:bookmarkEnd w:id="115"/>
      <w:bookmarkEnd w:id="116"/>
      <w:bookmarkEnd w:id="117"/>
    </w:p>
    <w:p w:rsidR="005B2AC9" w:rsidRPr="007E3D67" w:rsidRDefault="005B2AC9" w:rsidP="005B2AC9">
      <w:r w:rsidRPr="007E3D67">
        <w:rPr>
          <w:noProof/>
          <w:lang w:eastAsia="cs-CZ"/>
        </w:rPr>
        <w:drawing>
          <wp:inline distT="0" distB="0" distL="0" distR="0">
            <wp:extent cx="5486400" cy="3200400"/>
            <wp:effectExtent l="19050" t="0" r="19050" b="0"/>
            <wp:docPr id="15"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B2AC9" w:rsidRPr="007E3D67" w:rsidRDefault="005B2AC9" w:rsidP="005B2AC9">
      <w:pPr>
        <w:rPr>
          <w:i/>
          <w:sz w:val="20"/>
        </w:rPr>
      </w:pPr>
      <w:r w:rsidRPr="007E3D67">
        <w:rPr>
          <w:i/>
          <w:sz w:val="20"/>
        </w:rPr>
        <w:t xml:space="preserve">Zdroj: Data – U.S. Census Bureau, http://www.census.gov, </w:t>
      </w:r>
      <w:r w:rsidR="00B14776" w:rsidRPr="007E3D67">
        <w:rPr>
          <w:i/>
          <w:sz w:val="20"/>
        </w:rPr>
        <w:t>Obrázek</w:t>
      </w:r>
      <w:r w:rsidRPr="007E3D67">
        <w:rPr>
          <w:i/>
          <w:sz w:val="20"/>
        </w:rPr>
        <w:t>: Vlastní konstrukce.</w:t>
      </w:r>
    </w:p>
    <w:p w:rsidR="005B2AC9" w:rsidRPr="007E3D67" w:rsidRDefault="005B2AC9" w:rsidP="005B2AC9"/>
    <w:p w:rsidR="005B2AC9" w:rsidRPr="007E3D67" w:rsidRDefault="005B2AC9" w:rsidP="005B2AC9">
      <w:r w:rsidRPr="007E3D67">
        <w:t xml:space="preserve">Druhou oblast amerického utrácení na dluh představovaly nemovitosti. Nízké úrokové sazby vedly k historickému poklesu hypotečních úrokových sazeb. Sazba hypotečního úvěru </w:t>
      </w:r>
      <w:r w:rsidRPr="007E3D67">
        <w:lastRenderedPageBreak/>
        <w:t>s 30letou fixací klesla v průběhu roku 2003 na 5,50%, s 15letou fixací na 5,00% a u hypotéky s pohyblivou mírou na 3,50%.</w:t>
      </w:r>
    </w:p>
    <w:p w:rsidR="005B2AC9" w:rsidRPr="007E3D67" w:rsidRDefault="005B2AC9" w:rsidP="005B2AC9"/>
    <w:p w:rsidR="005B2AC9" w:rsidRPr="007E3D67" w:rsidRDefault="005B2AC9" w:rsidP="005B2AC9">
      <w:r w:rsidRPr="007E3D67">
        <w:t xml:space="preserve">Právě hypotéky s pohyblivou úrokovou sazbou byly iniciátorem americké hypoteční krize. Úroky u hypoték fixovaných na 15 a 30 let jsou historicky velmi stabilní. Za předpokladu nízké inflace se pohybují v intervalu 5- 8%. Klient sjednávající si tuto hypotéku má vysoce kvalitní vstupní informace. Zná hodnotu, kterou mu z rodinného rozpočtu hypotéka odsaje v době pořízení nemovitosti i to, jak vysoká bude splátka hypotéky v celém průběhu doby splatnosti. Klient, který si sjedná hypotéku s pohyblivou úrokovou sazbou, předpokládá nižší celkové náklady na hypotéku, na druhou stranu ztrácí jistotu, zda bude schopen splácet hypotéku například po uplynutí pěti let od jejího sjednání. </w:t>
      </w:r>
    </w:p>
    <w:p w:rsidR="005B2AC9" w:rsidRPr="007E3D67" w:rsidRDefault="005B2AC9" w:rsidP="005B2AC9"/>
    <w:p w:rsidR="005B2AC9" w:rsidRDefault="005B2AC9" w:rsidP="005B2AC9">
      <w:r w:rsidRPr="007E3D67">
        <w:t>Jak je patrno z</w:t>
      </w:r>
      <w:r w:rsidR="00695D88" w:rsidRPr="007E3D67">
        <w:t> obr. 11</w:t>
      </w:r>
      <w:r w:rsidRPr="007E3D67">
        <w:t xml:space="preserve">, až do roku 2001 byl na trhu financování a následného nákupu nemovitostí klid. Nárůst počtu prodaných nemovitostí zhruba kopíroval nárůst počtu obyvatel USA, kombinovaný s růstem jejich životní úrovně. V roce 2001 došlo v USA k prodeji 908 000 nových rodinných domů, což bylo v souladu s průměrným dvouprocentním meziročním nárůstem zaznamenaným v předchozích 15 letech. </w:t>
      </w:r>
    </w:p>
    <w:p w:rsidR="007A7BB8" w:rsidRPr="007E3D67" w:rsidRDefault="007A7BB8" w:rsidP="005B2AC9"/>
    <w:p w:rsidR="005B2AC9" w:rsidRPr="007E3D67" w:rsidRDefault="00695D88" w:rsidP="00AB317A">
      <w:pPr>
        <w:pStyle w:val="CaptionIntroductionparagraph"/>
      </w:pPr>
      <w:bookmarkStart w:id="118" w:name="_Toc279307139"/>
      <w:bookmarkStart w:id="119" w:name="_Toc279438620"/>
      <w:bookmarkStart w:id="120" w:name="_Toc279696254"/>
      <w:bookmarkStart w:id="121" w:name="_Toc279696343"/>
      <w:r w:rsidRPr="007E3D67">
        <w:t>Obr. 11</w:t>
      </w:r>
      <w:r w:rsidR="005B2AC9" w:rsidRPr="007E3D67">
        <w:t>: Počet prodaných domů v USA v letech 19</w:t>
      </w:r>
      <w:r w:rsidR="0081560C" w:rsidRPr="007E3D67">
        <w:t>99-</w:t>
      </w:r>
      <w:r w:rsidR="005B2AC9" w:rsidRPr="007E3D67">
        <w:t>2006 (tis.)</w:t>
      </w:r>
      <w:bookmarkEnd w:id="118"/>
      <w:bookmarkEnd w:id="119"/>
      <w:bookmarkEnd w:id="120"/>
      <w:bookmarkEnd w:id="121"/>
    </w:p>
    <w:p w:rsidR="005B2AC9" w:rsidRPr="007E3D67" w:rsidRDefault="005B2AC9" w:rsidP="005B2AC9">
      <w:r w:rsidRPr="007E3D67">
        <w:rPr>
          <w:noProof/>
          <w:lang w:eastAsia="cs-CZ"/>
        </w:rPr>
        <w:drawing>
          <wp:inline distT="0" distB="0" distL="0" distR="0">
            <wp:extent cx="5429250" cy="3000375"/>
            <wp:effectExtent l="19050" t="0" r="19050" b="0"/>
            <wp:docPr id="16"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5B2AC9" w:rsidRPr="007E3D67" w:rsidRDefault="005B2AC9" w:rsidP="005B2AC9">
      <w:pPr>
        <w:rPr>
          <w:i/>
          <w:sz w:val="20"/>
        </w:rPr>
      </w:pPr>
      <w:r w:rsidRPr="007E3D67">
        <w:rPr>
          <w:i/>
          <w:sz w:val="20"/>
        </w:rPr>
        <w:t xml:space="preserve">Zdroj: Data – U.S. Census Bureau, http://www.census.gov, </w:t>
      </w:r>
      <w:r w:rsidR="00695D88" w:rsidRPr="007E3D67">
        <w:rPr>
          <w:i/>
          <w:sz w:val="20"/>
        </w:rPr>
        <w:t>Obrázek</w:t>
      </w:r>
      <w:r w:rsidRPr="007E3D67">
        <w:rPr>
          <w:i/>
          <w:sz w:val="20"/>
        </w:rPr>
        <w:t>: Vlastní konstrukce.</w:t>
      </w:r>
    </w:p>
    <w:p w:rsidR="005B2AC9" w:rsidRPr="007E3D67" w:rsidRDefault="005B2AC9" w:rsidP="005B2AC9">
      <w:r w:rsidRPr="007E3D67">
        <w:lastRenderedPageBreak/>
        <w:t>Jak ale klesala úroková sazba FEDu a následně i úroková sazba hypotečních úvěrů, začaly si sjednávat hypotéky a následně pořizovat nemovitosti i ty domácnosti, které by za normální situace na vlastní bydlení neměly dostatek finančních prostředků. Nejvyšší nárůst zájmu byl především u hypoték s pohyblivou úrokovou sazbou. Kontrola bonity klienta žádajícího o úvěr přestala být prioritou. V roce 2002 se v USA prodalo již 973 000 nových rodinných domů, v roce 2003 1 086 000 a v průběhu roku následujícího jejich počet eskaloval na hodnotu 1 203 000. Zde byl počátek tzv. „Realitní bubliny“.</w:t>
      </w:r>
    </w:p>
    <w:p w:rsidR="005B2AC9" w:rsidRPr="007E3D67" w:rsidRDefault="005B2AC9" w:rsidP="005B2AC9"/>
    <w:p w:rsidR="005B2AC9" w:rsidRPr="007E3D67" w:rsidRDefault="005B2AC9" w:rsidP="005B2AC9">
      <w:pPr>
        <w:pStyle w:val="Nadpis3"/>
        <w:rPr>
          <w:rFonts w:cs="Times New Roman"/>
        </w:rPr>
      </w:pPr>
      <w:bookmarkStart w:id="122" w:name="_Toc254796352"/>
      <w:bookmarkStart w:id="123" w:name="_Toc278920733"/>
      <w:bookmarkStart w:id="124" w:name="_Toc279696221"/>
      <w:r w:rsidRPr="007E3D67">
        <w:rPr>
          <w:rFonts w:cs="Times New Roman"/>
        </w:rPr>
        <w:t>Rok 2005-2007, Realitní bublina</w:t>
      </w:r>
      <w:bookmarkEnd w:id="122"/>
      <w:bookmarkEnd w:id="123"/>
      <w:bookmarkEnd w:id="124"/>
    </w:p>
    <w:p w:rsidR="005B2AC9" w:rsidRPr="007E3D67" w:rsidRDefault="005B2AC9" w:rsidP="005B2AC9">
      <w:r w:rsidRPr="007E3D67">
        <w:t xml:space="preserve">Čtyři roky trvající politika levných peněz skončila v USA v roce 2004. FED zvedl základní úrokovou sazbu z ultra nízkých 1,00% na 2,25%. V dalších letech s navyšováním pokračoval. V prosinci 2005 byla 4,25%, o rok později dosáhl nárůst hodnoty 5,25%. Zvýšení sazeb FEDu se s několikatýdenním zpožděním promítlo do výše hypotečních úrokových sazeb. Sazba hypotéky s jednoletou fixací vzrostla během tří let z rekordně nízkých 3,50% na 5,50%, hypotéka s 15letou fixací </w:t>
      </w:r>
      <w:r w:rsidR="00695D88" w:rsidRPr="007E3D67">
        <w:t>podražila z 5% na 6%, hypotéka s</w:t>
      </w:r>
      <w:r w:rsidRPr="007E3D67">
        <w:t> </w:t>
      </w:r>
      <w:r w:rsidR="0081560C" w:rsidRPr="007E3D67">
        <w:t>třiceti</w:t>
      </w:r>
      <w:r w:rsidRPr="007E3D67">
        <w:t xml:space="preserve"> letou fixací z 5,50 % na 6,50%.</w:t>
      </w:r>
    </w:p>
    <w:p w:rsidR="00D20DCB" w:rsidRPr="007E3D67" w:rsidRDefault="00D20DCB" w:rsidP="00AB317A">
      <w:pPr>
        <w:pStyle w:val="CaptionIntroductionparagraph"/>
      </w:pPr>
      <w:bookmarkStart w:id="125" w:name="_Toc279307140"/>
    </w:p>
    <w:p w:rsidR="005B2AC9" w:rsidRPr="007E3D67" w:rsidRDefault="00695D88" w:rsidP="00AB317A">
      <w:pPr>
        <w:pStyle w:val="CaptionIntroductionparagraph"/>
      </w:pPr>
      <w:bookmarkStart w:id="126" w:name="_Toc279438621"/>
      <w:bookmarkStart w:id="127" w:name="_Toc279696255"/>
      <w:bookmarkStart w:id="128" w:name="_Toc279696344"/>
      <w:r w:rsidRPr="007E3D67">
        <w:t>Obr. 12</w:t>
      </w:r>
      <w:r w:rsidR="005B2AC9" w:rsidRPr="007E3D67">
        <w:t>: Základní úroková sazba F</w:t>
      </w:r>
      <w:r w:rsidR="0081560C" w:rsidRPr="007E3D67">
        <w:t>ED ke konci roku v letech 1996-</w:t>
      </w:r>
      <w:r w:rsidR="005B2AC9" w:rsidRPr="007E3D67">
        <w:t>2008 (%)</w:t>
      </w:r>
      <w:bookmarkEnd w:id="125"/>
      <w:bookmarkEnd w:id="126"/>
      <w:bookmarkEnd w:id="127"/>
      <w:bookmarkEnd w:id="128"/>
    </w:p>
    <w:p w:rsidR="005B2AC9" w:rsidRPr="007E3D67" w:rsidRDefault="005B2AC9" w:rsidP="005B2AC9">
      <w:r w:rsidRPr="007E3D67">
        <w:rPr>
          <w:noProof/>
          <w:lang w:eastAsia="cs-CZ"/>
        </w:rPr>
        <w:drawing>
          <wp:inline distT="0" distB="0" distL="0" distR="0">
            <wp:extent cx="5486400" cy="3200400"/>
            <wp:effectExtent l="19050" t="0" r="19050" b="0"/>
            <wp:docPr id="17" name="Graf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5B2AC9" w:rsidRPr="007E3D67" w:rsidRDefault="005B2AC9" w:rsidP="005B2AC9">
      <w:pPr>
        <w:rPr>
          <w:i/>
          <w:sz w:val="20"/>
        </w:rPr>
      </w:pPr>
      <w:r w:rsidRPr="007E3D67">
        <w:rPr>
          <w:i/>
          <w:sz w:val="20"/>
        </w:rPr>
        <w:t xml:space="preserve">Zdroj: Data – U.S. Federal Reserve, http://www.federalreserve.gov/, </w:t>
      </w:r>
      <w:r w:rsidR="00695D88" w:rsidRPr="007E3D67">
        <w:rPr>
          <w:i/>
          <w:sz w:val="20"/>
        </w:rPr>
        <w:t>Obrázek</w:t>
      </w:r>
      <w:r w:rsidRPr="007E3D67">
        <w:rPr>
          <w:i/>
          <w:sz w:val="20"/>
        </w:rPr>
        <w:t>: Vlastní konstrukce.</w:t>
      </w:r>
    </w:p>
    <w:p w:rsidR="007A7BB8" w:rsidRDefault="005B2AC9" w:rsidP="005B2AC9">
      <w:r w:rsidRPr="007E3D67">
        <w:lastRenderedPageBreak/>
        <w:t xml:space="preserve">1. února 2006 George W. Bush jmenoval novým předsedou představenstva FEDu Bena Bernankeho. Bernanke v otázce úlohy trhu tíhne k myšlenkám Miltona Friedmana a obhajuje volný trh a největší míru deregulace. V roce 2005 zavedl termín „přesycení úsporami“, kdy podle jeho názoru převis nabídky peněz ve spořicích účtech umožňuje financovat současné finanční deficity Spojených států a drží inflaci nízkou. </w:t>
      </w:r>
    </w:p>
    <w:p w:rsidR="007A7BB8" w:rsidRDefault="007A7BB8" w:rsidP="005B2AC9">
      <w:pPr>
        <w:rPr>
          <w:b/>
          <w:bCs/>
        </w:rPr>
      </w:pPr>
      <w:r>
        <w:t>(REMARKS BY GOVERNOR BEN S. BERNAKE 2005)</w:t>
      </w:r>
    </w:p>
    <w:p w:rsidR="005B2AC9" w:rsidRPr="007E3D67" w:rsidRDefault="007A7BB8" w:rsidP="005B2AC9">
      <w:r w:rsidRPr="007E3D67">
        <w:t xml:space="preserve"> </w:t>
      </w:r>
    </w:p>
    <w:p w:rsidR="005B2AC9" w:rsidRPr="007E3D67" w:rsidRDefault="005B2AC9" w:rsidP="005B2AC9">
      <w:r w:rsidRPr="007E3D67">
        <w:t>V létě roku 2006 realitní bublina splaskla. Splasknutí se projevilo v několika oblastech trhu:</w:t>
      </w:r>
    </w:p>
    <w:p w:rsidR="005B2AC9" w:rsidRPr="007E3D67" w:rsidRDefault="005B2AC9" w:rsidP="005B2AC9">
      <w:pPr>
        <w:rPr>
          <w:sz w:val="20"/>
        </w:rPr>
      </w:pPr>
    </w:p>
    <w:p w:rsidR="005B2AC9" w:rsidRPr="007E3D67" w:rsidRDefault="005B2AC9" w:rsidP="005B2AC9">
      <w:pPr>
        <w:pStyle w:val="Odstavecseseznamem"/>
        <w:numPr>
          <w:ilvl w:val="0"/>
          <w:numId w:val="26"/>
        </w:numPr>
        <w:spacing w:line="360" w:lineRule="auto"/>
        <w:rPr>
          <w:rFonts w:ascii="Times New Roman" w:hAnsi="Times New Roman" w:cs="Times New Roman"/>
        </w:rPr>
      </w:pPr>
      <w:r w:rsidRPr="007E3D67">
        <w:rPr>
          <w:rFonts w:ascii="Times New Roman" w:hAnsi="Times New Roman" w:cs="Times New Roman"/>
        </w:rPr>
        <w:t>Dramaticky klesl počet žádostí o hypotéku, zájem o nákup rodinných domů uvadal.</w:t>
      </w:r>
    </w:p>
    <w:p w:rsidR="005B2AC9" w:rsidRPr="007E3D67" w:rsidRDefault="005B2AC9" w:rsidP="005B2AC9"/>
    <w:p w:rsidR="005B2AC9" w:rsidRPr="007E3D67" w:rsidRDefault="00695D88" w:rsidP="00AB317A">
      <w:pPr>
        <w:pStyle w:val="CaptionIntroductionparagraph"/>
      </w:pPr>
      <w:bookmarkStart w:id="129" w:name="_Toc279307141"/>
      <w:bookmarkStart w:id="130" w:name="_Toc279438622"/>
      <w:bookmarkStart w:id="131" w:name="_Toc279696256"/>
      <w:bookmarkStart w:id="132" w:name="_Toc279696345"/>
      <w:r w:rsidRPr="007E3D67">
        <w:t>Obr. 13</w:t>
      </w:r>
      <w:r w:rsidR="005B2AC9" w:rsidRPr="007E3D67">
        <w:t>: Počet prodaných nových rodinných domů v USA v letech 2001-2008 (tis.)</w:t>
      </w:r>
      <w:bookmarkEnd w:id="129"/>
      <w:bookmarkEnd w:id="130"/>
      <w:bookmarkEnd w:id="131"/>
      <w:bookmarkEnd w:id="132"/>
    </w:p>
    <w:p w:rsidR="005B2AC9" w:rsidRPr="007E3D67" w:rsidRDefault="005B2AC9" w:rsidP="005B2AC9">
      <w:r w:rsidRPr="007E3D67">
        <w:rPr>
          <w:noProof/>
          <w:lang w:eastAsia="cs-CZ"/>
        </w:rPr>
        <w:drawing>
          <wp:inline distT="0" distB="0" distL="0" distR="0">
            <wp:extent cx="5486400" cy="3200400"/>
            <wp:effectExtent l="19050" t="0" r="19050" b="0"/>
            <wp:docPr id="18"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5B2AC9" w:rsidRPr="007E3D67" w:rsidRDefault="005B2AC9" w:rsidP="005B2AC9">
      <w:pPr>
        <w:rPr>
          <w:i/>
          <w:sz w:val="20"/>
        </w:rPr>
      </w:pPr>
      <w:r w:rsidRPr="007E3D67">
        <w:rPr>
          <w:i/>
          <w:sz w:val="20"/>
        </w:rPr>
        <w:t xml:space="preserve">Zdroj: Data – U.S. Census Bureau, http://www.census.gov, </w:t>
      </w:r>
      <w:r w:rsidR="00695D88" w:rsidRPr="007E3D67">
        <w:rPr>
          <w:i/>
          <w:sz w:val="20"/>
        </w:rPr>
        <w:t>Obrázek</w:t>
      </w:r>
      <w:r w:rsidRPr="007E3D67">
        <w:rPr>
          <w:i/>
          <w:sz w:val="20"/>
        </w:rPr>
        <w:t>: Vlastní konstrukce.</w:t>
      </w:r>
    </w:p>
    <w:p w:rsidR="005B2AC9" w:rsidRPr="007E3D67" w:rsidRDefault="005B2AC9" w:rsidP="005B2AC9">
      <w:pPr>
        <w:rPr>
          <w:i/>
          <w:sz w:val="20"/>
        </w:rPr>
      </w:pPr>
    </w:p>
    <w:p w:rsidR="005B2AC9" w:rsidRPr="007E3D67" w:rsidRDefault="005B2AC9" w:rsidP="005B2AC9">
      <w:pPr>
        <w:pStyle w:val="Odstavecseseznamem"/>
        <w:numPr>
          <w:ilvl w:val="0"/>
          <w:numId w:val="26"/>
        </w:numPr>
        <w:spacing w:line="360" w:lineRule="auto"/>
        <w:rPr>
          <w:rFonts w:ascii="Times New Roman" w:hAnsi="Times New Roman" w:cs="Times New Roman"/>
        </w:rPr>
      </w:pPr>
      <w:r w:rsidRPr="007E3D67">
        <w:rPr>
          <w:rFonts w:ascii="Times New Roman" w:hAnsi="Times New Roman" w:cs="Times New Roman"/>
        </w:rPr>
        <w:t>Přebytek nových rodinných domů na trhu zakončil období růstu cen nemovitostí v USA.</w:t>
      </w:r>
    </w:p>
    <w:p w:rsidR="00D20DCB" w:rsidRPr="007E3D67" w:rsidRDefault="00D20DCB" w:rsidP="00AB317A">
      <w:pPr>
        <w:pStyle w:val="CaptionIntroductionparagraph"/>
      </w:pPr>
      <w:bookmarkStart w:id="133" w:name="_Toc279307142"/>
    </w:p>
    <w:p w:rsidR="005B2AC9" w:rsidRPr="007E3D67" w:rsidRDefault="00695D88" w:rsidP="00AB317A">
      <w:pPr>
        <w:pStyle w:val="CaptionIntroductionparagraph"/>
      </w:pPr>
      <w:bookmarkStart w:id="134" w:name="_Toc279438623"/>
      <w:bookmarkStart w:id="135" w:name="_Toc279696257"/>
      <w:bookmarkStart w:id="136" w:name="_Toc279696346"/>
      <w:r w:rsidRPr="007E3D67">
        <w:lastRenderedPageBreak/>
        <w:t>Obr. 14</w:t>
      </w:r>
      <w:r w:rsidR="005B2AC9" w:rsidRPr="007E3D67">
        <w:t>: Prodejní cena nového rodi</w:t>
      </w:r>
      <w:r w:rsidR="0081560C" w:rsidRPr="007E3D67">
        <w:t>nného domu v USA v letech 2001-</w:t>
      </w:r>
      <w:r w:rsidR="005B2AC9" w:rsidRPr="007E3D67">
        <w:t>2008 - medián (tis. USD)</w:t>
      </w:r>
      <w:bookmarkEnd w:id="133"/>
      <w:bookmarkEnd w:id="134"/>
      <w:bookmarkEnd w:id="135"/>
      <w:bookmarkEnd w:id="136"/>
    </w:p>
    <w:p w:rsidR="005B2AC9" w:rsidRPr="007E3D67" w:rsidRDefault="005B2AC9" w:rsidP="005B2AC9">
      <w:pPr>
        <w:rPr>
          <w:i/>
        </w:rPr>
      </w:pPr>
      <w:r w:rsidRPr="007E3D67">
        <w:rPr>
          <w:i/>
          <w:noProof/>
          <w:lang w:eastAsia="cs-CZ"/>
        </w:rPr>
        <w:drawing>
          <wp:inline distT="0" distB="0" distL="0" distR="0">
            <wp:extent cx="5486400" cy="3200400"/>
            <wp:effectExtent l="19050" t="0" r="19050" b="0"/>
            <wp:docPr id="19" name="Graf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5B2AC9" w:rsidRPr="007E3D67" w:rsidRDefault="005B2AC9" w:rsidP="005B2AC9">
      <w:pPr>
        <w:rPr>
          <w:i/>
          <w:sz w:val="20"/>
        </w:rPr>
      </w:pPr>
      <w:r w:rsidRPr="007E3D67">
        <w:rPr>
          <w:i/>
          <w:sz w:val="20"/>
        </w:rPr>
        <w:t xml:space="preserve">Zdroj: Data – U.S. Census Bureau, http://www.census.gov, </w:t>
      </w:r>
      <w:r w:rsidR="00695D88" w:rsidRPr="007E3D67">
        <w:rPr>
          <w:i/>
          <w:sz w:val="20"/>
        </w:rPr>
        <w:t>Obrázek</w:t>
      </w:r>
      <w:r w:rsidRPr="007E3D67">
        <w:rPr>
          <w:i/>
          <w:sz w:val="20"/>
        </w:rPr>
        <w:t>: Vlastní konstrukce.</w:t>
      </w:r>
    </w:p>
    <w:p w:rsidR="005B2AC9" w:rsidRPr="007E3D67" w:rsidRDefault="005B2AC9" w:rsidP="005B2AC9">
      <w:pPr>
        <w:rPr>
          <w:i/>
          <w:sz w:val="20"/>
        </w:rPr>
      </w:pPr>
    </w:p>
    <w:p w:rsidR="005B2AC9" w:rsidRPr="007E3D67" w:rsidRDefault="005B2AC9" w:rsidP="005B2AC9">
      <w:pPr>
        <w:pStyle w:val="Odstavecseseznamem"/>
        <w:numPr>
          <w:ilvl w:val="0"/>
          <w:numId w:val="26"/>
        </w:numPr>
        <w:spacing w:line="360" w:lineRule="auto"/>
        <w:rPr>
          <w:rFonts w:ascii="Times New Roman" w:hAnsi="Times New Roman" w:cs="Times New Roman"/>
        </w:rPr>
      </w:pPr>
      <w:r w:rsidRPr="007E3D67">
        <w:rPr>
          <w:rFonts w:ascii="Times New Roman" w:hAnsi="Times New Roman" w:cs="Times New Roman"/>
        </w:rPr>
        <w:t>Ze čtyř měsíců na téměř 13 měsíců vzrostla prodejní doba nového rodinného domu.</w:t>
      </w:r>
    </w:p>
    <w:p w:rsidR="005B2AC9" w:rsidRPr="007E3D67" w:rsidRDefault="00695D88" w:rsidP="00AB317A">
      <w:pPr>
        <w:pStyle w:val="CaptionIntroductionparagraph"/>
      </w:pPr>
      <w:bookmarkStart w:id="137" w:name="_Toc279307143"/>
      <w:bookmarkStart w:id="138" w:name="_Toc279438624"/>
      <w:bookmarkStart w:id="139" w:name="_Toc279696258"/>
      <w:bookmarkStart w:id="140" w:name="_Toc279696347"/>
      <w:r w:rsidRPr="007E3D67">
        <w:t>Obr. 15</w:t>
      </w:r>
      <w:r w:rsidR="005B2AC9" w:rsidRPr="007E3D67">
        <w:t>: Doba prodeje nového rodi</w:t>
      </w:r>
      <w:r w:rsidR="0081560C" w:rsidRPr="007E3D67">
        <w:t>nného domu v USA v letech 2001-</w:t>
      </w:r>
      <w:r w:rsidR="005B2AC9" w:rsidRPr="007E3D67">
        <w:t>2008 (měsíce)</w:t>
      </w:r>
      <w:bookmarkEnd w:id="137"/>
      <w:bookmarkEnd w:id="138"/>
      <w:bookmarkEnd w:id="139"/>
      <w:bookmarkEnd w:id="140"/>
    </w:p>
    <w:p w:rsidR="005B2AC9" w:rsidRPr="007E3D67" w:rsidRDefault="005B2AC9" w:rsidP="005B2AC9">
      <w:pPr>
        <w:rPr>
          <w:i/>
        </w:rPr>
      </w:pPr>
      <w:r w:rsidRPr="007E3D67">
        <w:rPr>
          <w:noProof/>
          <w:lang w:eastAsia="cs-CZ"/>
        </w:rPr>
        <w:drawing>
          <wp:inline distT="0" distB="0" distL="0" distR="0">
            <wp:extent cx="5486400" cy="3095625"/>
            <wp:effectExtent l="19050" t="0" r="19050" b="0"/>
            <wp:docPr id="20" name="Graf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B2AC9" w:rsidRPr="007E3D67" w:rsidRDefault="005B2AC9" w:rsidP="005B2AC9">
      <w:pPr>
        <w:rPr>
          <w:i/>
          <w:sz w:val="20"/>
        </w:rPr>
      </w:pPr>
      <w:r w:rsidRPr="007E3D67">
        <w:rPr>
          <w:i/>
          <w:sz w:val="20"/>
        </w:rPr>
        <w:t xml:space="preserve">Zdroj: Data – U.S. Census Bureau, http://www.census.gov, </w:t>
      </w:r>
      <w:r w:rsidR="00695D88" w:rsidRPr="007E3D67">
        <w:rPr>
          <w:i/>
          <w:sz w:val="20"/>
        </w:rPr>
        <w:t>Obrázek</w:t>
      </w:r>
      <w:r w:rsidRPr="007E3D67">
        <w:rPr>
          <w:i/>
          <w:sz w:val="20"/>
        </w:rPr>
        <w:t>: Vlastní konstrukce.</w:t>
      </w:r>
    </w:p>
    <w:p w:rsidR="005B2AC9" w:rsidRPr="007E3D67" w:rsidRDefault="005B2AC9" w:rsidP="005B2AC9">
      <w:pPr>
        <w:rPr>
          <w:i/>
        </w:rPr>
      </w:pPr>
    </w:p>
    <w:p w:rsidR="005B2AC9" w:rsidRPr="007E3D67" w:rsidRDefault="005B2AC9" w:rsidP="005B2AC9">
      <w:pPr>
        <w:pStyle w:val="Odstavecseseznamem"/>
        <w:numPr>
          <w:ilvl w:val="0"/>
          <w:numId w:val="26"/>
        </w:numPr>
        <w:spacing w:line="360" w:lineRule="auto"/>
        <w:rPr>
          <w:rFonts w:ascii="Times New Roman" w:hAnsi="Times New Roman" w:cs="Times New Roman"/>
        </w:rPr>
      </w:pPr>
      <w:r w:rsidRPr="007E3D67">
        <w:rPr>
          <w:rFonts w:ascii="Times New Roman" w:hAnsi="Times New Roman" w:cs="Times New Roman"/>
        </w:rPr>
        <w:lastRenderedPageBreak/>
        <w:t>Růst hypotečních úrokových sazeb a následný nárůst měsíčních splátek hypoték dostal do finanční tísně nejméně bonitní domácnosti.</w:t>
      </w:r>
    </w:p>
    <w:p w:rsidR="005B2AC9" w:rsidRPr="007E3D67" w:rsidRDefault="005B2AC9" w:rsidP="005B2AC9">
      <w:r w:rsidRPr="007E3D67">
        <w:t>Kombinace výše popsaných procesů měla za následek vznik „Realitní bubliny“.  Bublinu způsobily jednak méně vydělávající rodiny, které dosáhly na hypoteční úvěr jen díky extrémně a krátkodobě nízkým úrokovým sazbám, ale i bohatší rodiny, které chybně odhadly své možnosti. Pořídily si buďto luxusní nemovitost nebo za pomocí dočasně výhodné hypotéky investovaly do nákupu druhé nemovitosti (spekulace na růst ceny). Velký podíl na vzniku bubliny měli i samotní bankéři bank a hypotečních ústavů, kteří za pomoci marketingových triků často vnucovali krátkodobě zvýhodněné hypotéky lidem s velice nízkými a proměnlivými příjmy. Před uzavřením smlouvy zde nebyla provedena důkladná kontrola finanční situace žadatele o hypotéku, ani objektivní finanční osvěta.</w:t>
      </w:r>
    </w:p>
    <w:p w:rsidR="005B2AC9" w:rsidRPr="007E3D67" w:rsidRDefault="005B2AC9" w:rsidP="005B2AC9"/>
    <w:p w:rsidR="005B2AC9" w:rsidRPr="007E3D67" w:rsidRDefault="005B2AC9" w:rsidP="005B2AC9">
      <w:r w:rsidRPr="007E3D67">
        <w:t xml:space="preserve">S růstem úrokových sazeb postupně narůstala výše měsíčních splátek hypotéky. Zatímco taková akční subprime hypotéka (riziková hypotéka) ukusovala v roce 2003 třeba jen čtvrtinu rodinného rozpočtu podprůměrně vydělávající rodiny, v roce 2006 spolkly splátky té samé hypotéky již třetinu toho, co dokázala rodina za měsíc vydělat. V kombinaci s růstem ceny benzínu (viz </w:t>
      </w:r>
      <w:r w:rsidR="00695D88" w:rsidRPr="007E3D67">
        <w:t>obr. 16</w:t>
      </w:r>
      <w:r w:rsidRPr="007E3D67">
        <w:t>) z 1 dolaru na 3 dolary za galon (3,8 litru) představovalo toto dramatické zatížení rozpočtu domácností.</w:t>
      </w:r>
    </w:p>
    <w:p w:rsidR="00D20DCB" w:rsidRPr="007E3D67" w:rsidRDefault="00D20DCB">
      <w:pPr>
        <w:spacing w:line="240" w:lineRule="auto"/>
        <w:jc w:val="left"/>
      </w:pPr>
      <w:bookmarkStart w:id="141" w:name="_Toc279307144"/>
      <w:r w:rsidRPr="007E3D67">
        <w:br w:type="page"/>
      </w:r>
    </w:p>
    <w:p w:rsidR="005B2AC9" w:rsidRPr="007E3D67" w:rsidRDefault="00695D88" w:rsidP="00AB317A">
      <w:pPr>
        <w:pStyle w:val="CaptionIntroductionparagraph"/>
      </w:pPr>
      <w:bookmarkStart w:id="142" w:name="_Toc279438625"/>
      <w:bookmarkStart w:id="143" w:name="_Toc279696259"/>
      <w:bookmarkStart w:id="144" w:name="_Toc279696348"/>
      <w:r w:rsidRPr="007E3D67">
        <w:lastRenderedPageBreak/>
        <w:t>Obr. 16</w:t>
      </w:r>
      <w:r w:rsidR="005B2AC9" w:rsidRPr="007E3D67">
        <w:t>: Cena 1 galo</w:t>
      </w:r>
      <w:r w:rsidR="0081560C" w:rsidRPr="007E3D67">
        <w:t>nu benzinu v USA v letech 2001-</w:t>
      </w:r>
      <w:r w:rsidR="005B2AC9" w:rsidRPr="007E3D67">
        <w:t>2008 (dollar cent)</w:t>
      </w:r>
      <w:bookmarkEnd w:id="141"/>
      <w:bookmarkEnd w:id="142"/>
      <w:bookmarkEnd w:id="143"/>
      <w:bookmarkEnd w:id="144"/>
    </w:p>
    <w:p w:rsidR="005B2AC9" w:rsidRPr="007E3D67" w:rsidRDefault="005B2AC9" w:rsidP="005B2AC9">
      <w:pPr>
        <w:rPr>
          <w:i/>
        </w:rPr>
      </w:pPr>
      <w:r w:rsidRPr="007E3D67">
        <w:rPr>
          <w:i/>
          <w:noProof/>
          <w:lang w:eastAsia="cs-CZ"/>
        </w:rPr>
        <w:drawing>
          <wp:inline distT="0" distB="0" distL="0" distR="0">
            <wp:extent cx="5486400" cy="3200400"/>
            <wp:effectExtent l="19050" t="0" r="19050" b="0"/>
            <wp:docPr id="21" name="Graf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5B2AC9" w:rsidRPr="007E3D67" w:rsidRDefault="005B2AC9" w:rsidP="005B2AC9">
      <w:pPr>
        <w:rPr>
          <w:i/>
          <w:sz w:val="20"/>
        </w:rPr>
      </w:pPr>
      <w:r w:rsidRPr="007E3D67">
        <w:rPr>
          <w:i/>
          <w:sz w:val="20"/>
        </w:rPr>
        <w:t xml:space="preserve">Zdroj: Data – Energy Information Administration - EIA - Official Energy Statistics from the U.S. Government, http://www.eia.doe.gov/, </w:t>
      </w:r>
      <w:r w:rsidR="00695D88" w:rsidRPr="007E3D67">
        <w:rPr>
          <w:i/>
          <w:sz w:val="20"/>
        </w:rPr>
        <w:t>Obrázek</w:t>
      </w:r>
      <w:r w:rsidRPr="007E3D67">
        <w:rPr>
          <w:i/>
          <w:sz w:val="20"/>
        </w:rPr>
        <w:t>: Vlastní konstrukce.</w:t>
      </w:r>
    </w:p>
    <w:p w:rsidR="005B2AC9" w:rsidRPr="007E3D67" w:rsidRDefault="005B2AC9" w:rsidP="005B2AC9">
      <w:pPr>
        <w:rPr>
          <w:i/>
          <w:sz w:val="20"/>
        </w:rPr>
      </w:pPr>
    </w:p>
    <w:p w:rsidR="005B2AC9" w:rsidRPr="007E3D67" w:rsidRDefault="005B2AC9" w:rsidP="005B2AC9">
      <w:r w:rsidRPr="007E3D67">
        <w:t>Finanční problémy domácností vyústily v roce 2007 v následující:</w:t>
      </w:r>
    </w:p>
    <w:p w:rsidR="005B2AC9" w:rsidRPr="007E3D67" w:rsidRDefault="005B2AC9" w:rsidP="005B2AC9"/>
    <w:p w:rsidR="005B2AC9" w:rsidRPr="007E3D67" w:rsidRDefault="005B2AC9" w:rsidP="005B2AC9">
      <w:pPr>
        <w:pStyle w:val="Odstavecseseznamem"/>
        <w:numPr>
          <w:ilvl w:val="0"/>
          <w:numId w:val="27"/>
        </w:numPr>
        <w:spacing w:line="360" w:lineRule="auto"/>
        <w:rPr>
          <w:rFonts w:ascii="Times New Roman" w:hAnsi="Times New Roman" w:cs="Times New Roman"/>
          <w:szCs w:val="24"/>
        </w:rPr>
      </w:pPr>
      <w:r w:rsidRPr="007E3D67">
        <w:rPr>
          <w:rFonts w:ascii="Times New Roman" w:hAnsi="Times New Roman" w:cs="Times New Roman"/>
          <w:szCs w:val="24"/>
        </w:rPr>
        <w:t>Růst výše splátek hypoték v kombinaci s rekordním růstem cen pohonných hmot donutil domácnosti snižovat výdaje na spotřební zboží a zbytné služby. V USA klesla poptávka po automobilech, elektronice, nábytku, stavebním materiálu a zahradní technice.</w:t>
      </w:r>
    </w:p>
    <w:p w:rsidR="005B2AC9" w:rsidRPr="007E3D67" w:rsidRDefault="005B2AC9" w:rsidP="005B2AC9">
      <w:pPr>
        <w:pStyle w:val="Odstavecseseznamem"/>
        <w:spacing w:line="360" w:lineRule="auto"/>
        <w:rPr>
          <w:rFonts w:ascii="Times New Roman" w:hAnsi="Times New Roman" w:cs="Times New Roman"/>
          <w:szCs w:val="24"/>
        </w:rPr>
      </w:pPr>
    </w:p>
    <w:p w:rsidR="00773600" w:rsidRDefault="005B2AC9" w:rsidP="005B2AC9">
      <w:pPr>
        <w:pStyle w:val="Odstavecseseznamem"/>
        <w:numPr>
          <w:ilvl w:val="0"/>
          <w:numId w:val="27"/>
        </w:numPr>
        <w:spacing w:line="360" w:lineRule="auto"/>
        <w:rPr>
          <w:rFonts w:ascii="Times New Roman" w:hAnsi="Times New Roman" w:cs="Times New Roman"/>
          <w:szCs w:val="24"/>
        </w:rPr>
      </w:pPr>
      <w:r w:rsidRPr="007E3D67">
        <w:rPr>
          <w:rFonts w:ascii="Times New Roman" w:hAnsi="Times New Roman" w:cs="Times New Roman"/>
          <w:szCs w:val="24"/>
        </w:rPr>
        <w:t xml:space="preserve">Část finančně nejzatíženějších domácností přestala splácet měsíční splátky hypotéky, domy jim byly následně zabaveny. Počet nesplácených hypoték a následně zabavených rodinných domů vzrostl ve čtvrtém čtvrtletí roku 2007 na hodnotu 0,83% ze všech hypoték. Počet hypoték s opožděnými splátkami dosáhl nejvyšší hodnoty od roku 1985 - 5,82%. </w:t>
      </w:r>
    </w:p>
    <w:p w:rsidR="00773600" w:rsidRDefault="00773600" w:rsidP="00773600">
      <w:pPr>
        <w:pStyle w:val="Odstavecseseznamem"/>
        <w:spacing w:line="360" w:lineRule="auto"/>
        <w:rPr>
          <w:rFonts w:ascii="Times New Roman" w:hAnsi="Times New Roman" w:cs="Times New Roman"/>
          <w:szCs w:val="24"/>
          <w:highlight w:val="yellow"/>
        </w:rPr>
      </w:pPr>
      <w:r>
        <w:rPr>
          <w:rFonts w:ascii="Times New Roman" w:hAnsi="Times New Roman" w:cs="Times New Roman"/>
          <w:szCs w:val="24"/>
        </w:rPr>
        <w:t>(AMERICAN HOUSING SURVEY FOR THE UNITED STATES 2007)</w:t>
      </w:r>
      <w:r>
        <w:rPr>
          <w:rFonts w:ascii="Times New Roman" w:hAnsi="Times New Roman" w:cs="Times New Roman"/>
          <w:szCs w:val="24"/>
          <w:highlight w:val="yellow"/>
        </w:rPr>
        <w:t xml:space="preserve"> </w:t>
      </w:r>
    </w:p>
    <w:p w:rsidR="005B2AC9" w:rsidRPr="007E3D67" w:rsidRDefault="005B2AC9" w:rsidP="005B2AC9">
      <w:pPr>
        <w:pStyle w:val="Nadpis3"/>
        <w:rPr>
          <w:rFonts w:cs="Times New Roman"/>
        </w:rPr>
      </w:pPr>
      <w:bookmarkStart w:id="145" w:name="_Toc254796353"/>
      <w:bookmarkStart w:id="146" w:name="_Toc278920734"/>
      <w:bookmarkStart w:id="147" w:name="_Toc279696222"/>
      <w:r w:rsidRPr="007E3D67">
        <w:rPr>
          <w:rFonts w:cs="Times New Roman"/>
        </w:rPr>
        <w:lastRenderedPageBreak/>
        <w:t>Rok 2007-2008, snaha o revitalizaci</w:t>
      </w:r>
      <w:bookmarkEnd w:id="145"/>
      <w:bookmarkEnd w:id="146"/>
      <w:bookmarkEnd w:id="147"/>
    </w:p>
    <w:p w:rsidR="005B2AC9" w:rsidRPr="007E3D67" w:rsidRDefault="005B2AC9" w:rsidP="005B2AC9">
      <w:r w:rsidRPr="007E3D67">
        <w:t>Ačkoliv první náznaky budoucích problémů na americkém trhu s nemovitostmi začaly vyplouvat na povrch již v polovině roku 2006 (poptávka po hypotékách klesala, snižoval se počet prodaných rodinných domů), FED nedával zpočátku těmto negativním signálům příliš velkou váhu. Bankovní rada FEDu se na svém zasedání 29. června 2006 paradoxně rozhodla zpřísnit monetární politiku - zvýšila základní úrokovou sazbu z 5,00% na 5,25 %. Převážily obavy z nárůstu inflačních tlaků v ekonomice. Jak se však ukázalo již o tři měsíce později, byly tyto obavy přehnané. Meziroční míra růstu spotřebitelských cen v USA totiž razantně klesla z letních 4% na podzimní a zimní 2-3%.</w:t>
      </w:r>
    </w:p>
    <w:p w:rsidR="005B2AC9" w:rsidRPr="007E3D67" w:rsidRDefault="005B2AC9" w:rsidP="005B2AC9"/>
    <w:p w:rsidR="005B2AC9" w:rsidRPr="007E3D67" w:rsidRDefault="00695D88" w:rsidP="00AB317A">
      <w:pPr>
        <w:pStyle w:val="CaptionIntroductionparagraph"/>
        <w:rPr>
          <w:i/>
        </w:rPr>
      </w:pPr>
      <w:bookmarkStart w:id="148" w:name="_Toc279307145"/>
      <w:bookmarkStart w:id="149" w:name="_Toc279438626"/>
      <w:bookmarkStart w:id="150" w:name="_Toc279696260"/>
      <w:bookmarkStart w:id="151" w:name="_Toc279696349"/>
      <w:r w:rsidRPr="007E3D67">
        <w:t>Obr. 17</w:t>
      </w:r>
      <w:r w:rsidR="005B2AC9" w:rsidRPr="007E3D67">
        <w:t>: Růst spotřebitelský cen – inflace v USA v období květen 2007 – prosinec 2007 (%)</w:t>
      </w:r>
      <w:bookmarkEnd w:id="148"/>
      <w:bookmarkEnd w:id="149"/>
      <w:bookmarkEnd w:id="150"/>
      <w:bookmarkEnd w:id="151"/>
    </w:p>
    <w:p w:rsidR="005B2AC9" w:rsidRPr="007E3D67" w:rsidRDefault="005B2AC9" w:rsidP="005B2AC9">
      <w:pPr>
        <w:rPr>
          <w:i/>
        </w:rPr>
      </w:pPr>
      <w:r w:rsidRPr="007E3D67">
        <w:rPr>
          <w:i/>
          <w:noProof/>
          <w:lang w:eastAsia="cs-CZ"/>
        </w:rPr>
        <w:drawing>
          <wp:inline distT="0" distB="0" distL="0" distR="0">
            <wp:extent cx="5486400" cy="3200400"/>
            <wp:effectExtent l="19050" t="0" r="19050" b="0"/>
            <wp:docPr id="22" name="Graf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5B2AC9" w:rsidRPr="007E3D67" w:rsidRDefault="005B2AC9" w:rsidP="005B2AC9">
      <w:pPr>
        <w:rPr>
          <w:i/>
          <w:sz w:val="20"/>
        </w:rPr>
      </w:pPr>
      <w:r w:rsidRPr="007E3D67">
        <w:rPr>
          <w:i/>
          <w:sz w:val="20"/>
        </w:rPr>
        <w:t xml:space="preserve">Zdroj: Data – Bureau of Labor Statistics U.S., http://www.bls.gov/, </w:t>
      </w:r>
      <w:r w:rsidR="00695D88" w:rsidRPr="007E3D67">
        <w:rPr>
          <w:i/>
          <w:sz w:val="20"/>
        </w:rPr>
        <w:t>Obrázek</w:t>
      </w:r>
      <w:r w:rsidRPr="007E3D67">
        <w:rPr>
          <w:i/>
          <w:sz w:val="20"/>
        </w:rPr>
        <w:t>: Vlastní konstrukce.</w:t>
      </w:r>
    </w:p>
    <w:p w:rsidR="005B2AC9" w:rsidRPr="007E3D67" w:rsidRDefault="005B2AC9" w:rsidP="005B2AC9">
      <w:pPr>
        <w:rPr>
          <w:i/>
        </w:rPr>
      </w:pPr>
    </w:p>
    <w:p w:rsidR="005B2AC9" w:rsidRPr="007E3D67" w:rsidRDefault="005B2AC9" w:rsidP="005B2AC9">
      <w:r w:rsidRPr="007E3D67">
        <w:t>Problémy na trhu s nemovitostmi pozvolna narůstaly, reakce FEDu zůstávala vlažná. Tým Bena Bernankeho držel (z dnešního pohledu) zbytečně vysoké úrokové sazby od června 2006 až do září 2007. Bankovní rada FEDu pravděpodobně doufala v dvě věci:</w:t>
      </w:r>
    </w:p>
    <w:p w:rsidR="005B2AC9" w:rsidRPr="007E3D67" w:rsidRDefault="005B2AC9" w:rsidP="005B2AC9"/>
    <w:p w:rsidR="005B2AC9" w:rsidRPr="007E3D67" w:rsidRDefault="005B2AC9" w:rsidP="005B2AC9">
      <w:pPr>
        <w:pStyle w:val="Odstavecseseznamem"/>
        <w:numPr>
          <w:ilvl w:val="0"/>
          <w:numId w:val="28"/>
        </w:numPr>
        <w:spacing w:line="360" w:lineRule="auto"/>
        <w:rPr>
          <w:rFonts w:ascii="Times New Roman" w:hAnsi="Times New Roman" w:cs="Times New Roman"/>
        </w:rPr>
      </w:pPr>
      <w:r w:rsidRPr="007E3D67">
        <w:rPr>
          <w:rFonts w:ascii="Times New Roman" w:hAnsi="Times New Roman" w:cs="Times New Roman"/>
        </w:rPr>
        <w:lastRenderedPageBreak/>
        <w:t>Problémy na trhu s výstavbou a prodejem nemovitostí vyřeší trh. Zásahy nejsou nutné.</w:t>
      </w:r>
    </w:p>
    <w:p w:rsidR="005B2AC9" w:rsidRPr="007E3D67" w:rsidRDefault="005B2AC9" w:rsidP="005B2AC9">
      <w:pPr>
        <w:pStyle w:val="Odstavecseseznamem"/>
        <w:numPr>
          <w:ilvl w:val="0"/>
          <w:numId w:val="28"/>
        </w:numPr>
        <w:spacing w:line="360" w:lineRule="auto"/>
        <w:rPr>
          <w:rFonts w:ascii="Times New Roman" w:hAnsi="Times New Roman" w:cs="Times New Roman"/>
        </w:rPr>
      </w:pPr>
      <w:r w:rsidRPr="007E3D67">
        <w:rPr>
          <w:rFonts w:ascii="Times New Roman" w:hAnsi="Times New Roman" w:cs="Times New Roman"/>
        </w:rPr>
        <w:t>K problémům na trhu financování nákupu nemovitostí (hypoték) nedojde. Pokud ano, rodin neschopných splácet splátky hypotečních úvěrů bude minimum. (Alarmující detaily o poskytování subprime hypoték byly v danou dobu známy pouze bankéřům hypotečních bank.)</w:t>
      </w:r>
    </w:p>
    <w:p w:rsidR="005B2AC9" w:rsidRPr="007E3D67" w:rsidRDefault="005B2AC9" w:rsidP="005B2AC9"/>
    <w:p w:rsidR="005B2AC9" w:rsidRPr="007E3D67" w:rsidRDefault="005B2AC9" w:rsidP="005B2AC9">
      <w:r w:rsidRPr="007E3D67">
        <w:t xml:space="preserve">V bodě 1. uvažoval FED správně. Zasahovat do trhu výstavby a prodeje nemovitostí by bylo zbytečné až kontraproduktivní. Přebytečné nemovitosti vystavěné v letech 2002 až 2005 potřebuje trh vstřebat sám. Toho lze docílit pouze přirozeným poklesem cen nemovitostí a následným omezením výstavby. </w:t>
      </w:r>
    </w:p>
    <w:p w:rsidR="005B2AC9" w:rsidRPr="007E3D67" w:rsidRDefault="005B2AC9" w:rsidP="005B2AC9"/>
    <w:p w:rsidR="005B2AC9" w:rsidRPr="007E3D67" w:rsidRDefault="005B2AC9" w:rsidP="005B2AC9">
      <w:r w:rsidRPr="007E3D67">
        <w:t>Jak je vidět na následujících grafech, vstřebávání těchto přebytečných nemovitostí na americkém trhu probíhá:</w:t>
      </w:r>
    </w:p>
    <w:p w:rsidR="005B2AC9" w:rsidRPr="007E3D67" w:rsidRDefault="005B2AC9" w:rsidP="005B2AC9"/>
    <w:p w:rsidR="005B2AC9" w:rsidRPr="007E3D67" w:rsidRDefault="005B2AC9" w:rsidP="005B2AC9">
      <w:pPr>
        <w:pStyle w:val="Bulletslevel1"/>
      </w:pPr>
      <w:r w:rsidRPr="007E3D67">
        <w:t xml:space="preserve">Počet prodaných nových rodinných domů za kalendářní měsíc klesl z 99 000 (leden 2006) na 35 000 (září 2009), (viz </w:t>
      </w:r>
      <w:r w:rsidR="00695D88" w:rsidRPr="007E3D67">
        <w:t>obr. 13</w:t>
      </w:r>
      <w:r w:rsidRPr="007E3D67">
        <w:t>).</w:t>
      </w:r>
    </w:p>
    <w:p w:rsidR="005B2AC9" w:rsidRPr="007E3D67" w:rsidRDefault="005B2AC9" w:rsidP="005B2AC9">
      <w:pPr>
        <w:pStyle w:val="Bulletslevel1"/>
      </w:pPr>
      <w:r w:rsidRPr="007E3D67">
        <w:t>Spolu s prodejem nových domů klesá pozvolna počet nových rodinných domů na prodej z 551 000 (leden 2006) na 266 0</w:t>
      </w:r>
      <w:r w:rsidR="00695D88" w:rsidRPr="007E3D67">
        <w:t>00 (září 2009), (</w:t>
      </w:r>
      <w:r w:rsidR="00CC1789">
        <w:t xml:space="preserve">viz </w:t>
      </w:r>
      <w:r w:rsidR="00695D88" w:rsidRPr="007E3D67">
        <w:t xml:space="preserve"> obr. 18</w:t>
      </w:r>
      <w:r w:rsidRPr="007E3D67">
        <w:t>). Americké stavební firmy reagují na trend poklesu cen nemovitostí, snižují proto dodávky nových rodinných domů na trh. Stavební firmy v USA aktuálně postaví za jeden měsíc méně domů, než kolik se jich ve stejném období prodá. Pro stabilizaci trhu s nemovitostmi je toto pozitivní zpráva.</w:t>
      </w:r>
    </w:p>
    <w:p w:rsidR="005B2AC9" w:rsidRPr="007E3D67" w:rsidRDefault="005B2AC9" w:rsidP="005B2AC9">
      <w:pPr>
        <w:pStyle w:val="Bulletslevel1"/>
      </w:pPr>
      <w:r w:rsidRPr="007E3D67">
        <w:t>Průměrná doba prodeje jednoho nového rodinného domu činila v lednu 2008 12,9 měsíců, což je nejvyšší hodnota od roku 1981. Protože trh nemovitostí v USA je historicky velmi pružný, lze podobně jako v roce 1981 očekávat poměrně rychlý pokles doby prodeje směrem k obvyklé hodnotě, 6 měsíců.</w:t>
      </w:r>
    </w:p>
    <w:p w:rsidR="005B2AC9" w:rsidRPr="007E3D67" w:rsidRDefault="005B2AC9" w:rsidP="005B2AC9">
      <w:pPr>
        <w:pStyle w:val="Odstavecseseznamem"/>
        <w:spacing w:line="360" w:lineRule="auto"/>
        <w:rPr>
          <w:rFonts w:ascii="Times New Roman" w:hAnsi="Times New Roman" w:cs="Times New Roman"/>
        </w:rPr>
      </w:pPr>
    </w:p>
    <w:p w:rsidR="00AB317A" w:rsidRPr="007E3D67" w:rsidRDefault="00AB317A" w:rsidP="005B2AC9">
      <w:pPr>
        <w:pStyle w:val="Odstavecseseznamem"/>
        <w:spacing w:line="360" w:lineRule="auto"/>
        <w:rPr>
          <w:rFonts w:ascii="Times New Roman" w:hAnsi="Times New Roman" w:cs="Times New Roman"/>
        </w:rPr>
      </w:pPr>
    </w:p>
    <w:p w:rsidR="00AB317A" w:rsidRPr="007E3D67" w:rsidRDefault="00AB317A" w:rsidP="005B2AC9">
      <w:pPr>
        <w:pStyle w:val="Odstavecseseznamem"/>
        <w:spacing w:line="360" w:lineRule="auto"/>
        <w:rPr>
          <w:rFonts w:ascii="Times New Roman" w:hAnsi="Times New Roman" w:cs="Times New Roman"/>
        </w:rPr>
      </w:pPr>
    </w:p>
    <w:p w:rsidR="00D20DCB" w:rsidRPr="007E3D67" w:rsidRDefault="00D20DCB">
      <w:pPr>
        <w:spacing w:line="240" w:lineRule="auto"/>
        <w:jc w:val="left"/>
      </w:pPr>
      <w:bookmarkStart w:id="152" w:name="_Toc279307146"/>
      <w:r w:rsidRPr="007E3D67">
        <w:br w:type="page"/>
      </w:r>
    </w:p>
    <w:p w:rsidR="005B2AC9" w:rsidRPr="007E3D67" w:rsidRDefault="00EA0024" w:rsidP="00AB317A">
      <w:pPr>
        <w:pStyle w:val="CaptionIntroductionparagraph"/>
      </w:pPr>
      <w:bookmarkStart w:id="153" w:name="_Toc279438627"/>
      <w:bookmarkStart w:id="154" w:name="_Toc279696261"/>
      <w:bookmarkStart w:id="155" w:name="_Toc279696350"/>
      <w:r w:rsidRPr="007E3D67">
        <w:lastRenderedPageBreak/>
        <w:t>Obr. 18</w:t>
      </w:r>
      <w:r w:rsidR="005B2AC9" w:rsidRPr="007E3D67">
        <w:t>: Počet prodaných nových rodinných domů v USA – čtvrtletní medián (tis.)</w:t>
      </w:r>
      <w:bookmarkEnd w:id="152"/>
      <w:bookmarkEnd w:id="153"/>
      <w:bookmarkEnd w:id="154"/>
      <w:bookmarkEnd w:id="155"/>
    </w:p>
    <w:p w:rsidR="005B2AC9" w:rsidRPr="007E3D67" w:rsidRDefault="005B2AC9" w:rsidP="005B2AC9">
      <w:pPr>
        <w:pStyle w:val="Bulletslevel1"/>
        <w:numPr>
          <w:ilvl w:val="0"/>
          <w:numId w:val="0"/>
        </w:numPr>
      </w:pPr>
      <w:r w:rsidRPr="007E3D67">
        <w:rPr>
          <w:noProof/>
          <w:lang w:eastAsia="cs-CZ"/>
        </w:rPr>
        <w:drawing>
          <wp:inline distT="0" distB="0" distL="0" distR="0">
            <wp:extent cx="5486400" cy="3200400"/>
            <wp:effectExtent l="19050" t="0" r="19050" b="0"/>
            <wp:docPr id="23" name="Graf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5B2AC9" w:rsidRPr="007E3D67" w:rsidRDefault="005B2AC9" w:rsidP="005B2AC9">
      <w:pPr>
        <w:rPr>
          <w:i/>
          <w:sz w:val="20"/>
        </w:rPr>
      </w:pPr>
      <w:r w:rsidRPr="007E3D67">
        <w:rPr>
          <w:i/>
          <w:sz w:val="20"/>
        </w:rPr>
        <w:t xml:space="preserve">Zdroj: Data – U.S. Census Bureau, http://www.census.gov, </w:t>
      </w:r>
      <w:r w:rsidR="00EA0024" w:rsidRPr="007E3D67">
        <w:rPr>
          <w:i/>
          <w:sz w:val="20"/>
        </w:rPr>
        <w:t>Obrázek</w:t>
      </w:r>
      <w:r w:rsidRPr="007E3D67">
        <w:rPr>
          <w:i/>
          <w:sz w:val="20"/>
        </w:rPr>
        <w:t>: Vlastní konstrukce.</w:t>
      </w:r>
    </w:p>
    <w:p w:rsidR="005B2AC9" w:rsidRPr="007E3D67" w:rsidRDefault="005B2AC9" w:rsidP="005B2AC9">
      <w:pPr>
        <w:rPr>
          <w:i/>
          <w:sz w:val="20"/>
        </w:rPr>
      </w:pPr>
    </w:p>
    <w:p w:rsidR="005B2AC9" w:rsidRPr="007E3D67" w:rsidRDefault="005B2AC9" w:rsidP="005B2AC9">
      <w:pPr>
        <w:pStyle w:val="Bodytext"/>
        <w:numPr>
          <w:ilvl w:val="0"/>
          <w:numId w:val="29"/>
        </w:numPr>
      </w:pPr>
      <w:r w:rsidRPr="007E3D67">
        <w:t>Cena nového rodinného domu v USA stanovená mediánem spadla v září 2009 na 209 000 dolarů, což představuje v porovnání s rekordní cenou 263 000 dolarů z března 2007, pokles o 21%, (</w:t>
      </w:r>
      <w:r w:rsidR="00CC1789">
        <w:t xml:space="preserve">viz </w:t>
      </w:r>
      <w:r w:rsidRPr="007E3D67">
        <w:t xml:space="preserve"> </w:t>
      </w:r>
      <w:r w:rsidR="00EA0024" w:rsidRPr="007E3D67">
        <w:t>obr. 14</w:t>
      </w:r>
      <w:r w:rsidRPr="007E3D67">
        <w:t>).</w:t>
      </w:r>
    </w:p>
    <w:p w:rsidR="005B2AC9" w:rsidRPr="007E3D67" w:rsidRDefault="005B2AC9" w:rsidP="005B2AC9">
      <w:pPr>
        <w:pStyle w:val="Bodytext"/>
        <w:ind w:left="720"/>
      </w:pPr>
    </w:p>
    <w:p w:rsidR="005B2AC9" w:rsidRPr="007E3D67" w:rsidRDefault="005B2AC9" w:rsidP="005B2AC9">
      <w:pPr>
        <w:pStyle w:val="Bodytext"/>
      </w:pPr>
      <w:r w:rsidRPr="007E3D67">
        <w:t>V 2. bodě se predikce FEDu nenaplnily. Zatímco trh s výstavbou a prodejem nemovitostí (realitní trh) dokázal pružně reagovat na vzniklé problémy, trh s financováním nákupu nemovitostí (hypoteční trh) za stavu vysokých úrokových sazeb příliš prostoru k manévrování neměl. Nízkopříjmovým domácnostem, kterým vlivem nárůstu úrokových sazeb prudce vzrostla výše měsíční splátky hypotéky (hypotéky bez dlouhodobé fixace úrokových sazeb) a současně s tím se zvýšily jejich výdaje na pohonné hmoty téměř až na úroveň výdajů za potraviny, neměly jinou alternativu, než hypotéku přestat splácet v předepsané výši.</w:t>
      </w:r>
    </w:p>
    <w:p w:rsidR="005B2AC9" w:rsidRPr="007E3D67" w:rsidRDefault="005B2AC9" w:rsidP="005B2AC9">
      <w:pPr>
        <w:pStyle w:val="Bodytext"/>
      </w:pPr>
    </w:p>
    <w:p w:rsidR="002933A2" w:rsidRPr="007E3D67" w:rsidRDefault="002933A2" w:rsidP="005B2AC9">
      <w:pPr>
        <w:pStyle w:val="Bodytext"/>
      </w:pPr>
    </w:p>
    <w:p w:rsidR="002933A2" w:rsidRPr="007E3D67" w:rsidRDefault="002933A2" w:rsidP="005B2AC9">
      <w:pPr>
        <w:pStyle w:val="Bodytext"/>
      </w:pPr>
    </w:p>
    <w:p w:rsidR="002933A2" w:rsidRPr="007E3D67" w:rsidRDefault="002933A2" w:rsidP="005B2AC9">
      <w:pPr>
        <w:pStyle w:val="Bodytext"/>
      </w:pPr>
    </w:p>
    <w:p w:rsidR="002933A2" w:rsidRPr="007E3D67" w:rsidRDefault="002933A2" w:rsidP="005B2AC9">
      <w:pPr>
        <w:pStyle w:val="Bodytext"/>
      </w:pPr>
    </w:p>
    <w:p w:rsidR="005B2AC9" w:rsidRPr="007E3D67" w:rsidRDefault="0075417A" w:rsidP="00AB317A">
      <w:pPr>
        <w:pStyle w:val="CaptionIntroductionparagraph"/>
      </w:pPr>
      <w:bookmarkStart w:id="156" w:name="_Toc279307386"/>
      <w:bookmarkStart w:id="157" w:name="_Toc279438713"/>
      <w:bookmarkStart w:id="158" w:name="_Toc279696262"/>
      <w:bookmarkStart w:id="159" w:name="_Toc279696351"/>
      <w:r w:rsidRPr="007E3D67">
        <w:lastRenderedPageBreak/>
        <w:t xml:space="preserve">Tab. </w:t>
      </w:r>
      <w:r w:rsidR="002933A2" w:rsidRPr="007E3D67">
        <w:t>5</w:t>
      </w:r>
      <w:r w:rsidR="005B2AC9" w:rsidRPr="007E3D67">
        <w:t>: Lednové měsíční výdaje domácností v USA za potraviny a pohonné hmoty (mld. dolarů)</w:t>
      </w:r>
      <w:bookmarkEnd w:id="156"/>
      <w:bookmarkEnd w:id="157"/>
      <w:bookmarkEnd w:id="158"/>
      <w:bookmarkEnd w:id="159"/>
    </w:p>
    <w:tbl>
      <w:tblPr>
        <w:tblW w:w="8801" w:type="dxa"/>
        <w:tblInd w:w="55" w:type="dxa"/>
        <w:tblCellMar>
          <w:left w:w="70" w:type="dxa"/>
          <w:right w:w="70" w:type="dxa"/>
        </w:tblCellMar>
        <w:tblLook w:val="04A0"/>
      </w:tblPr>
      <w:tblGrid>
        <w:gridCol w:w="1752"/>
        <w:gridCol w:w="1051"/>
        <w:gridCol w:w="1051"/>
        <w:gridCol w:w="1051"/>
        <w:gridCol w:w="1051"/>
        <w:gridCol w:w="1053"/>
        <w:gridCol w:w="1792"/>
      </w:tblGrid>
      <w:tr w:rsidR="005B2AC9" w:rsidRPr="007E3D67" w:rsidTr="00814329">
        <w:trPr>
          <w:trHeight w:val="695"/>
        </w:trPr>
        <w:tc>
          <w:tcPr>
            <w:tcW w:w="1752" w:type="dxa"/>
            <w:vMerge w:val="restart"/>
            <w:tcBorders>
              <w:top w:val="single" w:sz="4" w:space="0" w:color="auto"/>
              <w:left w:val="single" w:sz="4" w:space="0" w:color="auto"/>
              <w:bottom w:val="single" w:sz="4" w:space="0" w:color="auto"/>
              <w:right w:val="single" w:sz="4" w:space="0" w:color="auto"/>
            </w:tcBorders>
            <w:shd w:val="clear" w:color="000000" w:fill="94B6D2"/>
            <w:vAlign w:val="center"/>
            <w:hideMark/>
          </w:tcPr>
          <w:p w:rsidR="005B2AC9" w:rsidRPr="007E3D67" w:rsidRDefault="005B2AC9" w:rsidP="00814329">
            <w:pPr>
              <w:jc w:val="center"/>
              <w:rPr>
                <w:b/>
                <w:bCs/>
                <w:color w:val="FFFFFF"/>
                <w:sz w:val="22"/>
                <w:szCs w:val="22"/>
                <w:lang w:eastAsia="cs-CZ"/>
              </w:rPr>
            </w:pPr>
            <w:r w:rsidRPr="007E3D67">
              <w:rPr>
                <w:b/>
                <w:bCs/>
                <w:color w:val="FFFFFF"/>
                <w:sz w:val="22"/>
                <w:szCs w:val="22"/>
                <w:lang w:eastAsia="cs-CZ"/>
              </w:rPr>
              <w:t>Výdaje (mld. dolarů)</w:t>
            </w:r>
          </w:p>
        </w:tc>
        <w:tc>
          <w:tcPr>
            <w:tcW w:w="5257" w:type="dxa"/>
            <w:gridSpan w:val="5"/>
            <w:tcBorders>
              <w:top w:val="single" w:sz="4" w:space="0" w:color="auto"/>
              <w:left w:val="nil"/>
              <w:bottom w:val="single" w:sz="4" w:space="0" w:color="auto"/>
              <w:right w:val="single" w:sz="4" w:space="0" w:color="000000"/>
            </w:tcBorders>
            <w:shd w:val="clear" w:color="000000" w:fill="94B6D2"/>
            <w:noWrap/>
            <w:vAlign w:val="center"/>
            <w:hideMark/>
          </w:tcPr>
          <w:p w:rsidR="005B2AC9" w:rsidRPr="007E3D67" w:rsidRDefault="005B2AC9" w:rsidP="00814329">
            <w:pPr>
              <w:jc w:val="center"/>
              <w:rPr>
                <w:b/>
                <w:bCs/>
                <w:color w:val="FFFFFF"/>
                <w:sz w:val="22"/>
                <w:szCs w:val="22"/>
                <w:lang w:eastAsia="cs-CZ"/>
              </w:rPr>
            </w:pPr>
            <w:r w:rsidRPr="007E3D67">
              <w:rPr>
                <w:b/>
                <w:bCs/>
                <w:color w:val="FFFFFF"/>
                <w:sz w:val="22"/>
                <w:szCs w:val="22"/>
                <w:lang w:eastAsia="cs-CZ"/>
              </w:rPr>
              <w:t>Rok</w:t>
            </w:r>
          </w:p>
        </w:tc>
        <w:tc>
          <w:tcPr>
            <w:tcW w:w="1792" w:type="dxa"/>
            <w:vMerge w:val="restart"/>
            <w:tcBorders>
              <w:top w:val="single" w:sz="4" w:space="0" w:color="auto"/>
              <w:left w:val="single" w:sz="4" w:space="0" w:color="auto"/>
              <w:bottom w:val="single" w:sz="4" w:space="0" w:color="auto"/>
              <w:right w:val="single" w:sz="4" w:space="0" w:color="auto"/>
            </w:tcBorders>
            <w:shd w:val="clear" w:color="000000" w:fill="94B6D2"/>
            <w:vAlign w:val="center"/>
            <w:hideMark/>
          </w:tcPr>
          <w:p w:rsidR="005B2AC9" w:rsidRPr="007E3D67" w:rsidRDefault="005B2AC9" w:rsidP="00814329">
            <w:pPr>
              <w:jc w:val="center"/>
              <w:rPr>
                <w:b/>
                <w:bCs/>
                <w:color w:val="FFFFFF"/>
                <w:sz w:val="22"/>
                <w:szCs w:val="22"/>
                <w:lang w:eastAsia="cs-CZ"/>
              </w:rPr>
            </w:pPr>
            <w:r w:rsidRPr="007E3D67">
              <w:rPr>
                <w:b/>
                <w:bCs/>
                <w:color w:val="FFFFFF"/>
                <w:sz w:val="22"/>
                <w:szCs w:val="22"/>
                <w:lang w:eastAsia="cs-CZ"/>
              </w:rPr>
              <w:t>Růst výdajů 2004-2008 (%)</w:t>
            </w:r>
          </w:p>
        </w:tc>
      </w:tr>
      <w:tr w:rsidR="005B2AC9" w:rsidRPr="007E3D67" w:rsidTr="00814329">
        <w:trPr>
          <w:trHeight w:val="339"/>
        </w:trPr>
        <w:tc>
          <w:tcPr>
            <w:tcW w:w="1752" w:type="dxa"/>
            <w:vMerge/>
            <w:tcBorders>
              <w:top w:val="single" w:sz="4" w:space="0" w:color="auto"/>
              <w:left w:val="single" w:sz="4" w:space="0" w:color="auto"/>
              <w:bottom w:val="single" w:sz="4" w:space="0" w:color="auto"/>
              <w:right w:val="single" w:sz="4" w:space="0" w:color="auto"/>
            </w:tcBorders>
            <w:vAlign w:val="center"/>
            <w:hideMark/>
          </w:tcPr>
          <w:p w:rsidR="005B2AC9" w:rsidRPr="007E3D67" w:rsidRDefault="005B2AC9" w:rsidP="00814329">
            <w:pPr>
              <w:jc w:val="left"/>
              <w:rPr>
                <w:b/>
                <w:bCs/>
                <w:color w:val="FFFFFF"/>
                <w:sz w:val="22"/>
                <w:szCs w:val="22"/>
                <w:lang w:eastAsia="cs-CZ"/>
              </w:rPr>
            </w:pPr>
          </w:p>
        </w:tc>
        <w:tc>
          <w:tcPr>
            <w:tcW w:w="1051" w:type="dxa"/>
            <w:tcBorders>
              <w:top w:val="nil"/>
              <w:left w:val="nil"/>
              <w:bottom w:val="single" w:sz="4" w:space="0" w:color="auto"/>
              <w:right w:val="single" w:sz="4" w:space="0" w:color="auto"/>
            </w:tcBorders>
            <w:shd w:val="clear" w:color="000000" w:fill="FFFFFF"/>
            <w:noWrap/>
            <w:vAlign w:val="bottom"/>
            <w:hideMark/>
          </w:tcPr>
          <w:p w:rsidR="005B2AC9" w:rsidRPr="007E3D67" w:rsidRDefault="005B2AC9" w:rsidP="00814329">
            <w:pPr>
              <w:jc w:val="right"/>
              <w:rPr>
                <w:sz w:val="22"/>
                <w:szCs w:val="22"/>
                <w:lang w:eastAsia="cs-CZ"/>
              </w:rPr>
            </w:pPr>
            <w:r w:rsidRPr="007E3D67">
              <w:rPr>
                <w:sz w:val="22"/>
                <w:szCs w:val="22"/>
                <w:lang w:eastAsia="cs-CZ"/>
              </w:rPr>
              <w:t>2004</w:t>
            </w:r>
          </w:p>
        </w:tc>
        <w:tc>
          <w:tcPr>
            <w:tcW w:w="1051" w:type="dxa"/>
            <w:tcBorders>
              <w:top w:val="nil"/>
              <w:left w:val="nil"/>
              <w:bottom w:val="single" w:sz="4" w:space="0" w:color="auto"/>
              <w:right w:val="single" w:sz="4" w:space="0" w:color="auto"/>
            </w:tcBorders>
            <w:shd w:val="clear" w:color="000000" w:fill="FFFFFF"/>
            <w:noWrap/>
            <w:vAlign w:val="bottom"/>
            <w:hideMark/>
          </w:tcPr>
          <w:p w:rsidR="005B2AC9" w:rsidRPr="007E3D67" w:rsidRDefault="005B2AC9" w:rsidP="00814329">
            <w:pPr>
              <w:jc w:val="right"/>
              <w:rPr>
                <w:sz w:val="22"/>
                <w:szCs w:val="22"/>
                <w:lang w:eastAsia="cs-CZ"/>
              </w:rPr>
            </w:pPr>
            <w:r w:rsidRPr="007E3D67">
              <w:rPr>
                <w:sz w:val="22"/>
                <w:szCs w:val="22"/>
                <w:lang w:eastAsia="cs-CZ"/>
              </w:rPr>
              <w:t>2005</w:t>
            </w:r>
          </w:p>
        </w:tc>
        <w:tc>
          <w:tcPr>
            <w:tcW w:w="1051" w:type="dxa"/>
            <w:tcBorders>
              <w:top w:val="nil"/>
              <w:left w:val="nil"/>
              <w:bottom w:val="single" w:sz="4" w:space="0" w:color="auto"/>
              <w:right w:val="single" w:sz="4" w:space="0" w:color="auto"/>
            </w:tcBorders>
            <w:shd w:val="clear" w:color="000000" w:fill="FFFFFF"/>
            <w:noWrap/>
            <w:vAlign w:val="bottom"/>
            <w:hideMark/>
          </w:tcPr>
          <w:p w:rsidR="005B2AC9" w:rsidRPr="007E3D67" w:rsidRDefault="005B2AC9" w:rsidP="00814329">
            <w:pPr>
              <w:jc w:val="right"/>
              <w:rPr>
                <w:sz w:val="22"/>
                <w:szCs w:val="22"/>
                <w:lang w:eastAsia="cs-CZ"/>
              </w:rPr>
            </w:pPr>
            <w:r w:rsidRPr="007E3D67">
              <w:rPr>
                <w:sz w:val="22"/>
                <w:szCs w:val="22"/>
                <w:lang w:eastAsia="cs-CZ"/>
              </w:rPr>
              <w:t>2006</w:t>
            </w:r>
          </w:p>
        </w:tc>
        <w:tc>
          <w:tcPr>
            <w:tcW w:w="1051" w:type="dxa"/>
            <w:tcBorders>
              <w:top w:val="nil"/>
              <w:left w:val="nil"/>
              <w:bottom w:val="single" w:sz="4" w:space="0" w:color="auto"/>
              <w:right w:val="single" w:sz="4" w:space="0" w:color="auto"/>
            </w:tcBorders>
            <w:shd w:val="clear" w:color="000000" w:fill="FFFFFF"/>
            <w:noWrap/>
            <w:vAlign w:val="bottom"/>
            <w:hideMark/>
          </w:tcPr>
          <w:p w:rsidR="005B2AC9" w:rsidRPr="007E3D67" w:rsidRDefault="005B2AC9" w:rsidP="00814329">
            <w:pPr>
              <w:jc w:val="right"/>
              <w:rPr>
                <w:sz w:val="22"/>
                <w:szCs w:val="22"/>
                <w:lang w:eastAsia="cs-CZ"/>
              </w:rPr>
            </w:pPr>
            <w:r w:rsidRPr="007E3D67">
              <w:rPr>
                <w:sz w:val="22"/>
                <w:szCs w:val="22"/>
                <w:lang w:eastAsia="cs-CZ"/>
              </w:rPr>
              <w:t>2007</w:t>
            </w:r>
          </w:p>
        </w:tc>
        <w:tc>
          <w:tcPr>
            <w:tcW w:w="1053" w:type="dxa"/>
            <w:tcBorders>
              <w:top w:val="nil"/>
              <w:left w:val="nil"/>
              <w:bottom w:val="single" w:sz="4" w:space="0" w:color="auto"/>
              <w:right w:val="single" w:sz="4" w:space="0" w:color="auto"/>
            </w:tcBorders>
            <w:shd w:val="clear" w:color="000000" w:fill="FFFFFF"/>
            <w:noWrap/>
            <w:vAlign w:val="bottom"/>
            <w:hideMark/>
          </w:tcPr>
          <w:p w:rsidR="005B2AC9" w:rsidRPr="007E3D67" w:rsidRDefault="005B2AC9" w:rsidP="00814329">
            <w:pPr>
              <w:jc w:val="right"/>
              <w:rPr>
                <w:sz w:val="22"/>
                <w:szCs w:val="22"/>
                <w:lang w:eastAsia="cs-CZ"/>
              </w:rPr>
            </w:pPr>
            <w:r w:rsidRPr="007E3D67">
              <w:rPr>
                <w:sz w:val="22"/>
                <w:szCs w:val="22"/>
                <w:lang w:eastAsia="cs-CZ"/>
              </w:rPr>
              <w:t>2008</w:t>
            </w:r>
          </w:p>
        </w:tc>
        <w:tc>
          <w:tcPr>
            <w:tcW w:w="1792" w:type="dxa"/>
            <w:vMerge/>
            <w:tcBorders>
              <w:top w:val="single" w:sz="4" w:space="0" w:color="auto"/>
              <w:left w:val="single" w:sz="4" w:space="0" w:color="auto"/>
              <w:bottom w:val="single" w:sz="4" w:space="0" w:color="auto"/>
              <w:right w:val="single" w:sz="4" w:space="0" w:color="auto"/>
            </w:tcBorders>
            <w:vAlign w:val="center"/>
            <w:hideMark/>
          </w:tcPr>
          <w:p w:rsidR="005B2AC9" w:rsidRPr="007E3D67" w:rsidRDefault="005B2AC9" w:rsidP="00814329">
            <w:pPr>
              <w:jc w:val="left"/>
              <w:rPr>
                <w:b/>
                <w:bCs/>
                <w:color w:val="FFFFFF"/>
                <w:sz w:val="22"/>
                <w:szCs w:val="22"/>
                <w:lang w:eastAsia="cs-CZ"/>
              </w:rPr>
            </w:pPr>
          </w:p>
        </w:tc>
      </w:tr>
      <w:tr w:rsidR="005B2AC9" w:rsidRPr="007E3D67" w:rsidTr="00814329">
        <w:trPr>
          <w:trHeight w:val="339"/>
        </w:trPr>
        <w:tc>
          <w:tcPr>
            <w:tcW w:w="1752" w:type="dxa"/>
            <w:tcBorders>
              <w:top w:val="nil"/>
              <w:left w:val="single" w:sz="4" w:space="0" w:color="auto"/>
              <w:bottom w:val="single" w:sz="4" w:space="0" w:color="auto"/>
              <w:right w:val="single" w:sz="4" w:space="0" w:color="auto"/>
            </w:tcBorders>
            <w:shd w:val="clear" w:color="000000" w:fill="FFFFFF"/>
            <w:noWrap/>
            <w:vAlign w:val="bottom"/>
            <w:hideMark/>
          </w:tcPr>
          <w:p w:rsidR="005B2AC9" w:rsidRPr="007E3D67" w:rsidRDefault="005B2AC9" w:rsidP="00814329">
            <w:pPr>
              <w:jc w:val="left"/>
              <w:rPr>
                <w:b/>
                <w:bCs/>
                <w:sz w:val="22"/>
                <w:szCs w:val="22"/>
                <w:lang w:eastAsia="cs-CZ"/>
              </w:rPr>
            </w:pPr>
            <w:r w:rsidRPr="007E3D67">
              <w:rPr>
                <w:b/>
                <w:bCs/>
                <w:sz w:val="22"/>
                <w:szCs w:val="22"/>
                <w:lang w:eastAsia="cs-CZ"/>
              </w:rPr>
              <w:t>Potraviny</w:t>
            </w:r>
          </w:p>
        </w:tc>
        <w:tc>
          <w:tcPr>
            <w:tcW w:w="1051" w:type="dxa"/>
            <w:tcBorders>
              <w:top w:val="nil"/>
              <w:left w:val="nil"/>
              <w:bottom w:val="single" w:sz="4" w:space="0" w:color="auto"/>
              <w:right w:val="single" w:sz="4" w:space="0" w:color="auto"/>
            </w:tcBorders>
            <w:shd w:val="clear" w:color="000000" w:fill="FFFFFF"/>
            <w:noWrap/>
            <w:vAlign w:val="bottom"/>
            <w:hideMark/>
          </w:tcPr>
          <w:p w:rsidR="005B2AC9" w:rsidRPr="007E3D67" w:rsidRDefault="005B2AC9" w:rsidP="00814329">
            <w:pPr>
              <w:jc w:val="right"/>
              <w:rPr>
                <w:sz w:val="22"/>
                <w:szCs w:val="22"/>
                <w:lang w:eastAsia="cs-CZ"/>
              </w:rPr>
            </w:pPr>
            <w:r w:rsidRPr="007E3D67">
              <w:rPr>
                <w:sz w:val="22"/>
                <w:szCs w:val="22"/>
                <w:lang w:eastAsia="cs-CZ"/>
              </w:rPr>
              <w:t>43,6</w:t>
            </w:r>
          </w:p>
        </w:tc>
        <w:tc>
          <w:tcPr>
            <w:tcW w:w="1051" w:type="dxa"/>
            <w:tcBorders>
              <w:top w:val="nil"/>
              <w:left w:val="nil"/>
              <w:bottom w:val="single" w:sz="4" w:space="0" w:color="auto"/>
              <w:right w:val="single" w:sz="4" w:space="0" w:color="auto"/>
            </w:tcBorders>
            <w:shd w:val="clear" w:color="000000" w:fill="FFFFFF"/>
            <w:noWrap/>
            <w:vAlign w:val="bottom"/>
            <w:hideMark/>
          </w:tcPr>
          <w:p w:rsidR="005B2AC9" w:rsidRPr="007E3D67" w:rsidRDefault="005B2AC9" w:rsidP="00814329">
            <w:pPr>
              <w:jc w:val="right"/>
              <w:rPr>
                <w:sz w:val="22"/>
                <w:szCs w:val="22"/>
                <w:lang w:eastAsia="cs-CZ"/>
              </w:rPr>
            </w:pPr>
            <w:r w:rsidRPr="007E3D67">
              <w:rPr>
                <w:sz w:val="22"/>
                <w:szCs w:val="22"/>
                <w:lang w:eastAsia="cs-CZ"/>
              </w:rPr>
              <w:t>42,6</w:t>
            </w:r>
          </w:p>
        </w:tc>
        <w:tc>
          <w:tcPr>
            <w:tcW w:w="1051" w:type="dxa"/>
            <w:tcBorders>
              <w:top w:val="nil"/>
              <w:left w:val="nil"/>
              <w:bottom w:val="single" w:sz="4" w:space="0" w:color="auto"/>
              <w:right w:val="single" w:sz="4" w:space="0" w:color="auto"/>
            </w:tcBorders>
            <w:shd w:val="clear" w:color="000000" w:fill="FFFFFF"/>
            <w:noWrap/>
            <w:vAlign w:val="bottom"/>
            <w:hideMark/>
          </w:tcPr>
          <w:p w:rsidR="005B2AC9" w:rsidRPr="007E3D67" w:rsidRDefault="005B2AC9" w:rsidP="00814329">
            <w:pPr>
              <w:jc w:val="right"/>
              <w:rPr>
                <w:sz w:val="22"/>
                <w:szCs w:val="22"/>
                <w:lang w:eastAsia="cs-CZ"/>
              </w:rPr>
            </w:pPr>
            <w:r w:rsidRPr="007E3D67">
              <w:rPr>
                <w:sz w:val="22"/>
                <w:szCs w:val="22"/>
                <w:lang w:eastAsia="cs-CZ"/>
              </w:rPr>
              <w:t>44,4</w:t>
            </w:r>
          </w:p>
        </w:tc>
        <w:tc>
          <w:tcPr>
            <w:tcW w:w="1051" w:type="dxa"/>
            <w:tcBorders>
              <w:top w:val="nil"/>
              <w:left w:val="nil"/>
              <w:bottom w:val="single" w:sz="4" w:space="0" w:color="auto"/>
              <w:right w:val="single" w:sz="4" w:space="0" w:color="auto"/>
            </w:tcBorders>
            <w:shd w:val="clear" w:color="000000" w:fill="FFFFFF"/>
            <w:noWrap/>
            <w:vAlign w:val="bottom"/>
            <w:hideMark/>
          </w:tcPr>
          <w:p w:rsidR="005B2AC9" w:rsidRPr="007E3D67" w:rsidRDefault="005B2AC9" w:rsidP="00814329">
            <w:pPr>
              <w:jc w:val="right"/>
              <w:rPr>
                <w:sz w:val="22"/>
                <w:szCs w:val="22"/>
                <w:lang w:eastAsia="cs-CZ"/>
              </w:rPr>
            </w:pPr>
            <w:r w:rsidRPr="007E3D67">
              <w:rPr>
                <w:sz w:val="22"/>
                <w:szCs w:val="22"/>
                <w:lang w:eastAsia="cs-CZ"/>
              </w:rPr>
              <w:t>46,6</w:t>
            </w:r>
          </w:p>
        </w:tc>
        <w:tc>
          <w:tcPr>
            <w:tcW w:w="1053" w:type="dxa"/>
            <w:tcBorders>
              <w:top w:val="nil"/>
              <w:left w:val="nil"/>
              <w:bottom w:val="single" w:sz="4" w:space="0" w:color="auto"/>
              <w:right w:val="single" w:sz="4" w:space="0" w:color="auto"/>
            </w:tcBorders>
            <w:shd w:val="clear" w:color="000000" w:fill="FFFFFF"/>
            <w:noWrap/>
            <w:vAlign w:val="bottom"/>
            <w:hideMark/>
          </w:tcPr>
          <w:p w:rsidR="005B2AC9" w:rsidRPr="007E3D67" w:rsidRDefault="005B2AC9" w:rsidP="00814329">
            <w:pPr>
              <w:jc w:val="right"/>
              <w:rPr>
                <w:sz w:val="22"/>
                <w:szCs w:val="22"/>
                <w:lang w:eastAsia="cs-CZ"/>
              </w:rPr>
            </w:pPr>
            <w:r w:rsidRPr="007E3D67">
              <w:rPr>
                <w:sz w:val="22"/>
                <w:szCs w:val="22"/>
                <w:lang w:eastAsia="cs-CZ"/>
              </w:rPr>
              <w:t>49,2</w:t>
            </w:r>
          </w:p>
        </w:tc>
        <w:tc>
          <w:tcPr>
            <w:tcW w:w="1792" w:type="dxa"/>
            <w:tcBorders>
              <w:top w:val="nil"/>
              <w:left w:val="nil"/>
              <w:bottom w:val="single" w:sz="4" w:space="0" w:color="auto"/>
              <w:right w:val="single" w:sz="4" w:space="0" w:color="auto"/>
            </w:tcBorders>
            <w:shd w:val="clear" w:color="000000" w:fill="FFFFFF"/>
            <w:noWrap/>
            <w:vAlign w:val="bottom"/>
            <w:hideMark/>
          </w:tcPr>
          <w:p w:rsidR="005B2AC9" w:rsidRPr="007E3D67" w:rsidRDefault="005B2AC9" w:rsidP="00814329">
            <w:pPr>
              <w:jc w:val="right"/>
              <w:rPr>
                <w:sz w:val="22"/>
                <w:szCs w:val="22"/>
                <w:lang w:eastAsia="cs-CZ"/>
              </w:rPr>
            </w:pPr>
            <w:r w:rsidRPr="007E3D67">
              <w:rPr>
                <w:sz w:val="22"/>
                <w:szCs w:val="22"/>
                <w:lang w:eastAsia="cs-CZ"/>
              </w:rPr>
              <w:t>+12,80%</w:t>
            </w:r>
          </w:p>
        </w:tc>
      </w:tr>
      <w:tr w:rsidR="005B2AC9" w:rsidRPr="007E3D67" w:rsidTr="00814329">
        <w:trPr>
          <w:trHeight w:val="339"/>
        </w:trPr>
        <w:tc>
          <w:tcPr>
            <w:tcW w:w="1752" w:type="dxa"/>
            <w:tcBorders>
              <w:top w:val="nil"/>
              <w:left w:val="single" w:sz="4" w:space="0" w:color="auto"/>
              <w:bottom w:val="single" w:sz="4" w:space="0" w:color="auto"/>
              <w:right w:val="single" w:sz="4" w:space="0" w:color="auto"/>
            </w:tcBorders>
            <w:shd w:val="clear" w:color="000000" w:fill="FFFFFF"/>
            <w:noWrap/>
            <w:vAlign w:val="bottom"/>
            <w:hideMark/>
          </w:tcPr>
          <w:p w:rsidR="005B2AC9" w:rsidRPr="007E3D67" w:rsidRDefault="005B2AC9" w:rsidP="00814329">
            <w:pPr>
              <w:jc w:val="left"/>
              <w:rPr>
                <w:b/>
                <w:bCs/>
                <w:sz w:val="22"/>
                <w:szCs w:val="22"/>
                <w:lang w:eastAsia="cs-CZ"/>
              </w:rPr>
            </w:pPr>
            <w:r w:rsidRPr="007E3D67">
              <w:rPr>
                <w:b/>
                <w:bCs/>
                <w:sz w:val="22"/>
                <w:szCs w:val="22"/>
                <w:lang w:eastAsia="cs-CZ"/>
              </w:rPr>
              <w:t>Pohonné hmoty</w:t>
            </w:r>
          </w:p>
        </w:tc>
        <w:tc>
          <w:tcPr>
            <w:tcW w:w="1051" w:type="dxa"/>
            <w:tcBorders>
              <w:top w:val="nil"/>
              <w:left w:val="nil"/>
              <w:bottom w:val="single" w:sz="4" w:space="0" w:color="auto"/>
              <w:right w:val="single" w:sz="4" w:space="0" w:color="auto"/>
            </w:tcBorders>
            <w:shd w:val="clear" w:color="000000" w:fill="FFFFFF"/>
            <w:noWrap/>
            <w:vAlign w:val="bottom"/>
            <w:hideMark/>
          </w:tcPr>
          <w:p w:rsidR="005B2AC9" w:rsidRPr="007E3D67" w:rsidRDefault="005B2AC9" w:rsidP="00814329">
            <w:pPr>
              <w:jc w:val="right"/>
              <w:rPr>
                <w:sz w:val="22"/>
                <w:szCs w:val="22"/>
                <w:lang w:eastAsia="cs-CZ"/>
              </w:rPr>
            </w:pPr>
            <w:r w:rsidRPr="007E3D67">
              <w:rPr>
                <w:sz w:val="22"/>
                <w:szCs w:val="22"/>
                <w:lang w:eastAsia="cs-CZ"/>
              </w:rPr>
              <w:t>22,9</w:t>
            </w:r>
          </w:p>
        </w:tc>
        <w:tc>
          <w:tcPr>
            <w:tcW w:w="1051" w:type="dxa"/>
            <w:tcBorders>
              <w:top w:val="nil"/>
              <w:left w:val="nil"/>
              <w:bottom w:val="single" w:sz="4" w:space="0" w:color="auto"/>
              <w:right w:val="single" w:sz="4" w:space="0" w:color="auto"/>
            </w:tcBorders>
            <w:shd w:val="clear" w:color="000000" w:fill="FFFFFF"/>
            <w:noWrap/>
            <w:vAlign w:val="bottom"/>
            <w:hideMark/>
          </w:tcPr>
          <w:p w:rsidR="005B2AC9" w:rsidRPr="007E3D67" w:rsidRDefault="005B2AC9" w:rsidP="00814329">
            <w:pPr>
              <w:jc w:val="right"/>
              <w:rPr>
                <w:sz w:val="22"/>
                <w:szCs w:val="22"/>
                <w:lang w:eastAsia="cs-CZ"/>
              </w:rPr>
            </w:pPr>
            <w:r w:rsidRPr="007E3D67">
              <w:rPr>
                <w:sz w:val="22"/>
                <w:szCs w:val="22"/>
                <w:lang w:eastAsia="cs-CZ"/>
              </w:rPr>
              <w:t>28,8</w:t>
            </w:r>
          </w:p>
        </w:tc>
        <w:tc>
          <w:tcPr>
            <w:tcW w:w="1051" w:type="dxa"/>
            <w:tcBorders>
              <w:top w:val="nil"/>
              <w:left w:val="nil"/>
              <w:bottom w:val="single" w:sz="4" w:space="0" w:color="auto"/>
              <w:right w:val="single" w:sz="4" w:space="0" w:color="auto"/>
            </w:tcBorders>
            <w:shd w:val="clear" w:color="000000" w:fill="FFFFFF"/>
            <w:noWrap/>
            <w:vAlign w:val="bottom"/>
            <w:hideMark/>
          </w:tcPr>
          <w:p w:rsidR="005B2AC9" w:rsidRPr="007E3D67" w:rsidRDefault="005B2AC9" w:rsidP="00814329">
            <w:pPr>
              <w:jc w:val="right"/>
              <w:rPr>
                <w:sz w:val="22"/>
                <w:szCs w:val="22"/>
                <w:lang w:eastAsia="cs-CZ"/>
              </w:rPr>
            </w:pPr>
            <w:r w:rsidRPr="007E3D67">
              <w:rPr>
                <w:sz w:val="22"/>
                <w:szCs w:val="22"/>
                <w:lang w:eastAsia="cs-CZ"/>
              </w:rPr>
              <w:t>35,3</w:t>
            </w:r>
          </w:p>
        </w:tc>
        <w:tc>
          <w:tcPr>
            <w:tcW w:w="1051" w:type="dxa"/>
            <w:tcBorders>
              <w:top w:val="nil"/>
              <w:left w:val="nil"/>
              <w:bottom w:val="single" w:sz="4" w:space="0" w:color="auto"/>
              <w:right w:val="single" w:sz="4" w:space="0" w:color="auto"/>
            </w:tcBorders>
            <w:shd w:val="clear" w:color="000000" w:fill="FFFFFF"/>
            <w:noWrap/>
            <w:vAlign w:val="bottom"/>
            <w:hideMark/>
          </w:tcPr>
          <w:p w:rsidR="005B2AC9" w:rsidRPr="007E3D67" w:rsidRDefault="005B2AC9" w:rsidP="00814329">
            <w:pPr>
              <w:jc w:val="right"/>
              <w:rPr>
                <w:sz w:val="22"/>
                <w:szCs w:val="22"/>
                <w:lang w:eastAsia="cs-CZ"/>
              </w:rPr>
            </w:pPr>
            <w:r w:rsidRPr="007E3D67">
              <w:rPr>
                <w:sz w:val="22"/>
                <w:szCs w:val="22"/>
                <w:lang w:eastAsia="cs-CZ"/>
              </w:rPr>
              <w:t>32,6</w:t>
            </w:r>
          </w:p>
        </w:tc>
        <w:tc>
          <w:tcPr>
            <w:tcW w:w="1053" w:type="dxa"/>
            <w:tcBorders>
              <w:top w:val="nil"/>
              <w:left w:val="nil"/>
              <w:bottom w:val="single" w:sz="4" w:space="0" w:color="auto"/>
              <w:right w:val="single" w:sz="4" w:space="0" w:color="auto"/>
            </w:tcBorders>
            <w:shd w:val="clear" w:color="000000" w:fill="FFFFFF"/>
            <w:noWrap/>
            <w:vAlign w:val="bottom"/>
            <w:hideMark/>
          </w:tcPr>
          <w:p w:rsidR="005B2AC9" w:rsidRPr="007E3D67" w:rsidRDefault="005B2AC9" w:rsidP="00814329">
            <w:pPr>
              <w:jc w:val="right"/>
              <w:rPr>
                <w:sz w:val="22"/>
                <w:szCs w:val="22"/>
                <w:lang w:eastAsia="cs-CZ"/>
              </w:rPr>
            </w:pPr>
            <w:r w:rsidRPr="007E3D67">
              <w:rPr>
                <w:sz w:val="22"/>
                <w:szCs w:val="22"/>
                <w:lang w:eastAsia="cs-CZ"/>
              </w:rPr>
              <w:t>40,1</w:t>
            </w:r>
          </w:p>
        </w:tc>
        <w:tc>
          <w:tcPr>
            <w:tcW w:w="1792" w:type="dxa"/>
            <w:tcBorders>
              <w:top w:val="nil"/>
              <w:left w:val="nil"/>
              <w:bottom w:val="single" w:sz="4" w:space="0" w:color="auto"/>
              <w:right w:val="single" w:sz="4" w:space="0" w:color="auto"/>
            </w:tcBorders>
            <w:shd w:val="clear" w:color="000000" w:fill="FFFFFF"/>
            <w:noWrap/>
            <w:vAlign w:val="bottom"/>
            <w:hideMark/>
          </w:tcPr>
          <w:p w:rsidR="005B2AC9" w:rsidRPr="007E3D67" w:rsidRDefault="005B2AC9" w:rsidP="00814329">
            <w:pPr>
              <w:jc w:val="right"/>
              <w:rPr>
                <w:sz w:val="22"/>
                <w:szCs w:val="22"/>
                <w:lang w:eastAsia="cs-CZ"/>
              </w:rPr>
            </w:pPr>
            <w:r w:rsidRPr="007E3D67">
              <w:rPr>
                <w:sz w:val="22"/>
                <w:szCs w:val="22"/>
                <w:lang w:eastAsia="cs-CZ"/>
              </w:rPr>
              <w:t>+75,10%</w:t>
            </w:r>
          </w:p>
        </w:tc>
      </w:tr>
      <w:tr w:rsidR="005B2AC9" w:rsidRPr="007E3D67" w:rsidTr="00920C7C">
        <w:trPr>
          <w:trHeight w:val="339"/>
        </w:trPr>
        <w:tc>
          <w:tcPr>
            <w:tcW w:w="1752" w:type="dxa"/>
            <w:tcBorders>
              <w:top w:val="nil"/>
              <w:left w:val="single" w:sz="4" w:space="0" w:color="auto"/>
              <w:bottom w:val="single" w:sz="4" w:space="0" w:color="auto"/>
              <w:right w:val="single" w:sz="4" w:space="0" w:color="auto"/>
            </w:tcBorders>
            <w:shd w:val="clear" w:color="auto" w:fill="auto"/>
            <w:noWrap/>
            <w:vAlign w:val="bottom"/>
            <w:hideMark/>
          </w:tcPr>
          <w:p w:rsidR="005B2AC9" w:rsidRPr="007E3D67" w:rsidRDefault="005B2AC9" w:rsidP="00814329">
            <w:pPr>
              <w:jc w:val="left"/>
              <w:rPr>
                <w:b/>
                <w:bCs/>
                <w:sz w:val="22"/>
                <w:szCs w:val="22"/>
                <w:lang w:eastAsia="cs-CZ"/>
              </w:rPr>
            </w:pPr>
            <w:r w:rsidRPr="007E3D67">
              <w:rPr>
                <w:b/>
                <w:bCs/>
                <w:sz w:val="22"/>
                <w:szCs w:val="22"/>
                <w:lang w:eastAsia="cs-CZ"/>
              </w:rPr>
              <w:t>Celkem</w:t>
            </w:r>
          </w:p>
        </w:tc>
        <w:tc>
          <w:tcPr>
            <w:tcW w:w="1051" w:type="dxa"/>
            <w:tcBorders>
              <w:top w:val="nil"/>
              <w:left w:val="nil"/>
              <w:bottom w:val="single" w:sz="4" w:space="0" w:color="auto"/>
              <w:right w:val="single" w:sz="4" w:space="0" w:color="auto"/>
            </w:tcBorders>
            <w:shd w:val="clear" w:color="auto" w:fill="auto"/>
            <w:noWrap/>
            <w:vAlign w:val="bottom"/>
            <w:hideMark/>
          </w:tcPr>
          <w:p w:rsidR="005B2AC9" w:rsidRPr="007E3D67" w:rsidRDefault="005B2AC9" w:rsidP="00814329">
            <w:pPr>
              <w:jc w:val="right"/>
              <w:rPr>
                <w:b/>
                <w:sz w:val="22"/>
                <w:szCs w:val="22"/>
                <w:lang w:eastAsia="cs-CZ"/>
              </w:rPr>
            </w:pPr>
            <w:r w:rsidRPr="007E3D67">
              <w:rPr>
                <w:b/>
                <w:sz w:val="22"/>
                <w:szCs w:val="22"/>
                <w:lang w:eastAsia="cs-CZ"/>
              </w:rPr>
              <w:t>66,5</w:t>
            </w:r>
          </w:p>
        </w:tc>
        <w:tc>
          <w:tcPr>
            <w:tcW w:w="1051" w:type="dxa"/>
            <w:tcBorders>
              <w:top w:val="nil"/>
              <w:left w:val="nil"/>
              <w:bottom w:val="single" w:sz="4" w:space="0" w:color="auto"/>
              <w:right w:val="single" w:sz="4" w:space="0" w:color="auto"/>
            </w:tcBorders>
            <w:shd w:val="clear" w:color="auto" w:fill="auto"/>
            <w:noWrap/>
            <w:vAlign w:val="bottom"/>
            <w:hideMark/>
          </w:tcPr>
          <w:p w:rsidR="005B2AC9" w:rsidRPr="007E3D67" w:rsidRDefault="005B2AC9" w:rsidP="00814329">
            <w:pPr>
              <w:jc w:val="right"/>
              <w:rPr>
                <w:b/>
                <w:sz w:val="22"/>
                <w:szCs w:val="22"/>
                <w:lang w:eastAsia="cs-CZ"/>
              </w:rPr>
            </w:pPr>
            <w:r w:rsidRPr="007E3D67">
              <w:rPr>
                <w:b/>
                <w:sz w:val="22"/>
                <w:szCs w:val="22"/>
                <w:lang w:eastAsia="cs-CZ"/>
              </w:rPr>
              <w:t>71,4</w:t>
            </w:r>
          </w:p>
        </w:tc>
        <w:tc>
          <w:tcPr>
            <w:tcW w:w="1051" w:type="dxa"/>
            <w:tcBorders>
              <w:top w:val="nil"/>
              <w:left w:val="nil"/>
              <w:bottom w:val="single" w:sz="4" w:space="0" w:color="auto"/>
              <w:right w:val="single" w:sz="4" w:space="0" w:color="auto"/>
            </w:tcBorders>
            <w:shd w:val="clear" w:color="auto" w:fill="auto"/>
            <w:noWrap/>
            <w:vAlign w:val="bottom"/>
            <w:hideMark/>
          </w:tcPr>
          <w:p w:rsidR="005B2AC9" w:rsidRPr="007E3D67" w:rsidRDefault="005B2AC9" w:rsidP="00814329">
            <w:pPr>
              <w:jc w:val="right"/>
              <w:rPr>
                <w:b/>
                <w:sz w:val="22"/>
                <w:szCs w:val="22"/>
                <w:lang w:eastAsia="cs-CZ"/>
              </w:rPr>
            </w:pPr>
            <w:r w:rsidRPr="007E3D67">
              <w:rPr>
                <w:b/>
                <w:sz w:val="22"/>
                <w:szCs w:val="22"/>
                <w:lang w:eastAsia="cs-CZ"/>
              </w:rPr>
              <w:t>79,7</w:t>
            </w:r>
          </w:p>
        </w:tc>
        <w:tc>
          <w:tcPr>
            <w:tcW w:w="1051" w:type="dxa"/>
            <w:tcBorders>
              <w:top w:val="nil"/>
              <w:left w:val="nil"/>
              <w:bottom w:val="single" w:sz="4" w:space="0" w:color="auto"/>
              <w:right w:val="single" w:sz="4" w:space="0" w:color="auto"/>
            </w:tcBorders>
            <w:shd w:val="clear" w:color="auto" w:fill="auto"/>
            <w:noWrap/>
            <w:vAlign w:val="bottom"/>
            <w:hideMark/>
          </w:tcPr>
          <w:p w:rsidR="005B2AC9" w:rsidRPr="007E3D67" w:rsidRDefault="005B2AC9" w:rsidP="00814329">
            <w:pPr>
              <w:jc w:val="right"/>
              <w:rPr>
                <w:b/>
                <w:sz w:val="22"/>
                <w:szCs w:val="22"/>
                <w:lang w:eastAsia="cs-CZ"/>
              </w:rPr>
            </w:pPr>
            <w:r w:rsidRPr="007E3D67">
              <w:rPr>
                <w:b/>
                <w:sz w:val="22"/>
                <w:szCs w:val="22"/>
                <w:lang w:eastAsia="cs-CZ"/>
              </w:rPr>
              <w:t>79,2</w:t>
            </w:r>
          </w:p>
        </w:tc>
        <w:tc>
          <w:tcPr>
            <w:tcW w:w="1053" w:type="dxa"/>
            <w:tcBorders>
              <w:top w:val="nil"/>
              <w:left w:val="nil"/>
              <w:bottom w:val="single" w:sz="4" w:space="0" w:color="auto"/>
              <w:right w:val="single" w:sz="4" w:space="0" w:color="auto"/>
            </w:tcBorders>
            <w:shd w:val="clear" w:color="auto" w:fill="auto"/>
            <w:noWrap/>
            <w:vAlign w:val="bottom"/>
            <w:hideMark/>
          </w:tcPr>
          <w:p w:rsidR="005B2AC9" w:rsidRPr="007E3D67" w:rsidRDefault="005B2AC9" w:rsidP="00814329">
            <w:pPr>
              <w:jc w:val="right"/>
              <w:rPr>
                <w:b/>
                <w:sz w:val="22"/>
                <w:szCs w:val="22"/>
                <w:lang w:eastAsia="cs-CZ"/>
              </w:rPr>
            </w:pPr>
            <w:r w:rsidRPr="007E3D67">
              <w:rPr>
                <w:b/>
                <w:sz w:val="22"/>
                <w:szCs w:val="22"/>
                <w:lang w:eastAsia="cs-CZ"/>
              </w:rPr>
              <w:t>89,3</w:t>
            </w:r>
          </w:p>
        </w:tc>
        <w:tc>
          <w:tcPr>
            <w:tcW w:w="1792" w:type="dxa"/>
            <w:tcBorders>
              <w:top w:val="nil"/>
              <w:left w:val="nil"/>
              <w:bottom w:val="single" w:sz="4" w:space="0" w:color="auto"/>
              <w:right w:val="single" w:sz="4" w:space="0" w:color="auto"/>
            </w:tcBorders>
            <w:shd w:val="clear" w:color="auto" w:fill="auto"/>
            <w:noWrap/>
            <w:vAlign w:val="bottom"/>
            <w:hideMark/>
          </w:tcPr>
          <w:p w:rsidR="005B2AC9" w:rsidRPr="007E3D67" w:rsidRDefault="005B2AC9" w:rsidP="00814329">
            <w:pPr>
              <w:jc w:val="right"/>
              <w:rPr>
                <w:b/>
                <w:sz w:val="22"/>
                <w:szCs w:val="22"/>
                <w:lang w:eastAsia="cs-CZ"/>
              </w:rPr>
            </w:pPr>
            <w:r w:rsidRPr="007E3D67">
              <w:rPr>
                <w:b/>
                <w:sz w:val="22"/>
                <w:szCs w:val="22"/>
                <w:lang w:eastAsia="cs-CZ"/>
              </w:rPr>
              <w:t>+34,30%</w:t>
            </w:r>
          </w:p>
        </w:tc>
      </w:tr>
    </w:tbl>
    <w:p w:rsidR="005B2AC9" w:rsidRPr="007E3D67" w:rsidRDefault="005B2AC9" w:rsidP="005B2AC9">
      <w:pPr>
        <w:rPr>
          <w:i/>
          <w:sz w:val="20"/>
        </w:rPr>
      </w:pPr>
    </w:p>
    <w:p w:rsidR="005B2AC9" w:rsidRPr="007E3D67" w:rsidRDefault="005B2AC9" w:rsidP="005B2AC9">
      <w:pPr>
        <w:rPr>
          <w:i/>
          <w:sz w:val="20"/>
        </w:rPr>
      </w:pPr>
      <w:r w:rsidRPr="007E3D67">
        <w:rPr>
          <w:i/>
          <w:sz w:val="20"/>
        </w:rPr>
        <w:t xml:space="preserve"> Zdroj: Data – U.S. Census Bureau, http://www.census.gov, Tabulka: Vlastní konstrukce.</w:t>
      </w:r>
    </w:p>
    <w:p w:rsidR="005B2AC9" w:rsidRPr="007E3D67" w:rsidRDefault="005B2AC9" w:rsidP="005B2AC9"/>
    <w:p w:rsidR="005B2AC9" w:rsidRPr="007E3D67" w:rsidRDefault="005B2AC9" w:rsidP="005B2AC9">
      <w:r w:rsidRPr="007E3D67">
        <w:t>Pokud by počet domácností neschopných splácet hypotéku bylo několik málo tisíc v celých USA, nevznikl by zde logicky žádný problém. S relativně více bonitní částí domácností by banky dohodly nový splátkový kalendář, zbytku domácností by byla zabavena nemovitost. Banky by zabavené nemovitosti obratem prodaly na trhu, finanční ztráta v ekonomice by byla v absolutních číslech zanedbatelná.</w:t>
      </w:r>
    </w:p>
    <w:p w:rsidR="005B2AC9" w:rsidRPr="007E3D67" w:rsidRDefault="005B2AC9" w:rsidP="005B2AC9">
      <w:pPr>
        <w:pStyle w:val="Bodytext"/>
      </w:pPr>
    </w:p>
    <w:p w:rsidR="005B2AC9" w:rsidRPr="007E3D67" w:rsidRDefault="005B2AC9" w:rsidP="005B2AC9">
      <w:pPr>
        <w:pStyle w:val="Bodytext"/>
      </w:pPr>
      <w:r w:rsidRPr="00492098">
        <w:t xml:space="preserve">Ve skutečnosti, podle odhadu </w:t>
      </w:r>
      <w:r w:rsidRPr="00492098">
        <w:rPr>
          <w:rStyle w:val="apple-style-span"/>
          <w:rFonts w:eastAsiaTheme="majorEastAsia"/>
        </w:rPr>
        <w:t>Mortgage Bankers Association</w:t>
      </w:r>
      <w:r w:rsidRPr="00492098">
        <w:rPr>
          <w:rStyle w:val="apple-converted-space"/>
          <w:rFonts w:eastAsiaTheme="majorEastAsia"/>
        </w:rPr>
        <w:t xml:space="preserve"> (MBA) z dubna 2008, má problémy se splácením tzv. subprime hypotéky 20% domácností, s</w:t>
      </w:r>
      <w:r w:rsidRPr="00492098">
        <w:t>e kterými se hypoteční instituce musí nějakým způsobem vypořádat:</w:t>
      </w:r>
    </w:p>
    <w:p w:rsidR="005B2AC9" w:rsidRPr="007E3D67" w:rsidRDefault="005B2AC9" w:rsidP="005B2AC9">
      <w:pPr>
        <w:pStyle w:val="Bodytext"/>
      </w:pPr>
    </w:p>
    <w:p w:rsidR="005B2AC9" w:rsidRPr="007E3D67" w:rsidRDefault="005B2AC9" w:rsidP="005B2AC9">
      <w:pPr>
        <w:pStyle w:val="Odstavecseseznamem"/>
        <w:numPr>
          <w:ilvl w:val="0"/>
          <w:numId w:val="29"/>
        </w:numPr>
        <w:spacing w:line="360" w:lineRule="auto"/>
        <w:rPr>
          <w:rFonts w:ascii="Times New Roman" w:hAnsi="Times New Roman" w:cs="Times New Roman"/>
        </w:rPr>
      </w:pPr>
      <w:r w:rsidRPr="007E3D67">
        <w:rPr>
          <w:rFonts w:ascii="Times New Roman" w:hAnsi="Times New Roman" w:cs="Times New Roman"/>
        </w:rPr>
        <w:t>Banky zabaví neplatičům nemovitosti, ty pak prodají na trhu a z utržených peněz pokryjí část ztráty.</w:t>
      </w:r>
    </w:p>
    <w:p w:rsidR="005B2AC9" w:rsidRPr="007E3D67" w:rsidRDefault="005B2AC9" w:rsidP="005B2AC9">
      <w:r w:rsidRPr="007E3D67">
        <w:t>nebo</w:t>
      </w:r>
    </w:p>
    <w:p w:rsidR="005B2AC9" w:rsidRPr="007E3D67" w:rsidRDefault="005B2AC9" w:rsidP="005B2AC9">
      <w:pPr>
        <w:pStyle w:val="Odstavecseseznamem"/>
        <w:numPr>
          <w:ilvl w:val="0"/>
          <w:numId w:val="29"/>
        </w:numPr>
        <w:spacing w:line="360" w:lineRule="auto"/>
        <w:rPr>
          <w:rFonts w:ascii="Times New Roman" w:hAnsi="Times New Roman" w:cs="Times New Roman"/>
        </w:rPr>
      </w:pPr>
      <w:r w:rsidRPr="007E3D67">
        <w:rPr>
          <w:rFonts w:ascii="Times New Roman" w:hAnsi="Times New Roman" w:cs="Times New Roman"/>
        </w:rPr>
        <w:t>Banky dohodnou s neplatiči nový splátkový kalendář s nižšími splátkami (sníží měsíční splátky, prodlouží hypotéku na více let) a za pomoci levných úvěrů z útrob FEDu pokryjí ztráty způsobené problémovými hypotékami.</w:t>
      </w:r>
    </w:p>
    <w:p w:rsidR="0075417A" w:rsidRPr="007E3D67" w:rsidRDefault="0075417A" w:rsidP="0075417A">
      <w:pPr>
        <w:pStyle w:val="Odstavecseseznamem"/>
        <w:spacing w:line="360" w:lineRule="auto"/>
        <w:rPr>
          <w:rFonts w:ascii="Times New Roman" w:hAnsi="Times New Roman" w:cs="Times New Roman"/>
        </w:rPr>
      </w:pPr>
    </w:p>
    <w:p w:rsidR="0075417A" w:rsidRPr="007E3D67" w:rsidRDefault="0075417A" w:rsidP="0075417A">
      <w:pPr>
        <w:pStyle w:val="Odstavecseseznamem"/>
        <w:spacing w:line="360" w:lineRule="auto"/>
        <w:rPr>
          <w:rFonts w:ascii="Times New Roman" w:hAnsi="Times New Roman" w:cs="Times New Roman"/>
        </w:rPr>
      </w:pPr>
    </w:p>
    <w:p w:rsidR="0075417A" w:rsidRPr="007E3D67" w:rsidRDefault="0075417A" w:rsidP="0075417A">
      <w:pPr>
        <w:pStyle w:val="Odstavecseseznamem"/>
        <w:spacing w:line="360" w:lineRule="auto"/>
        <w:rPr>
          <w:rFonts w:ascii="Times New Roman" w:hAnsi="Times New Roman" w:cs="Times New Roman"/>
        </w:rPr>
      </w:pPr>
    </w:p>
    <w:p w:rsidR="0075417A" w:rsidRPr="007E3D67" w:rsidRDefault="0075417A" w:rsidP="0075417A">
      <w:pPr>
        <w:pStyle w:val="Odstavecseseznamem"/>
        <w:spacing w:line="360" w:lineRule="auto"/>
        <w:rPr>
          <w:rFonts w:ascii="Times New Roman" w:hAnsi="Times New Roman" w:cs="Times New Roman"/>
        </w:rPr>
      </w:pPr>
    </w:p>
    <w:p w:rsidR="005B2AC9" w:rsidRPr="007E3D67" w:rsidRDefault="005B2AC9" w:rsidP="005B2AC9"/>
    <w:p w:rsidR="005B2AC9" w:rsidRPr="007E3D67" w:rsidRDefault="0075417A" w:rsidP="00AB317A">
      <w:pPr>
        <w:pStyle w:val="CaptionIntroductionparagraph"/>
      </w:pPr>
      <w:bookmarkStart w:id="160" w:name="_Toc279307148"/>
      <w:bookmarkStart w:id="161" w:name="_Toc279438629"/>
      <w:bookmarkStart w:id="162" w:name="_Toc279696263"/>
      <w:bookmarkStart w:id="163" w:name="_Toc279696352"/>
      <w:r w:rsidRPr="007E3D67">
        <w:lastRenderedPageBreak/>
        <w:t>Obr. 19</w:t>
      </w:r>
      <w:r w:rsidR="005B2AC9" w:rsidRPr="007E3D67">
        <w:t>: Krize subprime hypoték – cyklus zabavení nemovitostí a bankovní nestability</w:t>
      </w:r>
      <w:bookmarkEnd w:id="160"/>
      <w:bookmarkEnd w:id="161"/>
      <w:bookmarkEnd w:id="162"/>
      <w:bookmarkEnd w:id="163"/>
    </w:p>
    <w:p w:rsidR="005B2AC9" w:rsidRPr="007E3D67" w:rsidRDefault="00D82A9D" w:rsidP="00AB317A">
      <w:pPr>
        <w:pStyle w:val="Bodytext"/>
        <w:keepNext/>
        <w:ind w:left="720"/>
        <w:rPr>
          <w:i/>
          <w:sz w:val="20"/>
        </w:rPr>
      </w:pPr>
      <w:r w:rsidRPr="00D82A9D">
        <w:rPr>
          <w:lang w:eastAsia="cs-CZ"/>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28" type="#_x0000_t13" style="position:absolute;left:0;text-align:left;margin-left:3.4pt;margin-top:177.5pt;width:38.9pt;height:38.25pt;rotation:-2757797fd;z-index:251662336" fillcolor="#c6ff4c [1941]" strokecolor="#92d400 [3205]" strokeweight="1pt">
            <v:fill color2="#92d400 [3205]" focus="50%" type="gradient"/>
            <v:shadow on="t" type="perspective" color="#486900 [1605]" offset="1pt" offset2="-3pt"/>
          </v:shape>
        </w:pict>
      </w:r>
      <w:r w:rsidRPr="00D82A9D">
        <w:rPr>
          <w:lang w:eastAsia="cs-CZ"/>
        </w:rPr>
        <w:pict>
          <v:shape id="_x0000_s1030" type="#_x0000_t13" style="position:absolute;left:0;text-align:left;margin-left:9pt;margin-top:217.55pt;width:29.35pt;height:38.25pt;rotation:14823760fd;z-index:251665408" fillcolor="#c6ff4c [1941]" strokecolor="#92d400 [3205]" strokeweight="1pt">
            <v:fill color2="#92d400 [3205]" focus="50%" type="gradient"/>
            <v:shadow on="t" type="perspective" color="#486900 [1605]" offset="1pt" offset2="-3pt"/>
          </v:shape>
        </w:pict>
      </w:r>
      <w:r w:rsidR="00AB317A" w:rsidRPr="007E3D67">
        <w:rPr>
          <w:noProof/>
          <w:lang w:eastAsia="cs-CZ"/>
        </w:rPr>
        <w:drawing>
          <wp:anchor distT="0" distB="0" distL="114300" distR="114300" simplePos="0" relativeHeight="251660288" behindDoc="1" locked="0" layoutInCell="1" allowOverlap="1">
            <wp:simplePos x="0" y="0"/>
            <wp:positionH relativeFrom="column">
              <wp:posOffset>424815</wp:posOffset>
            </wp:positionH>
            <wp:positionV relativeFrom="paragraph">
              <wp:posOffset>150495</wp:posOffset>
            </wp:positionV>
            <wp:extent cx="1790700" cy="3552825"/>
            <wp:effectExtent l="0" t="19050" r="0" b="9525"/>
            <wp:wrapTight wrapText="bothSides">
              <wp:wrapPolygon edited="0">
                <wp:start x="919" y="-116"/>
                <wp:lineTo x="460" y="3938"/>
                <wp:lineTo x="7813" y="5443"/>
                <wp:lineTo x="230" y="5907"/>
                <wp:lineTo x="230" y="9845"/>
                <wp:lineTo x="5285" y="11003"/>
                <wp:lineTo x="8272" y="11003"/>
                <wp:lineTo x="1609" y="11582"/>
                <wp:lineTo x="460" y="11813"/>
                <wp:lineTo x="460" y="15751"/>
                <wp:lineTo x="3906" y="16562"/>
                <wp:lineTo x="8272" y="16562"/>
                <wp:lineTo x="2068" y="17373"/>
                <wp:lineTo x="460" y="17720"/>
                <wp:lineTo x="919" y="21658"/>
                <wp:lineTo x="20221" y="21658"/>
                <wp:lineTo x="20451" y="21658"/>
                <wp:lineTo x="20681" y="20500"/>
                <wp:lineTo x="20911" y="17836"/>
                <wp:lineTo x="18613" y="17257"/>
                <wp:lineTo x="12868" y="16562"/>
                <wp:lineTo x="17464" y="16562"/>
                <wp:lineTo x="20911" y="15751"/>
                <wp:lineTo x="21140" y="11929"/>
                <wp:lineTo x="19532" y="11582"/>
                <wp:lineTo x="12868" y="11003"/>
                <wp:lineTo x="15855" y="11003"/>
                <wp:lineTo x="20911" y="9845"/>
                <wp:lineTo x="21140" y="5907"/>
                <wp:lineTo x="13328" y="5443"/>
                <wp:lineTo x="20681" y="3938"/>
                <wp:lineTo x="20681" y="1506"/>
                <wp:lineTo x="20451" y="116"/>
                <wp:lineTo x="20221" y="-116"/>
                <wp:lineTo x="919" y="-116"/>
              </wp:wrapPolygon>
            </wp:wrapTight>
            <wp:docPr id="27" name="Diagram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anchor>
        </w:drawing>
      </w:r>
      <w:r w:rsidR="0075417A" w:rsidRPr="007E3D67">
        <w:rPr>
          <w:noProof/>
          <w:lang w:eastAsia="cs-CZ"/>
        </w:rPr>
        <w:drawing>
          <wp:anchor distT="0" distB="0" distL="114300" distR="114300" simplePos="0" relativeHeight="251661312" behindDoc="1" locked="0" layoutInCell="1" allowOverlap="1">
            <wp:simplePos x="0" y="0"/>
            <wp:positionH relativeFrom="column">
              <wp:posOffset>2320290</wp:posOffset>
            </wp:positionH>
            <wp:positionV relativeFrom="paragraph">
              <wp:posOffset>1348740</wp:posOffset>
            </wp:positionV>
            <wp:extent cx="3158490" cy="1304925"/>
            <wp:effectExtent l="76200" t="19050" r="80010" b="0"/>
            <wp:wrapTight wrapText="bothSides">
              <wp:wrapPolygon edited="0">
                <wp:start x="15112" y="-315"/>
                <wp:lineTo x="7426" y="4730"/>
                <wp:lineTo x="-521" y="5361"/>
                <wp:lineTo x="-521" y="16397"/>
                <wp:lineTo x="10683" y="19866"/>
                <wp:lineTo x="15112" y="19866"/>
                <wp:lineTo x="15112" y="21127"/>
                <wp:lineTo x="15633" y="21127"/>
                <wp:lineTo x="15764" y="21127"/>
                <wp:lineTo x="16154" y="20181"/>
                <wp:lineTo x="16154" y="19866"/>
                <wp:lineTo x="17848" y="19866"/>
                <wp:lineTo x="22017" y="16397"/>
                <wp:lineTo x="21887" y="14820"/>
                <wp:lineTo x="22017" y="10091"/>
                <wp:lineTo x="22017" y="9775"/>
                <wp:lineTo x="22147" y="9460"/>
                <wp:lineTo x="21887" y="7253"/>
                <wp:lineTo x="21496" y="4730"/>
                <wp:lineTo x="15633" y="-315"/>
                <wp:lineTo x="15112" y="-315"/>
              </wp:wrapPolygon>
            </wp:wrapTight>
            <wp:docPr id="25" name="Diagram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anchor>
        </w:drawing>
      </w:r>
      <w:r w:rsidRPr="00D82A9D">
        <w:rPr>
          <w:lang w:eastAsia="cs-CZ"/>
        </w:rPr>
        <w:pict>
          <v:shape id="_x0000_s1029" type="#_x0000_t13" style="position:absolute;left:0;text-align:left;margin-left:401.6pt;margin-top:186.7pt;width:25.7pt;height:38.25pt;rotation:90;z-index:251663360;mso-position-horizontal-relative:text;mso-position-vertical-relative:text" fillcolor="#c6ff4c [1941]" strokecolor="#92d400 [3205]" strokeweight="1pt">
            <v:fill color2="#92d400 [3205]" focus="50%" type="gradient"/>
            <v:shadow on="t" type="perspective" color="#486900 [1605]" offset="1pt" offset2="-3pt"/>
          </v:shape>
        </w:pict>
      </w:r>
      <w:r w:rsidR="0075417A" w:rsidRPr="007E3D67">
        <w:rPr>
          <w:noProof/>
          <w:lang w:eastAsia="cs-CZ"/>
        </w:rPr>
        <w:drawing>
          <wp:anchor distT="0" distB="0" distL="114300" distR="114300" simplePos="0" relativeHeight="251664384" behindDoc="1" locked="0" layoutInCell="1" allowOverlap="1">
            <wp:simplePos x="0" y="0"/>
            <wp:positionH relativeFrom="column">
              <wp:posOffset>2320290</wp:posOffset>
            </wp:positionH>
            <wp:positionV relativeFrom="paragraph">
              <wp:posOffset>2548890</wp:posOffset>
            </wp:positionV>
            <wp:extent cx="3279140" cy="1504950"/>
            <wp:effectExtent l="95250" t="19050" r="73660" b="0"/>
            <wp:wrapTight wrapText="bothSides">
              <wp:wrapPolygon edited="0">
                <wp:start x="6149" y="-273"/>
                <wp:lineTo x="4141" y="4101"/>
                <wp:lineTo x="251" y="5742"/>
                <wp:lineTo x="-627" y="6562"/>
                <wp:lineTo x="-627" y="15038"/>
                <wp:lineTo x="1757" y="17225"/>
                <wp:lineTo x="4266" y="17225"/>
                <wp:lineTo x="6023" y="21327"/>
                <wp:lineTo x="6149" y="21327"/>
                <wp:lineTo x="6651" y="21327"/>
                <wp:lineTo x="6651" y="17225"/>
                <wp:lineTo x="17819" y="17225"/>
                <wp:lineTo x="22085" y="16132"/>
                <wp:lineTo x="21960" y="12851"/>
                <wp:lineTo x="21960" y="8476"/>
                <wp:lineTo x="22085" y="5742"/>
                <wp:lineTo x="19576" y="4922"/>
                <wp:lineTo x="6651" y="4101"/>
                <wp:lineTo x="6651" y="-273"/>
                <wp:lineTo x="6149" y="-273"/>
              </wp:wrapPolygon>
            </wp:wrapTight>
            <wp:docPr id="26" name="Diagram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anchor>
        </w:drawing>
      </w:r>
      <w:r w:rsidRPr="00D82A9D">
        <w:rPr>
          <w:lang w:eastAsia="cs-CZ"/>
        </w:rPr>
        <w:pict>
          <v:shape id="_x0000_s1033" type="#_x0000_t13" style="position:absolute;left:0;text-align:left;margin-left:-158.25pt;margin-top:24.5pt;width:13.55pt;height:7.1pt;z-index:251668480;mso-position-horizontal-relative:text;mso-position-vertical-relative:text" fillcolor="#c6ff4c [1941]" strokecolor="#92d400 [3205]" strokeweight="1pt">
            <v:fill color2="#92d400 [3205]" focus="50%" type="gradient"/>
            <v:shadow on="t" type="perspective" color="#486900 [1605]" offset="1pt" offset2="-3pt"/>
          </v:shape>
        </w:pict>
      </w:r>
      <w:r w:rsidRPr="00D82A9D">
        <w:rPr>
          <w:lang w:eastAsia="cs-CZ"/>
        </w:rPr>
        <w:pict>
          <v:shape id="_x0000_s1032" type="#_x0000_t13" style="position:absolute;left:0;text-align:left;margin-left:-265.5pt;margin-top:134.6pt;width:215.65pt;height:9.7pt;rotation:270;z-index:251667456;mso-position-horizontal-relative:text;mso-position-vertical-relative:text" fillcolor="#c6ff4c [1941]" strokecolor="#92d400 [3205]" strokeweight="1pt">
            <v:fill color2="#92d400 [3205]" focus="50%" type="gradient"/>
            <v:shadow on="t" type="perspective" color="#486900 [1605]" offset="1pt" offset2="-3pt"/>
          </v:shape>
        </w:pict>
      </w:r>
      <w:r w:rsidRPr="00D82A9D">
        <w:rPr>
          <w:lang w:eastAsia="cs-CZ"/>
        </w:rPr>
        <w:pict>
          <v:shape id="_x0000_s1031" type="#_x0000_t13" style="position:absolute;left:0;text-align:left;margin-left:-162.5pt;margin-top:251.35pt;width:17.8pt;height:7.1pt;rotation:180;z-index:251666432;mso-position-horizontal-relative:text;mso-position-vertical-relative:text" fillcolor="#c6ff4c [1941]" strokecolor="#92d400 [3205]" strokeweight="1pt">
            <v:fill color2="#92d400 [3205]" focus="50%" type="gradient"/>
            <v:shadow on="t" type="perspective" color="#486900 [1605]" offset="1pt" offset2="-3pt"/>
          </v:shape>
        </w:pict>
      </w:r>
      <w:r w:rsidR="005B2AC9" w:rsidRPr="007E3D67">
        <w:rPr>
          <w:lang w:eastAsia="cs-CZ"/>
        </w:rPr>
        <w:br w:type="textWrapping" w:clear="all"/>
      </w:r>
      <w:r w:rsidR="005B2AC9" w:rsidRPr="007E3D67">
        <w:rPr>
          <w:i/>
          <w:sz w:val="20"/>
        </w:rPr>
        <w:t>Zdroj: Vlastní konstrukce.</w:t>
      </w:r>
    </w:p>
    <w:p w:rsidR="005B2AC9" w:rsidRPr="007E3D67" w:rsidRDefault="005B2AC9" w:rsidP="005B2AC9"/>
    <w:p w:rsidR="005B2AC9" w:rsidRPr="007E3D67" w:rsidRDefault="00630347" w:rsidP="005B2AC9">
      <w:pPr>
        <w:pStyle w:val="Nadpis2"/>
        <w:rPr>
          <w:rStyle w:val="apple-style-span"/>
          <w:rFonts w:cs="Times New Roman"/>
          <w:color w:val="000000"/>
          <w:szCs w:val="20"/>
        </w:rPr>
      </w:pPr>
      <w:bookmarkStart w:id="164" w:name="_Toc254796354"/>
      <w:bookmarkStart w:id="165" w:name="_Toc278920735"/>
      <w:bookmarkStart w:id="166" w:name="_Toc279696223"/>
      <w:r w:rsidRPr="007E3D67">
        <w:rPr>
          <w:rStyle w:val="apple-style-span"/>
          <w:rFonts w:cs="Times New Roman"/>
          <w:color w:val="000000"/>
          <w:szCs w:val="20"/>
        </w:rPr>
        <w:t>Expanze</w:t>
      </w:r>
      <w:r w:rsidR="005B2AC9" w:rsidRPr="007E3D67">
        <w:rPr>
          <w:rStyle w:val="apple-style-span"/>
          <w:rFonts w:cs="Times New Roman"/>
          <w:color w:val="000000"/>
          <w:szCs w:val="20"/>
        </w:rPr>
        <w:t xml:space="preserve"> hypoteční krize do ostatních odvětví ekonomiky USA</w:t>
      </w:r>
      <w:bookmarkEnd w:id="164"/>
      <w:bookmarkEnd w:id="165"/>
      <w:bookmarkEnd w:id="166"/>
    </w:p>
    <w:p w:rsidR="005B2AC9" w:rsidRPr="007E3D67" w:rsidRDefault="005B2AC9" w:rsidP="005B2AC9">
      <w:pPr>
        <w:pStyle w:val="Bodytext"/>
      </w:pPr>
      <w:r w:rsidRPr="007E3D67">
        <w:t xml:space="preserve">Hypoteční krize v USA se koncem roku 2007 a na počátku roku 2008 stačila v omezené míře přelít do ostatních částí ekonomiky. </w:t>
      </w:r>
    </w:p>
    <w:p w:rsidR="005B2AC9" w:rsidRPr="007E3D67" w:rsidRDefault="005B2AC9" w:rsidP="005B2AC9">
      <w:pPr>
        <w:pStyle w:val="Bodytext"/>
      </w:pPr>
    </w:p>
    <w:p w:rsidR="005B2AC9" w:rsidRPr="007E3D67" w:rsidRDefault="005B2AC9" w:rsidP="005B2AC9">
      <w:pPr>
        <w:pStyle w:val="Bodytext"/>
      </w:pPr>
      <w:r w:rsidRPr="007E3D67">
        <w:t>Problémy se splácením hypoték donutily americké domácnosti šetřit na výdajích, došlo tedy k poklesu jejich spotřebitelské aktivit</w:t>
      </w:r>
      <w:r w:rsidR="00A164B6" w:rsidRPr="007E3D67">
        <w:t>y. Následně ke zpomalení</w:t>
      </w:r>
      <w:r w:rsidRPr="007E3D67">
        <w:t xml:space="preserve"> růstu tržeb maloobchodníků na poloviční rychlost oproti stavu v době expanze ekonomiky (viz </w:t>
      </w:r>
      <w:r w:rsidR="0075417A" w:rsidRPr="007E3D67">
        <w:t xml:space="preserve">tab. </w:t>
      </w:r>
      <w:r w:rsidR="002933A2" w:rsidRPr="007E3D67">
        <w:t>6</w:t>
      </w:r>
      <w:r w:rsidRPr="007E3D67">
        <w:t>).</w:t>
      </w:r>
    </w:p>
    <w:p w:rsidR="005B2AC9" w:rsidRPr="007E3D67" w:rsidRDefault="005B2AC9" w:rsidP="005B2AC9">
      <w:pPr>
        <w:pStyle w:val="Bodytext"/>
      </w:pPr>
    </w:p>
    <w:p w:rsidR="002933A2" w:rsidRPr="007E3D67" w:rsidRDefault="002933A2" w:rsidP="005B2AC9">
      <w:pPr>
        <w:pStyle w:val="Bodytext"/>
      </w:pPr>
    </w:p>
    <w:p w:rsidR="00AB317A" w:rsidRPr="007E3D67" w:rsidRDefault="00AB317A" w:rsidP="005B2AC9">
      <w:pPr>
        <w:pStyle w:val="Bodytext"/>
      </w:pPr>
    </w:p>
    <w:p w:rsidR="00AB317A" w:rsidRPr="007E3D67" w:rsidRDefault="00AB317A" w:rsidP="005B2AC9">
      <w:pPr>
        <w:pStyle w:val="Bodytext"/>
      </w:pPr>
    </w:p>
    <w:p w:rsidR="002933A2" w:rsidRPr="007E3D67" w:rsidRDefault="002933A2" w:rsidP="005B2AC9">
      <w:pPr>
        <w:pStyle w:val="Bodytext"/>
      </w:pPr>
    </w:p>
    <w:p w:rsidR="005D6486" w:rsidRPr="007E3D67" w:rsidRDefault="005D6486" w:rsidP="00AB317A">
      <w:pPr>
        <w:pStyle w:val="CaptionIntroductionparagraph"/>
      </w:pPr>
      <w:bookmarkStart w:id="167" w:name="_Toc279307388"/>
    </w:p>
    <w:p w:rsidR="005B2AC9" w:rsidRPr="007E3D67" w:rsidRDefault="0075417A" w:rsidP="00AB317A">
      <w:pPr>
        <w:pStyle w:val="CaptionIntroductionparagraph"/>
      </w:pPr>
      <w:bookmarkStart w:id="168" w:name="_Toc279438715"/>
      <w:bookmarkStart w:id="169" w:name="_Toc279696264"/>
      <w:bookmarkStart w:id="170" w:name="_Toc279696353"/>
      <w:r w:rsidRPr="007E3D67">
        <w:lastRenderedPageBreak/>
        <w:t xml:space="preserve">Tab. </w:t>
      </w:r>
      <w:r w:rsidR="002933A2" w:rsidRPr="007E3D67">
        <w:t>6</w:t>
      </w:r>
      <w:r w:rsidR="005B2AC9" w:rsidRPr="007E3D67">
        <w:t>: Meziroční růst maloobchodních tržeb v USA v období září 2007 – únor 2008</w:t>
      </w:r>
      <w:bookmarkEnd w:id="167"/>
      <w:bookmarkEnd w:id="168"/>
      <w:bookmarkEnd w:id="169"/>
      <w:bookmarkEnd w:id="170"/>
    </w:p>
    <w:tbl>
      <w:tblPr>
        <w:tblW w:w="8540" w:type="dxa"/>
        <w:tblInd w:w="60" w:type="dxa"/>
        <w:tblCellMar>
          <w:left w:w="70" w:type="dxa"/>
          <w:right w:w="70" w:type="dxa"/>
        </w:tblCellMar>
        <w:tblLook w:val="04A0"/>
      </w:tblPr>
      <w:tblGrid>
        <w:gridCol w:w="2200"/>
        <w:gridCol w:w="940"/>
        <w:gridCol w:w="1000"/>
        <w:gridCol w:w="1300"/>
        <w:gridCol w:w="1120"/>
        <w:gridCol w:w="1000"/>
        <w:gridCol w:w="980"/>
      </w:tblGrid>
      <w:tr w:rsidR="005B2AC9" w:rsidRPr="007E3D67" w:rsidTr="00814329">
        <w:trPr>
          <w:trHeight w:val="555"/>
        </w:trPr>
        <w:tc>
          <w:tcPr>
            <w:tcW w:w="2200" w:type="dxa"/>
            <w:tcBorders>
              <w:top w:val="single" w:sz="8" w:space="0" w:color="auto"/>
              <w:left w:val="single" w:sz="8" w:space="0" w:color="auto"/>
              <w:bottom w:val="single" w:sz="8" w:space="0" w:color="auto"/>
              <w:right w:val="single" w:sz="8" w:space="0" w:color="auto"/>
            </w:tcBorders>
            <w:shd w:val="clear" w:color="000000" w:fill="95B3D7"/>
            <w:vAlign w:val="center"/>
            <w:hideMark/>
          </w:tcPr>
          <w:p w:rsidR="005B2AC9" w:rsidRPr="007E3D67" w:rsidRDefault="005B2AC9" w:rsidP="00814329">
            <w:pPr>
              <w:jc w:val="center"/>
              <w:rPr>
                <w:b/>
                <w:bCs/>
                <w:color w:val="FFFFFF"/>
                <w:sz w:val="22"/>
                <w:szCs w:val="22"/>
                <w:lang w:eastAsia="cs-CZ"/>
              </w:rPr>
            </w:pPr>
            <w:r w:rsidRPr="007E3D67">
              <w:rPr>
                <w:b/>
                <w:bCs/>
                <w:color w:val="FFFFFF"/>
                <w:sz w:val="22"/>
                <w:szCs w:val="22"/>
                <w:lang w:eastAsia="cs-CZ"/>
              </w:rPr>
              <w:t>Měsíc</w:t>
            </w:r>
          </w:p>
        </w:tc>
        <w:tc>
          <w:tcPr>
            <w:tcW w:w="940" w:type="dxa"/>
            <w:tcBorders>
              <w:top w:val="single" w:sz="8" w:space="0" w:color="auto"/>
              <w:left w:val="nil"/>
              <w:bottom w:val="single" w:sz="8" w:space="0" w:color="auto"/>
              <w:right w:val="single" w:sz="8" w:space="0" w:color="auto"/>
            </w:tcBorders>
            <w:shd w:val="clear" w:color="000000" w:fill="95B3D7"/>
            <w:vAlign w:val="center"/>
            <w:hideMark/>
          </w:tcPr>
          <w:p w:rsidR="005B2AC9" w:rsidRPr="007E3D67" w:rsidRDefault="005B2AC9" w:rsidP="00814329">
            <w:pPr>
              <w:jc w:val="left"/>
              <w:rPr>
                <w:b/>
                <w:bCs/>
                <w:color w:val="FFFFFF"/>
                <w:sz w:val="22"/>
                <w:szCs w:val="22"/>
                <w:lang w:eastAsia="cs-CZ"/>
              </w:rPr>
            </w:pPr>
            <w:r w:rsidRPr="007E3D67">
              <w:rPr>
                <w:b/>
                <w:bCs/>
                <w:color w:val="FFFFFF"/>
                <w:sz w:val="22"/>
                <w:szCs w:val="22"/>
                <w:lang w:eastAsia="cs-CZ"/>
              </w:rPr>
              <w:t xml:space="preserve"> září 2007</w:t>
            </w:r>
          </w:p>
        </w:tc>
        <w:tc>
          <w:tcPr>
            <w:tcW w:w="1000" w:type="dxa"/>
            <w:tcBorders>
              <w:top w:val="single" w:sz="8" w:space="0" w:color="auto"/>
              <w:left w:val="nil"/>
              <w:bottom w:val="single" w:sz="8" w:space="0" w:color="auto"/>
              <w:right w:val="single" w:sz="8" w:space="0" w:color="auto"/>
            </w:tcBorders>
            <w:shd w:val="clear" w:color="000000" w:fill="95B3D7"/>
            <w:vAlign w:val="center"/>
            <w:hideMark/>
          </w:tcPr>
          <w:p w:rsidR="005B2AC9" w:rsidRPr="007E3D67" w:rsidRDefault="005B2AC9" w:rsidP="00814329">
            <w:pPr>
              <w:jc w:val="left"/>
              <w:rPr>
                <w:b/>
                <w:bCs/>
                <w:color w:val="FFFFFF"/>
                <w:sz w:val="22"/>
                <w:szCs w:val="22"/>
                <w:lang w:eastAsia="cs-CZ"/>
              </w:rPr>
            </w:pPr>
            <w:r w:rsidRPr="007E3D67">
              <w:rPr>
                <w:b/>
                <w:bCs/>
                <w:color w:val="FFFFFF"/>
                <w:sz w:val="22"/>
                <w:szCs w:val="22"/>
                <w:lang w:eastAsia="cs-CZ"/>
              </w:rPr>
              <w:t xml:space="preserve"> říjen 2007</w:t>
            </w:r>
          </w:p>
        </w:tc>
        <w:tc>
          <w:tcPr>
            <w:tcW w:w="1300" w:type="dxa"/>
            <w:tcBorders>
              <w:top w:val="single" w:sz="8" w:space="0" w:color="auto"/>
              <w:left w:val="nil"/>
              <w:bottom w:val="single" w:sz="8" w:space="0" w:color="auto"/>
              <w:right w:val="single" w:sz="8" w:space="0" w:color="auto"/>
            </w:tcBorders>
            <w:shd w:val="clear" w:color="000000" w:fill="95B3D7"/>
            <w:vAlign w:val="center"/>
            <w:hideMark/>
          </w:tcPr>
          <w:p w:rsidR="005B2AC9" w:rsidRPr="007E3D67" w:rsidRDefault="005B2AC9" w:rsidP="00814329">
            <w:pPr>
              <w:jc w:val="left"/>
              <w:rPr>
                <w:b/>
                <w:bCs/>
                <w:color w:val="FFFFFF"/>
                <w:sz w:val="22"/>
                <w:szCs w:val="22"/>
                <w:lang w:eastAsia="cs-CZ"/>
              </w:rPr>
            </w:pPr>
            <w:r w:rsidRPr="007E3D67">
              <w:rPr>
                <w:b/>
                <w:bCs/>
                <w:color w:val="FFFFFF"/>
                <w:sz w:val="22"/>
                <w:szCs w:val="22"/>
                <w:lang w:eastAsia="cs-CZ"/>
              </w:rPr>
              <w:t xml:space="preserve"> listopad 2007</w:t>
            </w:r>
          </w:p>
        </w:tc>
        <w:tc>
          <w:tcPr>
            <w:tcW w:w="1120" w:type="dxa"/>
            <w:tcBorders>
              <w:top w:val="single" w:sz="8" w:space="0" w:color="auto"/>
              <w:left w:val="nil"/>
              <w:bottom w:val="single" w:sz="8" w:space="0" w:color="auto"/>
              <w:right w:val="single" w:sz="8" w:space="0" w:color="auto"/>
            </w:tcBorders>
            <w:shd w:val="clear" w:color="000000" w:fill="95B3D7"/>
            <w:vAlign w:val="center"/>
            <w:hideMark/>
          </w:tcPr>
          <w:p w:rsidR="005B2AC9" w:rsidRPr="007E3D67" w:rsidRDefault="005B2AC9" w:rsidP="00814329">
            <w:pPr>
              <w:jc w:val="left"/>
              <w:rPr>
                <w:b/>
                <w:bCs/>
                <w:color w:val="FFFFFF"/>
                <w:sz w:val="22"/>
                <w:szCs w:val="22"/>
                <w:lang w:eastAsia="cs-CZ"/>
              </w:rPr>
            </w:pPr>
            <w:r w:rsidRPr="007E3D67">
              <w:rPr>
                <w:b/>
                <w:bCs/>
                <w:color w:val="FFFFFF"/>
                <w:sz w:val="22"/>
                <w:szCs w:val="22"/>
                <w:lang w:eastAsia="cs-CZ"/>
              </w:rPr>
              <w:t xml:space="preserve"> prosinec 2007</w:t>
            </w:r>
          </w:p>
        </w:tc>
        <w:tc>
          <w:tcPr>
            <w:tcW w:w="1000" w:type="dxa"/>
            <w:tcBorders>
              <w:top w:val="single" w:sz="8" w:space="0" w:color="auto"/>
              <w:left w:val="nil"/>
              <w:bottom w:val="single" w:sz="8" w:space="0" w:color="auto"/>
              <w:right w:val="single" w:sz="8" w:space="0" w:color="auto"/>
            </w:tcBorders>
            <w:shd w:val="clear" w:color="000000" w:fill="95B3D7"/>
            <w:vAlign w:val="center"/>
            <w:hideMark/>
          </w:tcPr>
          <w:p w:rsidR="005B2AC9" w:rsidRPr="007E3D67" w:rsidRDefault="005B2AC9" w:rsidP="00814329">
            <w:pPr>
              <w:jc w:val="left"/>
              <w:rPr>
                <w:b/>
                <w:bCs/>
                <w:color w:val="FFFFFF"/>
                <w:sz w:val="22"/>
                <w:szCs w:val="22"/>
                <w:lang w:eastAsia="cs-CZ"/>
              </w:rPr>
            </w:pPr>
            <w:r w:rsidRPr="007E3D67">
              <w:rPr>
                <w:b/>
                <w:bCs/>
                <w:color w:val="FFFFFF"/>
                <w:sz w:val="22"/>
                <w:szCs w:val="22"/>
                <w:lang w:eastAsia="cs-CZ"/>
              </w:rPr>
              <w:t xml:space="preserve"> leden 2008</w:t>
            </w:r>
          </w:p>
        </w:tc>
        <w:tc>
          <w:tcPr>
            <w:tcW w:w="980" w:type="dxa"/>
            <w:tcBorders>
              <w:top w:val="single" w:sz="8" w:space="0" w:color="auto"/>
              <w:left w:val="nil"/>
              <w:bottom w:val="single" w:sz="8" w:space="0" w:color="auto"/>
              <w:right w:val="single" w:sz="8" w:space="0" w:color="auto"/>
            </w:tcBorders>
            <w:shd w:val="clear" w:color="000000" w:fill="95B3D7"/>
            <w:vAlign w:val="center"/>
            <w:hideMark/>
          </w:tcPr>
          <w:p w:rsidR="005B2AC9" w:rsidRPr="007E3D67" w:rsidRDefault="005B2AC9" w:rsidP="00814329">
            <w:pPr>
              <w:jc w:val="left"/>
              <w:rPr>
                <w:b/>
                <w:bCs/>
                <w:color w:val="FFFFFF"/>
                <w:sz w:val="22"/>
                <w:szCs w:val="22"/>
                <w:lang w:eastAsia="cs-CZ"/>
              </w:rPr>
            </w:pPr>
            <w:r w:rsidRPr="007E3D67">
              <w:rPr>
                <w:b/>
                <w:bCs/>
                <w:color w:val="FFFFFF"/>
                <w:sz w:val="22"/>
                <w:szCs w:val="22"/>
                <w:lang w:eastAsia="cs-CZ"/>
              </w:rPr>
              <w:t xml:space="preserve"> únor 2008</w:t>
            </w:r>
          </w:p>
        </w:tc>
      </w:tr>
      <w:tr w:rsidR="005B2AC9" w:rsidRPr="007E3D67" w:rsidTr="00814329">
        <w:trPr>
          <w:trHeight w:val="900"/>
        </w:trPr>
        <w:tc>
          <w:tcPr>
            <w:tcW w:w="2200" w:type="dxa"/>
            <w:tcBorders>
              <w:top w:val="nil"/>
              <w:left w:val="single" w:sz="8" w:space="0" w:color="auto"/>
              <w:bottom w:val="single" w:sz="8" w:space="0" w:color="auto"/>
              <w:right w:val="single" w:sz="8" w:space="0" w:color="auto"/>
            </w:tcBorders>
            <w:shd w:val="clear" w:color="auto" w:fill="auto"/>
            <w:vAlign w:val="center"/>
            <w:hideMark/>
          </w:tcPr>
          <w:p w:rsidR="005B2AC9" w:rsidRPr="007E3D67" w:rsidRDefault="005B2AC9" w:rsidP="00814329">
            <w:pPr>
              <w:jc w:val="left"/>
              <w:rPr>
                <w:color w:val="000000"/>
                <w:sz w:val="22"/>
                <w:szCs w:val="22"/>
                <w:lang w:eastAsia="cs-CZ"/>
              </w:rPr>
            </w:pPr>
            <w:r w:rsidRPr="007E3D67">
              <w:rPr>
                <w:color w:val="000000"/>
                <w:sz w:val="22"/>
                <w:szCs w:val="22"/>
                <w:lang w:eastAsia="cs-CZ"/>
              </w:rPr>
              <w:t>Změna v maloobchodních tržbách</w:t>
            </w:r>
          </w:p>
        </w:tc>
        <w:tc>
          <w:tcPr>
            <w:tcW w:w="940" w:type="dxa"/>
            <w:tcBorders>
              <w:top w:val="nil"/>
              <w:left w:val="nil"/>
              <w:bottom w:val="single" w:sz="8" w:space="0" w:color="auto"/>
              <w:right w:val="single" w:sz="8" w:space="0" w:color="auto"/>
            </w:tcBorders>
            <w:shd w:val="clear" w:color="auto" w:fill="auto"/>
            <w:noWrap/>
            <w:vAlign w:val="center"/>
            <w:hideMark/>
          </w:tcPr>
          <w:p w:rsidR="005B2AC9" w:rsidRPr="007E3D67" w:rsidRDefault="005B2AC9" w:rsidP="00814329">
            <w:pPr>
              <w:jc w:val="left"/>
              <w:rPr>
                <w:color w:val="000000"/>
                <w:sz w:val="22"/>
                <w:szCs w:val="22"/>
                <w:lang w:eastAsia="cs-CZ"/>
              </w:rPr>
            </w:pPr>
            <w:r w:rsidRPr="007E3D67">
              <w:rPr>
                <w:color w:val="000000"/>
                <w:sz w:val="22"/>
                <w:szCs w:val="22"/>
                <w:lang w:eastAsia="cs-CZ"/>
              </w:rPr>
              <w:t>+5,00%</w:t>
            </w:r>
          </w:p>
        </w:tc>
        <w:tc>
          <w:tcPr>
            <w:tcW w:w="1000" w:type="dxa"/>
            <w:tcBorders>
              <w:top w:val="nil"/>
              <w:left w:val="nil"/>
              <w:bottom w:val="single" w:sz="8" w:space="0" w:color="auto"/>
              <w:right w:val="single" w:sz="8" w:space="0" w:color="auto"/>
            </w:tcBorders>
            <w:shd w:val="clear" w:color="auto" w:fill="auto"/>
            <w:noWrap/>
            <w:vAlign w:val="center"/>
            <w:hideMark/>
          </w:tcPr>
          <w:p w:rsidR="005B2AC9" w:rsidRPr="007E3D67" w:rsidRDefault="005B2AC9" w:rsidP="00814329">
            <w:pPr>
              <w:jc w:val="left"/>
              <w:rPr>
                <w:color w:val="000000"/>
                <w:sz w:val="22"/>
                <w:szCs w:val="22"/>
                <w:lang w:eastAsia="cs-CZ"/>
              </w:rPr>
            </w:pPr>
            <w:r w:rsidRPr="007E3D67">
              <w:rPr>
                <w:color w:val="000000"/>
                <w:sz w:val="22"/>
                <w:szCs w:val="22"/>
                <w:lang w:eastAsia="cs-CZ"/>
              </w:rPr>
              <w:t>+4,80%</w:t>
            </w:r>
          </w:p>
        </w:tc>
        <w:tc>
          <w:tcPr>
            <w:tcW w:w="1300" w:type="dxa"/>
            <w:tcBorders>
              <w:top w:val="nil"/>
              <w:left w:val="nil"/>
              <w:bottom w:val="single" w:sz="8" w:space="0" w:color="auto"/>
              <w:right w:val="single" w:sz="8" w:space="0" w:color="auto"/>
            </w:tcBorders>
            <w:shd w:val="clear" w:color="auto" w:fill="auto"/>
            <w:noWrap/>
            <w:vAlign w:val="center"/>
            <w:hideMark/>
          </w:tcPr>
          <w:p w:rsidR="005B2AC9" w:rsidRPr="007E3D67" w:rsidRDefault="005B2AC9" w:rsidP="00814329">
            <w:pPr>
              <w:jc w:val="left"/>
              <w:rPr>
                <w:color w:val="000000"/>
                <w:sz w:val="22"/>
                <w:szCs w:val="22"/>
                <w:lang w:eastAsia="cs-CZ"/>
              </w:rPr>
            </w:pPr>
            <w:r w:rsidRPr="007E3D67">
              <w:rPr>
                <w:color w:val="000000"/>
                <w:sz w:val="22"/>
                <w:szCs w:val="22"/>
                <w:lang w:eastAsia="cs-CZ"/>
              </w:rPr>
              <w:t>+5,60%</w:t>
            </w:r>
          </w:p>
        </w:tc>
        <w:tc>
          <w:tcPr>
            <w:tcW w:w="1120" w:type="dxa"/>
            <w:tcBorders>
              <w:top w:val="nil"/>
              <w:left w:val="nil"/>
              <w:bottom w:val="single" w:sz="8" w:space="0" w:color="auto"/>
              <w:right w:val="single" w:sz="8" w:space="0" w:color="auto"/>
            </w:tcBorders>
            <w:shd w:val="clear" w:color="auto" w:fill="auto"/>
            <w:noWrap/>
            <w:vAlign w:val="center"/>
            <w:hideMark/>
          </w:tcPr>
          <w:p w:rsidR="005B2AC9" w:rsidRPr="007E3D67" w:rsidRDefault="005B2AC9" w:rsidP="00814329">
            <w:pPr>
              <w:jc w:val="left"/>
              <w:rPr>
                <w:color w:val="000000"/>
                <w:sz w:val="22"/>
                <w:szCs w:val="22"/>
                <w:lang w:eastAsia="cs-CZ"/>
              </w:rPr>
            </w:pPr>
            <w:r w:rsidRPr="007E3D67">
              <w:rPr>
                <w:color w:val="000000"/>
                <w:sz w:val="22"/>
                <w:szCs w:val="22"/>
                <w:lang w:eastAsia="cs-CZ"/>
              </w:rPr>
              <w:t>+3,40%</w:t>
            </w:r>
          </w:p>
        </w:tc>
        <w:tc>
          <w:tcPr>
            <w:tcW w:w="1000" w:type="dxa"/>
            <w:tcBorders>
              <w:top w:val="nil"/>
              <w:left w:val="nil"/>
              <w:bottom w:val="single" w:sz="8" w:space="0" w:color="auto"/>
              <w:right w:val="single" w:sz="8" w:space="0" w:color="auto"/>
            </w:tcBorders>
            <w:shd w:val="clear" w:color="auto" w:fill="auto"/>
            <w:noWrap/>
            <w:vAlign w:val="center"/>
            <w:hideMark/>
          </w:tcPr>
          <w:p w:rsidR="005B2AC9" w:rsidRPr="007E3D67" w:rsidRDefault="005B2AC9" w:rsidP="00814329">
            <w:pPr>
              <w:jc w:val="left"/>
              <w:rPr>
                <w:color w:val="000000"/>
                <w:sz w:val="22"/>
                <w:szCs w:val="22"/>
                <w:lang w:eastAsia="cs-CZ"/>
              </w:rPr>
            </w:pPr>
            <w:r w:rsidRPr="007E3D67">
              <w:rPr>
                <w:color w:val="000000"/>
                <w:sz w:val="22"/>
                <w:szCs w:val="22"/>
                <w:lang w:eastAsia="cs-CZ"/>
              </w:rPr>
              <w:t>+4,00%</w:t>
            </w:r>
          </w:p>
        </w:tc>
        <w:tc>
          <w:tcPr>
            <w:tcW w:w="980" w:type="dxa"/>
            <w:tcBorders>
              <w:top w:val="nil"/>
              <w:left w:val="nil"/>
              <w:bottom w:val="single" w:sz="8" w:space="0" w:color="auto"/>
              <w:right w:val="single" w:sz="8" w:space="0" w:color="auto"/>
            </w:tcBorders>
            <w:shd w:val="clear" w:color="auto" w:fill="auto"/>
            <w:noWrap/>
            <w:vAlign w:val="center"/>
            <w:hideMark/>
          </w:tcPr>
          <w:p w:rsidR="005B2AC9" w:rsidRPr="007E3D67" w:rsidRDefault="005B2AC9" w:rsidP="00814329">
            <w:pPr>
              <w:jc w:val="left"/>
              <w:rPr>
                <w:color w:val="000000"/>
                <w:sz w:val="22"/>
                <w:szCs w:val="22"/>
                <w:lang w:eastAsia="cs-CZ"/>
              </w:rPr>
            </w:pPr>
            <w:r w:rsidRPr="007E3D67">
              <w:rPr>
                <w:color w:val="000000"/>
                <w:sz w:val="22"/>
                <w:szCs w:val="22"/>
                <w:lang w:eastAsia="cs-CZ"/>
              </w:rPr>
              <w:t>+2,60%</w:t>
            </w:r>
          </w:p>
        </w:tc>
      </w:tr>
    </w:tbl>
    <w:p w:rsidR="005B2AC9" w:rsidRPr="007E3D67" w:rsidRDefault="005B2AC9" w:rsidP="005B2AC9">
      <w:pPr>
        <w:rPr>
          <w:i/>
          <w:sz w:val="20"/>
        </w:rPr>
      </w:pPr>
      <w:r w:rsidRPr="007E3D67">
        <w:rPr>
          <w:i/>
          <w:sz w:val="20"/>
        </w:rPr>
        <w:t>Zdroj: Data – Eurostat, http://ec.europa.eu/eurostat, Tabulka: Vlastní konstrukce.</w:t>
      </w:r>
    </w:p>
    <w:p w:rsidR="005B2AC9" w:rsidRPr="007E3D67" w:rsidRDefault="005B2AC9" w:rsidP="005B2AC9">
      <w:pPr>
        <w:pStyle w:val="Bodytext"/>
      </w:pPr>
    </w:p>
    <w:p w:rsidR="005B2AC9" w:rsidRPr="007E3D67" w:rsidRDefault="005B2AC9" w:rsidP="005B2AC9">
      <w:pPr>
        <w:pStyle w:val="Bodytext"/>
      </w:pPr>
      <w:r w:rsidRPr="007E3D67">
        <w:t>Tyto události měly vliv na celý HDP USA. Jeho reálná hodnota propadla ve sledovaném období do záporných čísel (</w:t>
      </w:r>
      <w:r w:rsidR="00CC1789">
        <w:t xml:space="preserve">viz </w:t>
      </w:r>
      <w:r w:rsidRPr="007E3D67">
        <w:t xml:space="preserve"> </w:t>
      </w:r>
      <w:r w:rsidR="00C80E6E" w:rsidRPr="007E3D67">
        <w:t>obr. 20</w:t>
      </w:r>
      <w:r w:rsidRPr="007E3D67">
        <w:t>).</w:t>
      </w:r>
    </w:p>
    <w:p w:rsidR="00C80E6E" w:rsidRPr="007E3D67" w:rsidRDefault="00C80E6E" w:rsidP="005B2AC9">
      <w:pPr>
        <w:pStyle w:val="Bodytext"/>
      </w:pPr>
    </w:p>
    <w:p w:rsidR="005B2AC9" w:rsidRPr="007E3D67" w:rsidRDefault="00C80E6E" w:rsidP="00AB317A">
      <w:pPr>
        <w:pStyle w:val="CaptionIntroductionparagraph"/>
      </w:pPr>
      <w:bookmarkStart w:id="171" w:name="_Toc279307150"/>
      <w:bookmarkStart w:id="172" w:name="_Toc279438631"/>
      <w:bookmarkStart w:id="173" w:name="_Toc279696265"/>
      <w:bookmarkStart w:id="174" w:name="_Toc279696354"/>
      <w:r w:rsidRPr="007E3D67">
        <w:t>Obr. 20</w:t>
      </w:r>
      <w:r w:rsidR="005B2AC9" w:rsidRPr="007E3D67">
        <w:t>: Čtvrtletní změna reálného HDP USA v letech 2006 – 2009 (%)</w:t>
      </w:r>
      <w:bookmarkEnd w:id="171"/>
      <w:bookmarkEnd w:id="172"/>
      <w:bookmarkEnd w:id="173"/>
      <w:bookmarkEnd w:id="174"/>
    </w:p>
    <w:p w:rsidR="005B2AC9" w:rsidRPr="007E3D67" w:rsidRDefault="005B2AC9" w:rsidP="005B2AC9">
      <w:pPr>
        <w:pStyle w:val="Bodytext"/>
      </w:pPr>
      <w:r w:rsidRPr="007E3D67">
        <w:rPr>
          <w:noProof/>
          <w:lang w:eastAsia="cs-CZ"/>
        </w:rPr>
        <w:drawing>
          <wp:inline distT="0" distB="0" distL="0" distR="0">
            <wp:extent cx="5486400" cy="3200400"/>
            <wp:effectExtent l="19050" t="0" r="19050" b="0"/>
            <wp:docPr id="7" name="Graf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5B2AC9" w:rsidRPr="007E3D67" w:rsidRDefault="005B2AC9" w:rsidP="005B2AC9">
      <w:pPr>
        <w:rPr>
          <w:i/>
          <w:sz w:val="20"/>
        </w:rPr>
      </w:pPr>
      <w:r w:rsidRPr="007E3D67">
        <w:rPr>
          <w:i/>
          <w:sz w:val="20"/>
        </w:rPr>
        <w:t xml:space="preserve">Zdroj: Data – Eurostat, http://ec.europa.eu/eurostat, </w:t>
      </w:r>
      <w:r w:rsidR="00C80E6E" w:rsidRPr="007E3D67">
        <w:rPr>
          <w:i/>
          <w:sz w:val="20"/>
        </w:rPr>
        <w:t>Obrázek</w:t>
      </w:r>
      <w:r w:rsidRPr="007E3D67">
        <w:rPr>
          <w:i/>
          <w:sz w:val="20"/>
        </w:rPr>
        <w:t>: Vlastní konstrukce.</w:t>
      </w:r>
    </w:p>
    <w:p w:rsidR="005B2AC9" w:rsidRPr="007E3D67" w:rsidRDefault="005B2AC9" w:rsidP="005B2AC9">
      <w:pPr>
        <w:rPr>
          <w:i/>
          <w:sz w:val="20"/>
        </w:rPr>
      </w:pPr>
    </w:p>
    <w:p w:rsidR="005B2AC9" w:rsidRPr="007E3D67" w:rsidRDefault="005B2AC9" w:rsidP="005B2AC9">
      <w:r w:rsidRPr="007E3D67">
        <w:t>Trh práce v USA v roce 2008 procházel složitým obdobím. V lednu 2008 došlo poprvé od roku 2003 k úbytku pracovních míst v ekonomice (-22 000), v únoru se úbytek pracovních míst ještě ztrojnásobil (-63 000). Úbytek pracovních míst pokračoval i v průběhu celého roku 2009, což se projevilo nár</w:t>
      </w:r>
      <w:r w:rsidR="002933A2" w:rsidRPr="007E3D67">
        <w:t>ůstem míry nezaměstnanosti (viz</w:t>
      </w:r>
      <w:r w:rsidRPr="007E3D67">
        <w:t xml:space="preserve"> </w:t>
      </w:r>
      <w:r w:rsidR="00C80E6E" w:rsidRPr="007E3D67">
        <w:t>obr. 21</w:t>
      </w:r>
      <w:r w:rsidRPr="007E3D67">
        <w:t xml:space="preserve">). Tento úbytek je důsledkem politiky zaměstnanosti. Firmám v USA razantně poklesy tržby a především zisky. Svoje cash-flow se rozhodly (na rozdíl od většiny firem v EU) řešit nejenom škrty </w:t>
      </w:r>
      <w:r w:rsidRPr="007E3D67">
        <w:lastRenderedPageBreak/>
        <w:t xml:space="preserve">v oblasti fixních nákladů, ale i těch variabilních. Docházelo k propouštění nadbytečných zaměstnanců. </w:t>
      </w:r>
    </w:p>
    <w:p w:rsidR="002933A2" w:rsidRPr="007E3D67" w:rsidRDefault="002933A2" w:rsidP="005B2AC9"/>
    <w:p w:rsidR="005B2AC9" w:rsidRPr="007E3D67" w:rsidRDefault="00C80E6E" w:rsidP="00AB317A">
      <w:pPr>
        <w:pStyle w:val="CaptionIntroductionparagraph"/>
      </w:pPr>
      <w:bookmarkStart w:id="175" w:name="_Toc279307151"/>
      <w:bookmarkStart w:id="176" w:name="_Toc279438632"/>
      <w:bookmarkStart w:id="177" w:name="_Toc279696266"/>
      <w:bookmarkStart w:id="178" w:name="_Toc279696355"/>
      <w:r w:rsidRPr="007E3D67">
        <w:t>Obr. 21</w:t>
      </w:r>
      <w:r w:rsidR="005B2AC9" w:rsidRPr="007E3D67">
        <w:t>: Míra nezaměstn</w:t>
      </w:r>
      <w:r w:rsidR="0081560C" w:rsidRPr="007E3D67">
        <w:t xml:space="preserve">anosti USA v období </w:t>
      </w:r>
      <w:r w:rsidR="0081560C" w:rsidRPr="00111805">
        <w:t>leden 2008</w:t>
      </w:r>
      <w:r w:rsidR="00D20DCB" w:rsidRPr="00111805">
        <w:t xml:space="preserve"> </w:t>
      </w:r>
      <w:r w:rsidR="0081560C" w:rsidRPr="00111805">
        <w:t>-</w:t>
      </w:r>
      <w:r w:rsidR="00D20DCB" w:rsidRPr="00111805">
        <w:t xml:space="preserve"> </w:t>
      </w:r>
      <w:r w:rsidR="005B2AC9" w:rsidRPr="00111805">
        <w:t>leden 2010, čtvrtletní</w:t>
      </w:r>
      <w:r w:rsidR="005B2AC9" w:rsidRPr="007E3D67">
        <w:t xml:space="preserve"> medián (%)</w:t>
      </w:r>
      <w:bookmarkEnd w:id="175"/>
      <w:bookmarkEnd w:id="176"/>
      <w:bookmarkEnd w:id="177"/>
      <w:bookmarkEnd w:id="178"/>
    </w:p>
    <w:p w:rsidR="005B2AC9" w:rsidRPr="007E3D67" w:rsidRDefault="005B2AC9" w:rsidP="005B2AC9">
      <w:r w:rsidRPr="007E3D67">
        <w:rPr>
          <w:noProof/>
          <w:lang w:eastAsia="cs-CZ"/>
        </w:rPr>
        <w:drawing>
          <wp:inline distT="0" distB="0" distL="0" distR="0">
            <wp:extent cx="5486400" cy="3200400"/>
            <wp:effectExtent l="19050" t="0" r="19050" b="0"/>
            <wp:docPr id="29" name="Graf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5B2AC9" w:rsidRPr="007E3D67" w:rsidRDefault="005B2AC9" w:rsidP="005B2AC9">
      <w:pPr>
        <w:rPr>
          <w:i/>
          <w:sz w:val="20"/>
        </w:rPr>
      </w:pPr>
      <w:r w:rsidRPr="007E3D67">
        <w:rPr>
          <w:i/>
          <w:sz w:val="20"/>
        </w:rPr>
        <w:t xml:space="preserve">Zdroj: Data – Bureau of Labor Statistics U.S., http://www.bls.gov/, </w:t>
      </w:r>
      <w:r w:rsidR="00C80E6E" w:rsidRPr="007E3D67">
        <w:rPr>
          <w:i/>
          <w:sz w:val="20"/>
        </w:rPr>
        <w:t>Obrázek</w:t>
      </w:r>
      <w:r w:rsidRPr="007E3D67">
        <w:rPr>
          <w:i/>
          <w:sz w:val="20"/>
        </w:rPr>
        <w:t>: Vlastní konstrukce.</w:t>
      </w:r>
    </w:p>
    <w:p w:rsidR="005B2AC9" w:rsidRPr="007E3D67" w:rsidRDefault="005B2AC9" w:rsidP="005B2AC9">
      <w:pPr>
        <w:pStyle w:val="Bodytext"/>
        <w:rPr>
          <w:sz w:val="32"/>
        </w:rPr>
      </w:pPr>
    </w:p>
    <w:p w:rsidR="00D63D7A" w:rsidRDefault="00D63D7A" w:rsidP="00D63D7A">
      <w:pPr>
        <w:rPr>
          <w:lang w:eastAsia="cs-CZ"/>
        </w:rPr>
      </w:pPr>
      <w:r w:rsidRPr="00D63D7A">
        <w:rPr>
          <w:lang w:eastAsia="cs-CZ"/>
        </w:rPr>
        <w:t>(H</w:t>
      </w:r>
      <w:r>
        <w:rPr>
          <w:lang w:eastAsia="cs-CZ"/>
        </w:rPr>
        <w:t>YPOTEČNÍ KRIZE V USA. PŘÍČINY, PRŮBĚH, NÁSLEDKY)</w:t>
      </w:r>
      <w:bookmarkStart w:id="179" w:name="_Toc254796355"/>
      <w:bookmarkStart w:id="180" w:name="_Toc278920736"/>
    </w:p>
    <w:p w:rsidR="00D63D7A" w:rsidRDefault="00D63D7A" w:rsidP="00D63D7A">
      <w:pPr>
        <w:rPr>
          <w:lang w:eastAsia="cs-CZ"/>
        </w:rPr>
      </w:pPr>
    </w:p>
    <w:p w:rsidR="005B2AC9" w:rsidRPr="007E3D67" w:rsidRDefault="00D63D7A" w:rsidP="00D63D7A">
      <w:pPr>
        <w:rPr>
          <w:sz w:val="32"/>
        </w:rPr>
      </w:pPr>
      <w:r w:rsidRPr="007E3D67">
        <w:rPr>
          <w:sz w:val="32"/>
        </w:rPr>
        <w:t xml:space="preserve"> </w:t>
      </w:r>
      <w:r w:rsidR="005B2AC9" w:rsidRPr="007E3D67">
        <w:rPr>
          <w:sz w:val="32"/>
        </w:rPr>
        <w:t>Následky pro firmy v USA</w:t>
      </w:r>
      <w:bookmarkEnd w:id="179"/>
      <w:bookmarkEnd w:id="180"/>
    </w:p>
    <w:p w:rsidR="005B2AC9" w:rsidRPr="007E3D67" w:rsidRDefault="005B2AC9" w:rsidP="005B2AC9">
      <w:pPr>
        <w:pStyle w:val="Bodytext"/>
      </w:pPr>
      <w:r w:rsidRPr="007E3D67">
        <w:t xml:space="preserve">Ne všechny podniky v obtížné situaci na trhu obstály. Některé se dostaly do platební neschopnosti, jiné až do bankrotu. Zasaženo bylo široké spektrum odvětví od malých rodinných podniků, až po nadnárodní firmy. </w:t>
      </w:r>
    </w:p>
    <w:p w:rsidR="005B2AC9" w:rsidRPr="007E3D67" w:rsidRDefault="005B2AC9" w:rsidP="005B2AC9"/>
    <w:p w:rsidR="005B2AC9" w:rsidRPr="007E3D67" w:rsidRDefault="005B2AC9" w:rsidP="005B2AC9">
      <w:pPr>
        <w:pStyle w:val="Nadpis3"/>
        <w:rPr>
          <w:rFonts w:cs="Times New Roman"/>
        </w:rPr>
      </w:pPr>
      <w:bookmarkStart w:id="181" w:name="_Toc254796356"/>
      <w:bookmarkStart w:id="182" w:name="_Toc278920737"/>
      <w:bookmarkStart w:id="183" w:name="_Toc279696224"/>
      <w:r w:rsidRPr="007E3D67">
        <w:rPr>
          <w:rFonts w:cs="Times New Roman"/>
        </w:rPr>
        <w:t>Problémy finančních institucí v USA</w:t>
      </w:r>
      <w:bookmarkEnd w:id="181"/>
      <w:bookmarkEnd w:id="182"/>
      <w:bookmarkEnd w:id="183"/>
    </w:p>
    <w:p w:rsidR="005B2AC9" w:rsidRPr="007E3D67" w:rsidRDefault="005B2AC9" w:rsidP="005B2AC9">
      <w:pPr>
        <w:pStyle w:val="Bulletslevel2"/>
        <w:numPr>
          <w:ilvl w:val="0"/>
          <w:numId w:val="0"/>
        </w:numPr>
        <w:rPr>
          <w:lang w:val="cs-CZ"/>
        </w:rPr>
      </w:pPr>
      <w:r w:rsidRPr="007E3D67">
        <w:rPr>
          <w:lang w:val="cs-CZ"/>
        </w:rPr>
        <w:t xml:space="preserve">To co se dnes nazývá největším selháním bankovního trhu v historii, je především, krizí důvěry. Banky se zdráhají poskytovat úvěry firmám, ale i si půjčovat peníze mezi sebou. </w:t>
      </w:r>
      <w:r w:rsidRPr="007E3D67">
        <w:rPr>
          <w:lang w:val="cs-CZ"/>
        </w:rPr>
        <w:lastRenderedPageBreak/>
        <w:t>Právě obava ze ztráty důvěry v problémové finanční instituce s velkými podíly na trhu, vedla stát ke kapitálovému vstupu.</w:t>
      </w:r>
    </w:p>
    <w:p w:rsidR="002933A2" w:rsidRPr="007E3D67" w:rsidRDefault="002933A2" w:rsidP="005B2AC9">
      <w:pPr>
        <w:pStyle w:val="Bulletslevel2"/>
        <w:numPr>
          <w:ilvl w:val="0"/>
          <w:numId w:val="0"/>
        </w:numPr>
        <w:rPr>
          <w:lang w:val="cs-CZ"/>
        </w:rPr>
      </w:pPr>
    </w:p>
    <w:p w:rsidR="005B2AC9" w:rsidRPr="007E3D67" w:rsidRDefault="005B2AC9" w:rsidP="00AB317A">
      <w:pPr>
        <w:pStyle w:val="CaptionIntroductionparagraph"/>
      </w:pPr>
      <w:bookmarkStart w:id="184" w:name="_Toc279307391"/>
      <w:bookmarkStart w:id="185" w:name="_Toc279438718"/>
      <w:bookmarkStart w:id="186" w:name="_Toc279696267"/>
      <w:bookmarkStart w:id="187" w:name="_Toc279696356"/>
      <w:r w:rsidRPr="007E3D67">
        <w:rPr>
          <w:lang w:eastAsia="cs-CZ"/>
        </w:rPr>
        <w:t>Tab</w:t>
      </w:r>
      <w:r w:rsidR="00C80E6E" w:rsidRPr="007E3D67">
        <w:rPr>
          <w:lang w:eastAsia="cs-CZ"/>
        </w:rPr>
        <w:t xml:space="preserve">. </w:t>
      </w:r>
      <w:r w:rsidR="002933A2" w:rsidRPr="007E3D67">
        <w:rPr>
          <w:lang w:eastAsia="cs-CZ"/>
        </w:rPr>
        <w:t>7</w:t>
      </w:r>
      <w:r w:rsidRPr="007E3D67">
        <w:rPr>
          <w:lang w:eastAsia="cs-CZ"/>
        </w:rPr>
        <w:t>:</w:t>
      </w:r>
      <w:r w:rsidR="00C80E6E" w:rsidRPr="007E3D67">
        <w:rPr>
          <w:lang w:eastAsia="cs-CZ"/>
        </w:rPr>
        <w:t xml:space="preserve"> </w:t>
      </w:r>
      <w:r w:rsidRPr="007E3D67">
        <w:rPr>
          <w:lang w:eastAsia="cs-CZ"/>
        </w:rPr>
        <w:t>Problémy finančních institucí v USA, chronologicky</w:t>
      </w:r>
      <w:bookmarkEnd w:id="184"/>
      <w:bookmarkEnd w:id="185"/>
      <w:bookmarkEnd w:id="186"/>
      <w:bookmarkEnd w:id="187"/>
      <w:r w:rsidRPr="007E3D67">
        <w:rPr>
          <w:lang w:eastAsia="cs-CZ"/>
        </w:rPr>
        <w:t xml:space="preserve"> </w:t>
      </w:r>
    </w:p>
    <w:p w:rsidR="005B2AC9" w:rsidRPr="007E3D67" w:rsidRDefault="005B2AC9" w:rsidP="005B2AC9">
      <w:pPr>
        <w:pStyle w:val="Bodytext"/>
        <w:keepNext/>
        <w:rPr>
          <w:lang w:eastAsia="cs-CZ"/>
        </w:rPr>
      </w:pPr>
      <w:r w:rsidRPr="007E3D67">
        <w:rPr>
          <w:noProof/>
          <w:lang w:eastAsia="cs-CZ"/>
        </w:rPr>
        <w:drawing>
          <wp:inline distT="0" distB="0" distL="0" distR="0">
            <wp:extent cx="5579745" cy="5549255"/>
            <wp:effectExtent l="19050" t="0" r="1905" b="0"/>
            <wp:docPr id="30"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cstate="print"/>
                    <a:srcRect/>
                    <a:stretch>
                      <a:fillRect/>
                    </a:stretch>
                  </pic:blipFill>
                  <pic:spPr bwMode="auto">
                    <a:xfrm>
                      <a:off x="0" y="0"/>
                      <a:ext cx="5579745" cy="5549255"/>
                    </a:xfrm>
                    <a:prstGeom prst="rect">
                      <a:avLst/>
                    </a:prstGeom>
                    <a:noFill/>
                    <a:ln w="9525">
                      <a:noFill/>
                      <a:miter lim="800000"/>
                      <a:headEnd/>
                      <a:tailEnd/>
                    </a:ln>
                  </pic:spPr>
                </pic:pic>
              </a:graphicData>
            </a:graphic>
          </wp:inline>
        </w:drawing>
      </w:r>
    </w:p>
    <w:p w:rsidR="005B2AC9" w:rsidRPr="007E3D67" w:rsidRDefault="00C80E6E" w:rsidP="00C80E6E">
      <w:pPr>
        <w:rPr>
          <w:i/>
          <w:sz w:val="20"/>
        </w:rPr>
      </w:pPr>
      <w:r w:rsidRPr="007E3D67">
        <w:rPr>
          <w:i/>
          <w:sz w:val="20"/>
        </w:rPr>
        <w:t>Tabulka: Vlastní konstrukce.</w:t>
      </w:r>
    </w:p>
    <w:p w:rsidR="00C80E6E" w:rsidRPr="007E3D67" w:rsidRDefault="00C80E6E" w:rsidP="00C80E6E">
      <w:pPr>
        <w:rPr>
          <w:lang w:eastAsia="cs-CZ"/>
        </w:rPr>
      </w:pPr>
    </w:p>
    <w:p w:rsidR="005B2AC9" w:rsidRPr="007E3D67" w:rsidRDefault="005B2AC9" w:rsidP="005B2AC9">
      <w:pPr>
        <w:pStyle w:val="Bodytext"/>
        <w:keepNext/>
        <w:rPr>
          <w:b/>
          <w:lang w:eastAsia="cs-CZ"/>
        </w:rPr>
      </w:pPr>
      <w:r w:rsidRPr="007E3D67">
        <w:rPr>
          <w:b/>
          <w:lang w:eastAsia="cs-CZ"/>
        </w:rPr>
        <w:lastRenderedPageBreak/>
        <w:t>Troubled Asset Relief Program (TARP)</w:t>
      </w:r>
    </w:p>
    <w:p w:rsidR="005B2AC9" w:rsidRPr="007E3D67" w:rsidRDefault="005B2AC9" w:rsidP="005B2AC9">
      <w:pPr>
        <w:pStyle w:val="Bodytext"/>
        <w:keepNext/>
        <w:rPr>
          <w:lang w:eastAsia="cs-CZ"/>
        </w:rPr>
      </w:pPr>
    </w:p>
    <w:p w:rsidR="005B2AC9" w:rsidRPr="007E3D67" w:rsidRDefault="005B2AC9" w:rsidP="005B2AC9">
      <w:pPr>
        <w:pStyle w:val="Bodytext"/>
        <w:keepNext/>
        <w:rPr>
          <w:lang w:eastAsia="cs-CZ"/>
        </w:rPr>
      </w:pPr>
      <w:r w:rsidRPr="007E3D67">
        <w:rPr>
          <w:lang w:eastAsia="cs-CZ"/>
        </w:rPr>
        <w:t>Pomocí tohoto programu,</w:t>
      </w:r>
      <w:r w:rsidR="00C635E1" w:rsidRPr="007E3D67">
        <w:rPr>
          <w:lang w:eastAsia="cs-CZ"/>
        </w:rPr>
        <w:t xml:space="preserve"> schváleném v říjnu roku 2008, </w:t>
      </w:r>
      <w:r w:rsidRPr="007E3D67">
        <w:rPr>
          <w:lang w:eastAsia="cs-CZ"/>
        </w:rPr>
        <w:t>stát sanuje vybrané finanční instituce.</w:t>
      </w:r>
    </w:p>
    <w:p w:rsidR="005B2AC9" w:rsidRPr="007E3D67" w:rsidRDefault="005B2AC9" w:rsidP="005B2AC9">
      <w:pPr>
        <w:pStyle w:val="Bodytext"/>
        <w:keepNext/>
        <w:rPr>
          <w:lang w:eastAsia="cs-CZ"/>
        </w:rPr>
      </w:pPr>
    </w:p>
    <w:p w:rsidR="005B2AC9" w:rsidRPr="007E3D67" w:rsidRDefault="005B2AC9" w:rsidP="005B2AC9">
      <w:pPr>
        <w:pStyle w:val="Bodytext"/>
        <w:keepNext/>
        <w:rPr>
          <w:lang w:eastAsia="cs-CZ"/>
        </w:rPr>
      </w:pPr>
      <w:r w:rsidRPr="007E3D67">
        <w:rPr>
          <w:lang w:eastAsia="cs-CZ"/>
        </w:rPr>
        <w:t xml:space="preserve">TARP umožňuje americkému ministerstvu financí nakoupit nebo pojistit až na 700 </w:t>
      </w:r>
      <w:r w:rsidR="005904A6" w:rsidRPr="007E3D67">
        <w:t>mld.</w:t>
      </w:r>
      <w:r w:rsidRPr="007E3D67">
        <w:rPr>
          <w:lang w:eastAsia="cs-CZ"/>
        </w:rPr>
        <w:t xml:space="preserve"> </w:t>
      </w:r>
      <w:r w:rsidR="005904A6" w:rsidRPr="007E3D67">
        <w:rPr>
          <w:lang w:eastAsia="cs-CZ"/>
        </w:rPr>
        <w:t>USD</w:t>
      </w:r>
      <w:r w:rsidRPr="007E3D67">
        <w:rPr>
          <w:lang w:eastAsia="cs-CZ"/>
        </w:rPr>
        <w:t xml:space="preserve"> "problematických aktiv", definovaná jako: </w:t>
      </w:r>
    </w:p>
    <w:p w:rsidR="005B2AC9" w:rsidRPr="007E3D67" w:rsidRDefault="005B2AC9" w:rsidP="005B2AC9">
      <w:pPr>
        <w:pStyle w:val="Bodytext"/>
        <w:keepNext/>
        <w:numPr>
          <w:ilvl w:val="0"/>
          <w:numId w:val="30"/>
        </w:numPr>
        <w:rPr>
          <w:lang w:eastAsia="cs-CZ"/>
        </w:rPr>
      </w:pPr>
      <w:r w:rsidRPr="007E3D67">
        <w:rPr>
          <w:lang w:eastAsia="cs-CZ"/>
        </w:rPr>
        <w:t xml:space="preserve">Residenční nebo komerční hypotéky, cenné papíry, závazky, nebo jiné nástroje, které jsou založeny nebo souvisejí s těmito hypotékami a pochází nebo jsou vydané do </w:t>
      </w:r>
      <w:r w:rsidR="00C635E1" w:rsidRPr="007E3D67">
        <w:rPr>
          <w:lang w:eastAsia="cs-CZ"/>
        </w:rPr>
        <w:t>14. března</w:t>
      </w:r>
      <w:r w:rsidRPr="007E3D67">
        <w:rPr>
          <w:lang w:eastAsia="cs-CZ"/>
        </w:rPr>
        <w:t xml:space="preserve"> 2008. Nákup, za účelem zachování stability na finančním trhu schvaluje tajemník.</w:t>
      </w:r>
    </w:p>
    <w:p w:rsidR="005B2AC9" w:rsidRPr="007E3D67" w:rsidRDefault="005B2AC9" w:rsidP="005B2AC9">
      <w:pPr>
        <w:pStyle w:val="Bodytext"/>
        <w:keepNext/>
        <w:rPr>
          <w:lang w:eastAsia="cs-CZ"/>
        </w:rPr>
      </w:pPr>
    </w:p>
    <w:p w:rsidR="005B2AC9" w:rsidRPr="007E3D67" w:rsidRDefault="005B2AC9" w:rsidP="005B2AC9">
      <w:pPr>
        <w:pStyle w:val="Bodytext"/>
        <w:keepNext/>
        <w:numPr>
          <w:ilvl w:val="0"/>
          <w:numId w:val="30"/>
        </w:numPr>
        <w:rPr>
          <w:lang w:eastAsia="cs-CZ"/>
        </w:rPr>
      </w:pPr>
      <w:r w:rsidRPr="007E3D67">
        <w:rPr>
          <w:lang w:eastAsia="cs-CZ"/>
        </w:rPr>
        <w:t>Jakékoli jiné finanční nástroje, které tajemník po konzultaci s předsedou představenstva guvernérů Federálního rezervního systému určí, jako nezbytné k podpoře stability finančního trhu, ale pouze po přednesení písemné žádosti příslušným výborům Kongresu.</w:t>
      </w:r>
    </w:p>
    <w:p w:rsidR="00492098" w:rsidRPr="007E3D67" w:rsidRDefault="00492098" w:rsidP="00492098">
      <w:pPr>
        <w:pStyle w:val="Bodytext"/>
        <w:keepNext/>
        <w:rPr>
          <w:b/>
          <w:lang w:eastAsia="cs-CZ"/>
        </w:rPr>
      </w:pPr>
      <w:r>
        <w:rPr>
          <w:lang w:eastAsia="cs-CZ"/>
        </w:rPr>
        <w:t>(</w:t>
      </w:r>
      <w:r w:rsidR="009567B6">
        <w:rPr>
          <w:lang w:eastAsia="cs-CZ"/>
        </w:rPr>
        <w:t>TROUBLED ASSETS RELIEF PROGRAM – TARP 2010)</w:t>
      </w:r>
    </w:p>
    <w:p w:rsidR="005B2AC9" w:rsidRPr="007E3D67" w:rsidRDefault="005B2AC9" w:rsidP="005B2AC9">
      <w:pPr>
        <w:pStyle w:val="Bodytext"/>
        <w:keepNext/>
        <w:ind w:left="720"/>
        <w:rPr>
          <w:lang w:eastAsia="cs-CZ"/>
        </w:rPr>
      </w:pPr>
    </w:p>
    <w:p w:rsidR="005B2AC9" w:rsidRPr="007E3D67" w:rsidRDefault="005B2AC9" w:rsidP="005B2AC9">
      <w:pPr>
        <w:pStyle w:val="Nadpis3"/>
        <w:rPr>
          <w:rFonts w:cs="Times New Roman"/>
          <w:lang w:eastAsia="cs-CZ"/>
        </w:rPr>
      </w:pPr>
      <w:bookmarkStart w:id="188" w:name="_Toc254796357"/>
      <w:bookmarkStart w:id="189" w:name="_Toc278920738"/>
      <w:bookmarkStart w:id="190" w:name="_Toc279696225"/>
      <w:r w:rsidRPr="007E3D67">
        <w:rPr>
          <w:rFonts w:cs="Times New Roman"/>
          <w:lang w:eastAsia="cs-CZ"/>
        </w:rPr>
        <w:t>Ostatní sektory</w:t>
      </w:r>
      <w:bookmarkEnd w:id="188"/>
      <w:bookmarkEnd w:id="189"/>
      <w:bookmarkEnd w:id="190"/>
    </w:p>
    <w:p w:rsidR="005B2AC9" w:rsidRPr="007E3D67" w:rsidRDefault="005B2AC9" w:rsidP="005B2AC9">
      <w:pPr>
        <w:rPr>
          <w:lang w:eastAsia="cs-CZ"/>
        </w:rPr>
      </w:pPr>
      <w:r w:rsidRPr="007E3D67">
        <w:rPr>
          <w:lang w:eastAsia="cs-CZ"/>
        </w:rPr>
        <w:t>Do silné finanční nestability se dostaly mnohé další velké firmy. Automobilový průmysl prochází jedním z nejhorších období vůbec. Prodeje se propadají a spotřebitelé se přeorientovávají ve svých potřebách. Poptávka po osobních automobilech v USA se konsoliduje s dlouhodobým trendem v EU. Spotřebitelé upouštějí od velkých dodávek se spotřebou paliva v průměru 15l/100 km a žádají automobily menší, technologicky vyspělejší a s nižší spotřebou. Na to některé americké automobilky nedokážou pružně zareagovat. Profit z této situace získávají především asijské automobilky, kterým jako jedním z mála mírně rostou tržby. Do problémů se dostali především General Motors a Chrysler, kterým musel pomoci stát prostřednictvím TARPu.</w:t>
      </w:r>
    </w:p>
    <w:p w:rsidR="005B2AC9" w:rsidRPr="007E3D67" w:rsidRDefault="005B2AC9" w:rsidP="005B2AC9">
      <w:pPr>
        <w:rPr>
          <w:lang w:eastAsia="cs-CZ"/>
        </w:rPr>
      </w:pPr>
    </w:p>
    <w:p w:rsidR="005B2AC9" w:rsidRPr="007E3D67" w:rsidRDefault="005B2AC9" w:rsidP="005B2AC9">
      <w:pPr>
        <w:rPr>
          <w:lang w:eastAsia="cs-CZ"/>
        </w:rPr>
      </w:pPr>
      <w:r w:rsidRPr="007E3D67">
        <w:rPr>
          <w:lang w:eastAsia="cs-CZ"/>
        </w:rPr>
        <w:lastRenderedPageBreak/>
        <w:t>S vysokými ztrátami se potýk</w:t>
      </w:r>
      <w:r w:rsidR="000C4412" w:rsidRPr="007E3D67">
        <w:rPr>
          <w:lang w:eastAsia="cs-CZ"/>
        </w:rPr>
        <w:t>al</w:t>
      </w:r>
      <w:r w:rsidRPr="007E3D67">
        <w:rPr>
          <w:lang w:eastAsia="cs-CZ"/>
        </w:rPr>
        <w:t xml:space="preserve"> i letecký průmysl. Pokles počtu cestujících a s tím spojený pokles tržeb v součinnosti s vysokými cenami paliva, se negativně projevil v cash – flow nejedné americké aerolinky. </w:t>
      </w:r>
    </w:p>
    <w:p w:rsidR="005B2AC9" w:rsidRPr="007E3D67" w:rsidRDefault="005B2AC9" w:rsidP="005B2AC9">
      <w:pPr>
        <w:rPr>
          <w:lang w:eastAsia="cs-CZ"/>
        </w:rPr>
      </w:pPr>
    </w:p>
    <w:p w:rsidR="005B2AC9" w:rsidRPr="007E3D67" w:rsidRDefault="005B2AC9" w:rsidP="005B2AC9">
      <w:pPr>
        <w:rPr>
          <w:lang w:eastAsia="cs-CZ"/>
        </w:rPr>
      </w:pPr>
    </w:p>
    <w:p w:rsidR="005B2AC9" w:rsidRPr="007E3D67" w:rsidRDefault="005B2AC9" w:rsidP="005B2AC9">
      <w:pPr>
        <w:rPr>
          <w:lang w:eastAsia="cs-CZ"/>
        </w:rPr>
      </w:pPr>
    </w:p>
    <w:p w:rsidR="005B2AC9" w:rsidRPr="007E3D67" w:rsidRDefault="005B2AC9" w:rsidP="005B2AC9">
      <w:pPr>
        <w:pStyle w:val="Nadpis1"/>
        <w:rPr>
          <w:lang w:val="cs-CZ"/>
        </w:rPr>
      </w:pPr>
      <w:bookmarkStart w:id="191" w:name="_Toc257807880"/>
      <w:bookmarkStart w:id="192" w:name="_Toc278920739"/>
      <w:bookmarkStart w:id="193" w:name="_Toc279696226"/>
      <w:r w:rsidRPr="007E3D67">
        <w:rPr>
          <w:lang w:val="cs-CZ"/>
        </w:rPr>
        <w:lastRenderedPageBreak/>
        <w:t>Dopady krize na českou ekonomiku</w:t>
      </w:r>
      <w:bookmarkEnd w:id="191"/>
      <w:bookmarkEnd w:id="192"/>
      <w:bookmarkEnd w:id="193"/>
    </w:p>
    <w:p w:rsidR="000C0270" w:rsidRPr="007E3D67" w:rsidRDefault="000C0270" w:rsidP="000C0270">
      <w:pPr>
        <w:pStyle w:val="Bodytext"/>
      </w:pPr>
      <w:r w:rsidRPr="007E3D67">
        <w:t xml:space="preserve">Tato kapitola pojednává o projevech ekonomické krize na českou ekonomiku. Obsahuje popis výchozí situace, srovnání s okolními ekonomikami v regionu. V další části této kapitoly je uveden graficky i slovně </w:t>
      </w:r>
      <w:r w:rsidR="001263C0" w:rsidRPr="007E3D67">
        <w:rPr>
          <w:i/>
        </w:rPr>
        <w:t>impact</w:t>
      </w:r>
      <w:r w:rsidRPr="007E3D67">
        <w:t xml:space="preserve"> začínající krize spojený s hospodářskou recesí a finanční nestabilitou.</w:t>
      </w:r>
      <w:r w:rsidR="001263C0" w:rsidRPr="007E3D67">
        <w:t xml:space="preserve"> Tento stručný rozbor je rozdělen do dvou sektorů, finančního a reálného.</w:t>
      </w:r>
    </w:p>
    <w:p w:rsidR="000C0270" w:rsidRPr="007E3D67" w:rsidRDefault="000C0270" w:rsidP="000C0270">
      <w:pPr>
        <w:pStyle w:val="Bodytext"/>
      </w:pPr>
    </w:p>
    <w:p w:rsidR="00E0741D" w:rsidRPr="007E3D67" w:rsidRDefault="00E0741D" w:rsidP="00E0741D">
      <w:pPr>
        <w:pStyle w:val="Nadpis2"/>
        <w:rPr>
          <w:rFonts w:cs="Times New Roman"/>
        </w:rPr>
      </w:pPr>
      <w:bookmarkStart w:id="194" w:name="_Toc278920740"/>
      <w:bookmarkStart w:id="195" w:name="_Toc279696227"/>
      <w:r w:rsidRPr="007E3D67">
        <w:rPr>
          <w:rFonts w:cs="Times New Roman"/>
        </w:rPr>
        <w:t>Česká ekonomika – rok 200</w:t>
      </w:r>
      <w:r w:rsidR="00BA49AE" w:rsidRPr="007E3D67">
        <w:rPr>
          <w:rFonts w:cs="Times New Roman"/>
        </w:rPr>
        <w:t>8</w:t>
      </w:r>
      <w:r w:rsidRPr="007E3D67">
        <w:rPr>
          <w:rFonts w:cs="Times New Roman"/>
        </w:rPr>
        <w:t xml:space="preserve"> a 200</w:t>
      </w:r>
      <w:r w:rsidR="00BA49AE" w:rsidRPr="007E3D67">
        <w:rPr>
          <w:rFonts w:cs="Times New Roman"/>
        </w:rPr>
        <w:t>9</w:t>
      </w:r>
      <w:bookmarkEnd w:id="194"/>
      <w:bookmarkEnd w:id="195"/>
    </w:p>
    <w:p w:rsidR="00E0741D" w:rsidRPr="007E3D67" w:rsidRDefault="00BA13FD" w:rsidP="00BA13FD">
      <w:pPr>
        <w:pStyle w:val="Bodytext"/>
      </w:pPr>
      <w:r w:rsidRPr="007E3D67">
        <w:t xml:space="preserve">Ekonomický vývoj v ČR vykazoval v </w:t>
      </w:r>
      <w:r w:rsidR="00E0741D" w:rsidRPr="007E3D67">
        <w:t>předchozích</w:t>
      </w:r>
      <w:r w:rsidRPr="007E3D67">
        <w:t xml:space="preserve"> letech charakteristiky společné s ostatními zeměmi regionu: hospodářský růst rychlejší ne</w:t>
      </w:r>
      <w:r w:rsidR="00E0741D" w:rsidRPr="007E3D67">
        <w:t>ž</w:t>
      </w:r>
      <w:r w:rsidRPr="007E3D67">
        <w:t xml:space="preserve"> v zemích eurozóny, při klesající nezaměstnanosti, </w:t>
      </w:r>
      <w:r w:rsidR="00E0741D" w:rsidRPr="007E3D67">
        <w:t>poháněný</w:t>
      </w:r>
      <w:r w:rsidRPr="007E3D67">
        <w:t xml:space="preserve"> především vnější poptávkou a s deficity financovanými především z vnějších zdrojů. Základní makroekonomické parametry úspěšně konvergovaly k maastrichtským kriteriím a otázka vstupu do eurozóny se a</w:t>
      </w:r>
      <w:r w:rsidR="00E0741D" w:rsidRPr="007E3D67">
        <w:t>ž</w:t>
      </w:r>
      <w:r w:rsidRPr="007E3D67">
        <w:t xml:space="preserve"> do poloviny roku 2008 jevila jako rozhodnutí podmíněné širšími politickými souvislostmi a volbou vhodného okam</w:t>
      </w:r>
      <w:r w:rsidR="00E0741D" w:rsidRPr="007E3D67">
        <w:t>ž</w:t>
      </w:r>
      <w:r w:rsidR="00B768A8" w:rsidRPr="007E3D67">
        <w:t xml:space="preserve">iku pro zafixování kurzu </w:t>
      </w:r>
      <w:r w:rsidRPr="007E3D67">
        <w:t>K</w:t>
      </w:r>
      <w:r w:rsidR="00B768A8" w:rsidRPr="007E3D67">
        <w:t>č</w:t>
      </w:r>
      <w:r w:rsidRPr="007E3D67">
        <w:t xml:space="preserve"> k euru. </w:t>
      </w:r>
    </w:p>
    <w:p w:rsidR="00E0741D" w:rsidRPr="007E3D67" w:rsidRDefault="00E0741D" w:rsidP="00BA13FD">
      <w:pPr>
        <w:pStyle w:val="Bodytext"/>
      </w:pPr>
    </w:p>
    <w:p w:rsidR="007B6B04" w:rsidRPr="007E3D67" w:rsidRDefault="00BA13FD" w:rsidP="007B6B04">
      <w:pPr>
        <w:pStyle w:val="Bodytext"/>
      </w:pPr>
      <w:r w:rsidRPr="007E3D67">
        <w:t>V posledním desetiletí byly v ČR pro zahraniční investory systémově zajištěny poměrně rozsáhlé investiční pobídky. Přímé zahraniční investice</w:t>
      </w:r>
      <w:r w:rsidR="007B6B04" w:rsidRPr="007E3D67">
        <w:t xml:space="preserve"> se</w:t>
      </w:r>
      <w:r w:rsidRPr="007E3D67">
        <w:t xml:space="preserve"> jistě</w:t>
      </w:r>
      <w:r w:rsidR="007B6B04" w:rsidRPr="007E3D67">
        <w:t xml:space="preserve"> pozitivně</w:t>
      </w:r>
      <w:r w:rsidRPr="007E3D67">
        <w:t xml:space="preserve"> </w:t>
      </w:r>
      <w:r w:rsidR="007B6B04" w:rsidRPr="007E3D67">
        <w:t>podílely na n</w:t>
      </w:r>
      <w:r w:rsidRPr="007E3D67">
        <w:t>edávném ekonomickém vývoji (a na konci 90. let přispěly i k rychlé makroekonomické stabilizaci po krátké krizi let 1997–1998). Po roce 2003 byly však investiční pobídky a</w:t>
      </w:r>
      <w:r w:rsidR="007B6B04" w:rsidRPr="007E3D67">
        <w:t>ž</w:t>
      </w:r>
      <w:r w:rsidRPr="007E3D67">
        <w:t xml:space="preserve"> příliš rozsáhlé a sp</w:t>
      </w:r>
      <w:r w:rsidR="007B6B04" w:rsidRPr="007E3D67">
        <w:t>olečně</w:t>
      </w:r>
      <w:r w:rsidRPr="007E3D67">
        <w:t xml:space="preserve"> s dlouhodobými českými komparativními výhodami ve vybraných oblastech zpracovatelského průmyslu a hlavně při </w:t>
      </w:r>
      <w:r w:rsidR="009571B1" w:rsidRPr="007E3D67">
        <w:t xml:space="preserve">relativně levné </w:t>
      </w:r>
      <w:r w:rsidRPr="007E3D67">
        <w:t>české pracovní síle vedly ke koncentraci českého průmyslu do několika málo vybraných segmentů, především do automobilového průmyslu a na něj navazujících</w:t>
      </w:r>
      <w:r w:rsidR="007B6B04" w:rsidRPr="007E3D67">
        <w:t xml:space="preserve"> výrob. </w:t>
      </w:r>
      <w:r w:rsidR="009571B1" w:rsidRPr="007E3D67">
        <w:t>K</w:t>
      </w:r>
      <w:r w:rsidR="007B6B04" w:rsidRPr="007E3D67">
        <w:t xml:space="preserve">rizí </w:t>
      </w:r>
      <w:r w:rsidR="009571B1" w:rsidRPr="007E3D67">
        <w:t>byly</w:t>
      </w:r>
      <w:r w:rsidR="007B6B04" w:rsidRPr="007E3D67">
        <w:t xml:space="preserve"> zasa</w:t>
      </w:r>
      <w:r w:rsidR="009571B1" w:rsidRPr="007E3D67">
        <w:t>ž</w:t>
      </w:r>
      <w:r w:rsidR="007B6B04" w:rsidRPr="007E3D67">
        <w:t>eny i sektory bez investičních pobídek, avšak dopad na automobilový průmysl je typickým asymetrickým vnějším šokem, který</w:t>
      </w:r>
      <w:r w:rsidR="009571B1" w:rsidRPr="007E3D67">
        <w:t xml:space="preserve"> výrazně přispěl ke zhoršení </w:t>
      </w:r>
      <w:r w:rsidR="007B6B04" w:rsidRPr="007E3D67">
        <w:t>ekonomick</w:t>
      </w:r>
      <w:r w:rsidR="009571B1" w:rsidRPr="007E3D67">
        <w:t>é</w:t>
      </w:r>
      <w:r w:rsidR="007B6B04" w:rsidRPr="007E3D67">
        <w:t xml:space="preserve"> situac</w:t>
      </w:r>
      <w:r w:rsidR="009571B1" w:rsidRPr="007E3D67">
        <w:t>e ČR.</w:t>
      </w:r>
    </w:p>
    <w:p w:rsidR="009571B1" w:rsidRPr="007E3D67" w:rsidRDefault="009571B1" w:rsidP="007B6B04">
      <w:pPr>
        <w:pStyle w:val="Bodytext"/>
      </w:pPr>
    </w:p>
    <w:p w:rsidR="005456A7" w:rsidRPr="007E3D67" w:rsidRDefault="007B6B04" w:rsidP="007B6B04">
      <w:pPr>
        <w:pStyle w:val="Bodytext"/>
      </w:pPr>
      <w:r w:rsidRPr="007E3D67">
        <w:lastRenderedPageBreak/>
        <w:t xml:space="preserve">V období, kdy soukromé investice do vybraných sektorů procházely rychlým růstem, </w:t>
      </w:r>
      <w:r w:rsidR="009571B1" w:rsidRPr="007E3D67">
        <w:t xml:space="preserve">zaostávaly </w:t>
      </w:r>
      <w:r w:rsidRPr="007E3D67">
        <w:t xml:space="preserve">domácí investice do oblastí, </w:t>
      </w:r>
      <w:r w:rsidR="009571B1" w:rsidRPr="007E3D67">
        <w:t>které</w:t>
      </w:r>
      <w:r w:rsidRPr="007E3D67">
        <w:t xml:space="preserve"> </w:t>
      </w:r>
      <w:r w:rsidR="009571B1" w:rsidRPr="007E3D67">
        <w:t>mají</w:t>
      </w:r>
      <w:r w:rsidRPr="007E3D67">
        <w:t xml:space="preserve"> význam pro dlouhodobý ekonomický růst, tedy do vzdělání a vědy a výzkumu. Soukromé investice (především ty zahraniční) a výdaje na vzdělání a výzkum (tedy veřejná spotřeba) spolu sice přímo nesouvisejí</w:t>
      </w:r>
      <w:r w:rsidR="005456A7" w:rsidRPr="007E3D67">
        <w:t>. Nicméně nevyužití období rychlého přílivu investic a růstu k posílení dlouhodobých růstových faktorů se jeví jako chybné</w:t>
      </w:r>
      <w:r w:rsidR="00B86A5F" w:rsidRPr="007E3D67">
        <w:t>.</w:t>
      </w:r>
    </w:p>
    <w:p w:rsidR="005456A7" w:rsidRPr="007E3D67" w:rsidRDefault="005456A7" w:rsidP="007B6B04">
      <w:pPr>
        <w:pStyle w:val="Bodytext"/>
      </w:pPr>
    </w:p>
    <w:p w:rsidR="007B6B04" w:rsidRPr="007E3D67" w:rsidRDefault="007B6B04" w:rsidP="007B6B04">
      <w:pPr>
        <w:pStyle w:val="Bodytext"/>
      </w:pPr>
      <w:r w:rsidRPr="007E3D67">
        <w:t>Od září 2008 dopad</w:t>
      </w:r>
      <w:r w:rsidR="005456A7" w:rsidRPr="007E3D67">
        <w:t>la</w:t>
      </w:r>
      <w:r w:rsidRPr="007E3D67">
        <w:t xml:space="preserve"> ekonomická a finanční krize na českou ekonomiku podobným způsobem jako na ostatní země střední a východní Evropy. ČR čelila jak vnějšímu šoku v podobě poklesu zahraniční poptávky po </w:t>
      </w:r>
      <w:r w:rsidR="00E84FDF" w:rsidRPr="007E3D67">
        <w:t>exportu</w:t>
      </w:r>
      <w:r w:rsidRPr="007E3D67">
        <w:t>, tak důsledkům destabilizace jiných zemí v regionu a z ní vyplývající nejistoty ohledně udr</w:t>
      </w:r>
      <w:r w:rsidR="005456A7" w:rsidRPr="007E3D67">
        <w:t>ž</w:t>
      </w:r>
      <w:r w:rsidRPr="007E3D67">
        <w:t>itelnosti a fina</w:t>
      </w:r>
      <w:r w:rsidR="005456A7" w:rsidRPr="007E3D67">
        <w:t>n</w:t>
      </w:r>
      <w:r w:rsidRPr="007E3D67">
        <w:t xml:space="preserve">covatelnosti </w:t>
      </w:r>
      <w:r w:rsidR="00B86A5F" w:rsidRPr="007E3D67">
        <w:t xml:space="preserve">deficitu a státního </w:t>
      </w:r>
      <w:r w:rsidRPr="007E3D67">
        <w:t xml:space="preserve">dluhu. </w:t>
      </w:r>
      <w:r w:rsidR="00B86A5F" w:rsidRPr="007E3D67">
        <w:t>Č</w:t>
      </w:r>
      <w:r w:rsidRPr="007E3D67">
        <w:t xml:space="preserve">eská ekonomika ve srovnání se všemi zeměmi regionu jevila od počátku </w:t>
      </w:r>
      <w:r w:rsidRPr="00111805">
        <w:rPr>
          <w:color w:val="auto"/>
        </w:rPr>
        <w:t>krize jako nej</w:t>
      </w:r>
      <w:r w:rsidR="00B86A5F" w:rsidRPr="00111805">
        <w:rPr>
          <w:color w:val="auto"/>
        </w:rPr>
        <w:t>více odolná</w:t>
      </w:r>
      <w:r w:rsidRPr="00111805">
        <w:rPr>
          <w:color w:val="auto"/>
        </w:rPr>
        <w:t xml:space="preserve">: stabilní bankovní sektor, bez rizikových investic do sekuritizovaných instrumentů a s nízkým podílem </w:t>
      </w:r>
      <w:r w:rsidR="00B86A5F" w:rsidRPr="00111805">
        <w:rPr>
          <w:color w:val="auto"/>
        </w:rPr>
        <w:t>toxických</w:t>
      </w:r>
      <w:r w:rsidRPr="00111805">
        <w:rPr>
          <w:color w:val="auto"/>
        </w:rPr>
        <w:t xml:space="preserve"> aktiv, </w:t>
      </w:r>
      <w:r w:rsidR="00B86A5F" w:rsidRPr="00111805">
        <w:rPr>
          <w:color w:val="auto"/>
        </w:rPr>
        <w:t xml:space="preserve">relativně </w:t>
      </w:r>
      <w:r w:rsidRPr="00111805">
        <w:rPr>
          <w:color w:val="auto"/>
        </w:rPr>
        <w:t>nízký zahraniční dluh</w:t>
      </w:r>
      <w:r w:rsidR="00BA49AE" w:rsidRPr="00111805">
        <w:rPr>
          <w:color w:val="auto"/>
        </w:rPr>
        <w:t>.</w:t>
      </w:r>
      <w:r w:rsidRPr="00111805">
        <w:rPr>
          <w:color w:val="auto"/>
        </w:rPr>
        <w:t xml:space="preserve"> Koncem roku 2008 došlo k určité stabilizaci a depreciace měn alespoň z části zmírnila dopady do reálné ekonomiky. Nárůst produkční mezery a pokles cen surovin na světových trzích</w:t>
      </w:r>
      <w:r w:rsidRPr="007E3D67">
        <w:t xml:space="preserve"> také téměř zastavil přenos depreciací národních měn do inflace, která zůstává velmi nízká.</w:t>
      </w:r>
    </w:p>
    <w:p w:rsidR="00BA49AE" w:rsidRPr="007E3D67" w:rsidRDefault="00BA49AE" w:rsidP="007B6B04">
      <w:pPr>
        <w:pStyle w:val="Bodytext"/>
      </w:pPr>
    </w:p>
    <w:p w:rsidR="00BA49AE" w:rsidRPr="007E3D67" w:rsidRDefault="007B6B04" w:rsidP="007B6B04">
      <w:pPr>
        <w:pStyle w:val="Bodytext"/>
      </w:pPr>
      <w:r w:rsidRPr="007E3D67">
        <w:t xml:space="preserve">V prvních měsících roku 2009 </w:t>
      </w:r>
      <w:r w:rsidR="0059075C" w:rsidRPr="007E3D67">
        <w:t xml:space="preserve">došlo k náhlému nárůstu </w:t>
      </w:r>
      <w:r w:rsidRPr="007E3D67">
        <w:t>nervozit</w:t>
      </w:r>
      <w:r w:rsidR="0059075C" w:rsidRPr="007E3D67">
        <w:t>y</w:t>
      </w:r>
      <w:r w:rsidRPr="007E3D67">
        <w:t xml:space="preserve"> na finančních trzích, které nebyly v krátkém období schopny (a ochotny) rozlišovat mezi jednotlivými zeměmi našeho regionu. </w:t>
      </w:r>
      <w:r w:rsidR="0059075C" w:rsidRPr="007E3D67">
        <w:t>Faktorem určujícím k</w:t>
      </w:r>
      <w:r w:rsidRPr="007E3D67">
        <w:t>rátkodobé postavení jednotlivých zemí střední a východní Evropy</w:t>
      </w:r>
      <w:r w:rsidR="0059075C" w:rsidRPr="007E3D67">
        <w:t>, byla s</w:t>
      </w:r>
      <w:r w:rsidRPr="007E3D67">
        <w:t>ituac</w:t>
      </w:r>
      <w:r w:rsidR="0059075C" w:rsidRPr="007E3D67">
        <w:t>e</w:t>
      </w:r>
      <w:r w:rsidRPr="007E3D67">
        <w:t xml:space="preserve"> v nejproblematičtějších ekonomikách, včetně zemí mimo EU (Ukrajina, Turecko). Po uklidnění prvotní hysterie</w:t>
      </w:r>
      <w:r w:rsidR="0059075C" w:rsidRPr="007E3D67">
        <w:t>, následně díky</w:t>
      </w:r>
      <w:r w:rsidRPr="007E3D67">
        <w:t xml:space="preserve"> jak </w:t>
      </w:r>
      <w:r w:rsidR="0059075C" w:rsidRPr="007E3D67">
        <w:t>koordinovaným</w:t>
      </w:r>
      <w:r w:rsidRPr="007E3D67">
        <w:t xml:space="preserve"> kroků</w:t>
      </w:r>
      <w:r w:rsidR="0059075C" w:rsidRPr="007E3D67">
        <w:t>m</w:t>
      </w:r>
      <w:r w:rsidRPr="007E3D67">
        <w:t xml:space="preserve"> některých centrálních bank regionu (včetně ČNB), tak vládních politik </w:t>
      </w:r>
      <w:r w:rsidR="0059075C" w:rsidRPr="007E3D67">
        <w:t>byla</w:t>
      </w:r>
      <w:r w:rsidRPr="007E3D67">
        <w:t xml:space="preserve"> od</w:t>
      </w:r>
      <w:r w:rsidR="00BA49AE" w:rsidRPr="007E3D67">
        <w:t xml:space="preserve"> </w:t>
      </w:r>
      <w:r w:rsidR="00BA49AE" w:rsidRPr="007E3D67">
        <w:rPr>
          <w:sz w:val="23"/>
          <w:szCs w:val="23"/>
        </w:rPr>
        <w:t>dubna 2009 situace pro Č</w:t>
      </w:r>
      <w:r w:rsidR="0059075C" w:rsidRPr="007E3D67">
        <w:rPr>
          <w:sz w:val="23"/>
          <w:szCs w:val="23"/>
        </w:rPr>
        <w:t xml:space="preserve">R </w:t>
      </w:r>
      <w:r w:rsidR="00BA49AE" w:rsidRPr="007E3D67">
        <w:rPr>
          <w:sz w:val="23"/>
          <w:szCs w:val="23"/>
        </w:rPr>
        <w:t xml:space="preserve">stabilizovaná, bez rizika náhlé zástavy. </w:t>
      </w:r>
    </w:p>
    <w:p w:rsidR="00BA49AE" w:rsidRPr="007E3D67" w:rsidRDefault="00BA49AE" w:rsidP="007B6B04">
      <w:pPr>
        <w:pStyle w:val="Bodytext"/>
      </w:pPr>
    </w:p>
    <w:p w:rsidR="005B2AC9" w:rsidRPr="007E3D67" w:rsidRDefault="005B2AC9" w:rsidP="001263C0">
      <w:pPr>
        <w:pStyle w:val="Nadpis2"/>
        <w:rPr>
          <w:rFonts w:cs="Times New Roman"/>
        </w:rPr>
      </w:pPr>
      <w:bookmarkStart w:id="196" w:name="_Toc257807881"/>
      <w:bookmarkStart w:id="197" w:name="_Toc278920741"/>
      <w:bookmarkStart w:id="198" w:name="_Toc279696228"/>
      <w:r w:rsidRPr="007E3D67">
        <w:rPr>
          <w:rFonts w:cs="Times New Roman"/>
        </w:rPr>
        <w:t>Finanční sektor</w:t>
      </w:r>
      <w:bookmarkEnd w:id="196"/>
      <w:bookmarkEnd w:id="197"/>
      <w:bookmarkEnd w:id="198"/>
    </w:p>
    <w:p w:rsidR="003D7ECF" w:rsidRDefault="00E4049B" w:rsidP="003D7ECF">
      <w:pPr>
        <w:pStyle w:val="Bodytext"/>
      </w:pPr>
      <w:r>
        <w:t>Jak se uvádí v zátěžových testech bankovních domů v ČR (VÝSLEDEK ZÁTĚŽOVÝCH TESTŮ BANKOVNÍHO SEKTORU ČR 2010)</w:t>
      </w:r>
      <w:r>
        <w:rPr>
          <w:lang w:eastAsia="cs-CZ"/>
        </w:rPr>
        <w:t>,</w:t>
      </w:r>
      <w:r w:rsidRPr="007E3D67">
        <w:t xml:space="preserve"> </w:t>
      </w:r>
      <w:r>
        <w:t>f</w:t>
      </w:r>
      <w:r w:rsidR="00DB5A53" w:rsidRPr="007E3D67">
        <w:t>inanční sektor v</w:t>
      </w:r>
      <w:r w:rsidR="00844B9A" w:rsidRPr="007E3D67">
        <w:t> </w:t>
      </w:r>
      <w:r w:rsidR="00DB5A53" w:rsidRPr="007E3D67">
        <w:t>ČR</w:t>
      </w:r>
      <w:r w:rsidR="00844B9A" w:rsidRPr="007E3D67">
        <w:t xml:space="preserve"> je</w:t>
      </w:r>
      <w:r w:rsidR="00DB5A53" w:rsidRPr="007E3D67">
        <w:t xml:space="preserve"> výrazně dominován bankami. Jak je patrné z</w:t>
      </w:r>
      <w:r w:rsidR="002933A2" w:rsidRPr="007E3D67">
        <w:t> obr. 22</w:t>
      </w:r>
      <w:r w:rsidR="00DB5A53" w:rsidRPr="007E3D67">
        <w:t xml:space="preserve"> majoritní podíl na aktivech finančního trhu v ČR mají </w:t>
      </w:r>
      <w:r w:rsidR="00DB5A53" w:rsidRPr="007E3D67">
        <w:lastRenderedPageBreak/>
        <w:t xml:space="preserve">v držení právě bankovní domy. Proto bude </w:t>
      </w:r>
      <w:r w:rsidR="00DB5A53" w:rsidRPr="007E3D67">
        <w:rPr>
          <w:i/>
        </w:rPr>
        <w:t>scope</w:t>
      </w:r>
      <w:r w:rsidR="00DB5A53" w:rsidRPr="007E3D67">
        <w:t xml:space="preserve"> této subkapitoly věnován převážně </w:t>
      </w:r>
      <w:r w:rsidR="007359BB" w:rsidRPr="007E3D67">
        <w:t>těmto institucím</w:t>
      </w:r>
      <w:r w:rsidR="007242A2" w:rsidRPr="007E3D67">
        <w:t>.</w:t>
      </w:r>
    </w:p>
    <w:p w:rsidR="00093386" w:rsidRPr="007E3D67" w:rsidRDefault="00093386" w:rsidP="003D7ECF">
      <w:pPr>
        <w:pStyle w:val="Bodytext"/>
      </w:pPr>
    </w:p>
    <w:p w:rsidR="00DB5A53" w:rsidRPr="007E3D67" w:rsidRDefault="00C80E6E" w:rsidP="00AB317A">
      <w:pPr>
        <w:pStyle w:val="CaptionIntroductionparagraph"/>
      </w:pPr>
      <w:bookmarkStart w:id="199" w:name="_Toc279307153"/>
      <w:bookmarkStart w:id="200" w:name="_Toc279438634"/>
      <w:bookmarkStart w:id="201" w:name="_Toc279696268"/>
      <w:bookmarkStart w:id="202" w:name="_Toc279696357"/>
      <w:r w:rsidRPr="007E3D67">
        <w:t>Obr. 22:</w:t>
      </w:r>
      <w:r w:rsidR="00DB5A53" w:rsidRPr="007E3D67">
        <w:t xml:space="preserve"> Podíly na aktivech finančního sektoru (v %, v roce 2008)</w:t>
      </w:r>
      <w:bookmarkEnd w:id="199"/>
      <w:bookmarkEnd w:id="200"/>
      <w:bookmarkEnd w:id="201"/>
      <w:bookmarkEnd w:id="202"/>
    </w:p>
    <w:p w:rsidR="00DB5A53" w:rsidRPr="007E3D67" w:rsidRDefault="00DB5A53" w:rsidP="003D7ECF">
      <w:pPr>
        <w:pStyle w:val="Bodytext"/>
      </w:pPr>
      <w:r w:rsidRPr="007E3D67">
        <w:rPr>
          <w:noProof/>
          <w:lang w:eastAsia="cs-CZ"/>
        </w:rPr>
        <w:drawing>
          <wp:inline distT="0" distB="0" distL="0" distR="0">
            <wp:extent cx="5457825" cy="3200400"/>
            <wp:effectExtent l="19050" t="0" r="9525" b="0"/>
            <wp:docPr id="2"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DB5A53" w:rsidRPr="007E3D67" w:rsidRDefault="00DB5A53" w:rsidP="00DB5A53">
      <w:pPr>
        <w:rPr>
          <w:i/>
          <w:sz w:val="20"/>
        </w:rPr>
      </w:pPr>
      <w:r w:rsidRPr="007E3D67">
        <w:rPr>
          <w:i/>
          <w:sz w:val="20"/>
        </w:rPr>
        <w:t>Zdroj: Data – Česká národní banka,</w:t>
      </w:r>
      <w:r w:rsidRPr="007E3D67">
        <w:t xml:space="preserve"> </w:t>
      </w:r>
      <w:r w:rsidRPr="007E3D67">
        <w:rPr>
          <w:i/>
          <w:sz w:val="20"/>
        </w:rPr>
        <w:t xml:space="preserve">http://www.cnb.cz, </w:t>
      </w:r>
      <w:r w:rsidR="00C80E6E" w:rsidRPr="007E3D67">
        <w:rPr>
          <w:i/>
          <w:sz w:val="20"/>
        </w:rPr>
        <w:t>Obrázek</w:t>
      </w:r>
      <w:r w:rsidRPr="007E3D67">
        <w:rPr>
          <w:i/>
          <w:sz w:val="20"/>
        </w:rPr>
        <w:t>: Vlastní konstrukce.</w:t>
      </w:r>
    </w:p>
    <w:p w:rsidR="00DB5A53" w:rsidRPr="007E3D67" w:rsidRDefault="00DB5A53" w:rsidP="003D7ECF">
      <w:pPr>
        <w:pStyle w:val="Bodytext"/>
      </w:pPr>
    </w:p>
    <w:p w:rsidR="009E7DDB" w:rsidRPr="007E3D67" w:rsidRDefault="009E7DDB" w:rsidP="009E7DDB">
      <w:pPr>
        <w:pStyle w:val="Bodytext"/>
        <w:rPr>
          <w:b/>
        </w:rPr>
      </w:pPr>
      <w:bookmarkStart w:id="203" w:name="_Toc257807882"/>
      <w:r w:rsidRPr="007E3D67">
        <w:rPr>
          <w:b/>
        </w:rPr>
        <w:t>Výchozí situace tuzemského finančního (bankovního) sektoru na začátku krize</w:t>
      </w:r>
      <w:bookmarkEnd w:id="203"/>
    </w:p>
    <w:p w:rsidR="009E7DDB" w:rsidRPr="007E3D67" w:rsidRDefault="009E7DDB" w:rsidP="003D7ECF">
      <w:pPr>
        <w:pStyle w:val="Bodytext"/>
      </w:pPr>
    </w:p>
    <w:p w:rsidR="005B2AC9" w:rsidRDefault="001650B2" w:rsidP="003D7ECF">
      <w:pPr>
        <w:pStyle w:val="Bodytext"/>
      </w:pPr>
      <w:r w:rsidRPr="007E3D67">
        <w:t>Na trhu</w:t>
      </w:r>
      <w:r w:rsidR="000D1CD7" w:rsidRPr="007E3D67">
        <w:t xml:space="preserve"> v</w:t>
      </w:r>
      <w:r w:rsidRPr="007E3D67">
        <w:t xml:space="preserve"> ČR převládal přebytek likvidity, ČNB stahovala peníze z oběhu. Finanční sektor ČR se </w:t>
      </w:r>
      <w:r w:rsidR="000D1CD7" w:rsidRPr="007E3D67">
        <w:t xml:space="preserve">dodnes </w:t>
      </w:r>
      <w:r w:rsidRPr="007E3D67">
        <w:t xml:space="preserve">vyznačuje relativní izolovaností, </w:t>
      </w:r>
      <w:r w:rsidR="00E64D31" w:rsidRPr="007E3D67">
        <w:t xml:space="preserve">přesto </w:t>
      </w:r>
      <w:r w:rsidRPr="007E3D67">
        <w:t>má dostatek zdrojů pro</w:t>
      </w:r>
      <w:r w:rsidR="00E64D31" w:rsidRPr="007E3D67">
        <w:t xml:space="preserve"> poskytování úvěrů z primárních vkladů. Od počátku samostatné ČR se dá hovořit o fungování sektoru v tradičním konzervativním modelu, v průběhu transformace existoval dostatek příležitostí k růstu. Dalším aspektem utvářejícím pozici bankovního sektoru byl nízký </w:t>
      </w:r>
      <w:r w:rsidR="000D1CD7" w:rsidRPr="007E3D67">
        <w:t>počet</w:t>
      </w:r>
      <w:r w:rsidR="00E64D31" w:rsidRPr="007E3D67">
        <w:t xml:space="preserve"> nesplácených úvěrů ve spojitosti se zanedbatelným podílem toxických aktiv (méně než 1% z celkového objemu aktiv)</w:t>
      </w:r>
      <w:r w:rsidR="000D1CD7" w:rsidRPr="007E3D67">
        <w:t>.</w:t>
      </w:r>
      <w:r w:rsidR="00FD162B" w:rsidRPr="007E3D67">
        <w:t xml:space="preserve"> České domácnosti měly nulový podíl úvěrů v cizích měnách. U firem je tento podíl roven 19% z celkového objemu úvěrů. </w:t>
      </w:r>
      <w:r w:rsidR="000D1CD7" w:rsidRPr="007E3D67">
        <w:t>Díky již zmiňované izolovanosti, banky neposkytovaly ve větší míře úvěry v cizích měnách. Bankovní sektor byl (a je) dobře kapitalizovaný a vysoce ziskový</w:t>
      </w:r>
      <w:r w:rsidR="005B2AC9" w:rsidRPr="007E3D67">
        <w:t>.</w:t>
      </w:r>
      <w:r w:rsidR="000D1CD7" w:rsidRPr="007E3D67">
        <w:t xml:space="preserve"> Lze tedy postulovat, že f</w:t>
      </w:r>
      <w:r w:rsidR="005B2AC9" w:rsidRPr="007E3D67">
        <w:t>inanční systém v ČR byl relativně málo zranitelný</w:t>
      </w:r>
      <w:r w:rsidR="000D1CD7" w:rsidRPr="007E3D67">
        <w:t>,</w:t>
      </w:r>
      <w:r w:rsidR="005B2AC9" w:rsidRPr="007E3D67">
        <w:t xml:space="preserve"> </w:t>
      </w:r>
      <w:r w:rsidR="000D1CD7" w:rsidRPr="007E3D67">
        <w:t>p</w:t>
      </w:r>
      <w:r w:rsidR="005B2AC9" w:rsidRPr="007E3D67">
        <w:t>římé dopady finanční krize proto nebyly závažné.</w:t>
      </w:r>
    </w:p>
    <w:p w:rsidR="00C8448D" w:rsidRDefault="00C8448D" w:rsidP="003D7ECF">
      <w:pPr>
        <w:pStyle w:val="Bodytext"/>
      </w:pPr>
      <w:r>
        <w:t>(BANKY VYČKÁVAJÍ A SÁZÍ NA JISTOTU 201</w:t>
      </w:r>
      <w:r w:rsidR="00647BBE">
        <w:t>0</w:t>
      </w:r>
      <w:r>
        <w:t>)</w:t>
      </w:r>
    </w:p>
    <w:p w:rsidR="00C8448D" w:rsidRPr="007E3D67" w:rsidRDefault="00C8448D" w:rsidP="003D7ECF">
      <w:pPr>
        <w:pStyle w:val="Bodytext"/>
      </w:pPr>
    </w:p>
    <w:p w:rsidR="005B2AC9" w:rsidRPr="007E3D67" w:rsidRDefault="005B2AC9" w:rsidP="005B2AC9"/>
    <w:p w:rsidR="005B2AC9" w:rsidRPr="007E3D67" w:rsidRDefault="00C80E6E" w:rsidP="00AB317A">
      <w:pPr>
        <w:pStyle w:val="CaptionIntroductionparagraph"/>
      </w:pPr>
      <w:bookmarkStart w:id="204" w:name="_Toc279307154"/>
      <w:bookmarkStart w:id="205" w:name="_Toc279438635"/>
      <w:bookmarkStart w:id="206" w:name="_Toc279696269"/>
      <w:bookmarkStart w:id="207" w:name="_Toc279696358"/>
      <w:r w:rsidRPr="007E3D67">
        <w:t>Obr. 23</w:t>
      </w:r>
      <w:r w:rsidR="005B2AC9" w:rsidRPr="007E3D67">
        <w:t>: Poměr primárních vkladů k úvěrům ve vybraných zemích EU (v %, rezidentské úvěry a vklady, nebankovní subjekty v roce 2008)</w:t>
      </w:r>
      <w:bookmarkEnd w:id="204"/>
      <w:bookmarkEnd w:id="205"/>
      <w:bookmarkEnd w:id="206"/>
      <w:bookmarkEnd w:id="207"/>
    </w:p>
    <w:p w:rsidR="005B2AC9" w:rsidRPr="007E3D67" w:rsidRDefault="005B2AC9" w:rsidP="005B2AC9">
      <w:r w:rsidRPr="007E3D67">
        <w:rPr>
          <w:noProof/>
          <w:lang w:eastAsia="cs-CZ"/>
        </w:rPr>
        <w:drawing>
          <wp:inline distT="0" distB="0" distL="0" distR="0">
            <wp:extent cx="5486400" cy="3200400"/>
            <wp:effectExtent l="19050" t="0" r="19050" b="0"/>
            <wp:docPr id="3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5B2AC9" w:rsidRPr="007E3D67" w:rsidRDefault="005B2AC9" w:rsidP="005B2AC9">
      <w:pPr>
        <w:rPr>
          <w:i/>
          <w:sz w:val="20"/>
        </w:rPr>
      </w:pPr>
      <w:r w:rsidRPr="007E3D67">
        <w:rPr>
          <w:i/>
          <w:sz w:val="20"/>
        </w:rPr>
        <w:t>Zdroj: Data – European Central Bank,</w:t>
      </w:r>
      <w:r w:rsidRPr="007E3D67">
        <w:t xml:space="preserve"> </w:t>
      </w:r>
      <w:r w:rsidRPr="007E3D67">
        <w:rPr>
          <w:i/>
          <w:sz w:val="20"/>
        </w:rPr>
        <w:t xml:space="preserve">http://www.ecb.europa.eu, </w:t>
      </w:r>
      <w:r w:rsidR="00C80E6E" w:rsidRPr="007E3D67">
        <w:rPr>
          <w:i/>
          <w:sz w:val="20"/>
        </w:rPr>
        <w:t>Obrázek</w:t>
      </w:r>
      <w:r w:rsidRPr="007E3D67">
        <w:rPr>
          <w:i/>
          <w:sz w:val="20"/>
        </w:rPr>
        <w:t>: Vlastní konstrukce.</w:t>
      </w:r>
    </w:p>
    <w:p w:rsidR="005B2AC9" w:rsidRPr="007E3D67" w:rsidRDefault="005B2AC9" w:rsidP="005B2AC9">
      <w:pPr>
        <w:rPr>
          <w:i/>
          <w:sz w:val="20"/>
        </w:rPr>
      </w:pPr>
    </w:p>
    <w:p w:rsidR="005B2AC9" w:rsidRPr="007E3D67" w:rsidRDefault="005B2AC9" w:rsidP="005B2AC9">
      <w:pPr>
        <w:pStyle w:val="Bodytext"/>
      </w:pPr>
      <w:r w:rsidRPr="007E3D67">
        <w:t>Z</w:t>
      </w:r>
      <w:r w:rsidR="00C80E6E" w:rsidRPr="007E3D67">
        <w:t> obr. 23</w:t>
      </w:r>
      <w:r w:rsidR="00DD7266" w:rsidRPr="007E3D67">
        <w:t xml:space="preserve"> </w:t>
      </w:r>
      <w:r w:rsidRPr="007E3D67">
        <w:t>je patrné, že poměr depozit k úvěrům byl v ČR v roce 2008 na hodnotě přesahující průměr EU. Z toho je zřejmá silná bilanční likvidita bankovního sektoru a nízká míra zadluženosti rezidentů v ČR.</w:t>
      </w:r>
    </w:p>
    <w:p w:rsidR="00AB317A" w:rsidRPr="007E3D67" w:rsidRDefault="00AB317A" w:rsidP="005B2AC9">
      <w:pPr>
        <w:pStyle w:val="Bodytext"/>
      </w:pPr>
    </w:p>
    <w:p w:rsidR="00AB317A" w:rsidRPr="007E3D67" w:rsidRDefault="00AB317A" w:rsidP="005B2AC9">
      <w:pPr>
        <w:pStyle w:val="Bodytext"/>
      </w:pPr>
    </w:p>
    <w:p w:rsidR="00AB317A" w:rsidRPr="007E3D67" w:rsidRDefault="00AB317A" w:rsidP="005B2AC9">
      <w:pPr>
        <w:pStyle w:val="Bodytext"/>
      </w:pPr>
    </w:p>
    <w:p w:rsidR="00AB317A" w:rsidRPr="007E3D67" w:rsidRDefault="00AB317A" w:rsidP="005B2AC9">
      <w:pPr>
        <w:pStyle w:val="Bodytext"/>
      </w:pPr>
    </w:p>
    <w:p w:rsidR="00AB317A" w:rsidRPr="007E3D67" w:rsidRDefault="00AB317A" w:rsidP="005B2AC9">
      <w:pPr>
        <w:pStyle w:val="Bodytext"/>
      </w:pPr>
    </w:p>
    <w:p w:rsidR="00AB317A" w:rsidRPr="007E3D67" w:rsidRDefault="00AB317A" w:rsidP="005B2AC9">
      <w:pPr>
        <w:pStyle w:val="Bodytext"/>
      </w:pPr>
    </w:p>
    <w:p w:rsidR="00AB317A" w:rsidRPr="007E3D67" w:rsidRDefault="00AB317A" w:rsidP="005B2AC9">
      <w:pPr>
        <w:pStyle w:val="Bodytext"/>
      </w:pPr>
    </w:p>
    <w:p w:rsidR="00AB317A" w:rsidRPr="007E3D67" w:rsidRDefault="00AB317A" w:rsidP="005B2AC9">
      <w:pPr>
        <w:pStyle w:val="Bodytext"/>
      </w:pPr>
    </w:p>
    <w:p w:rsidR="00AB317A" w:rsidRPr="007E3D67" w:rsidRDefault="00AB317A" w:rsidP="005B2AC9">
      <w:pPr>
        <w:pStyle w:val="Bodytext"/>
      </w:pPr>
    </w:p>
    <w:p w:rsidR="00AB317A" w:rsidRPr="007E3D67" w:rsidRDefault="00AB317A" w:rsidP="005B2AC9">
      <w:pPr>
        <w:pStyle w:val="Bodytext"/>
      </w:pPr>
    </w:p>
    <w:p w:rsidR="00AB317A" w:rsidRPr="007E3D67" w:rsidRDefault="00AB317A" w:rsidP="005B2AC9">
      <w:pPr>
        <w:pStyle w:val="Bodytext"/>
      </w:pPr>
    </w:p>
    <w:p w:rsidR="00AB317A" w:rsidRPr="007E3D67" w:rsidRDefault="00AB317A" w:rsidP="005B2AC9">
      <w:pPr>
        <w:pStyle w:val="Bodytext"/>
      </w:pPr>
    </w:p>
    <w:p w:rsidR="005B2AC9" w:rsidRPr="007E3D67" w:rsidRDefault="00DD7266" w:rsidP="00AB317A">
      <w:pPr>
        <w:pStyle w:val="CaptionIntroductionparagraph"/>
      </w:pPr>
      <w:bookmarkStart w:id="208" w:name="_Toc279307155"/>
      <w:bookmarkStart w:id="209" w:name="_Toc279438636"/>
      <w:bookmarkStart w:id="210" w:name="_Toc279696270"/>
      <w:bookmarkStart w:id="211" w:name="_Toc279696359"/>
      <w:r w:rsidRPr="007E3D67">
        <w:t>Obr. 24</w:t>
      </w:r>
      <w:r w:rsidR="005B2AC9" w:rsidRPr="007E3D67">
        <w:t>: Čistá externí pozice bankovních sektorů vybraných zemí EU (v % HDP v roce 2008)</w:t>
      </w:r>
      <w:bookmarkEnd w:id="208"/>
      <w:bookmarkEnd w:id="209"/>
      <w:bookmarkEnd w:id="210"/>
      <w:bookmarkEnd w:id="211"/>
    </w:p>
    <w:p w:rsidR="005B2AC9" w:rsidRPr="007E3D67" w:rsidRDefault="005B2AC9" w:rsidP="005B2AC9">
      <w:pPr>
        <w:pStyle w:val="Bodytext"/>
      </w:pPr>
      <w:r w:rsidRPr="007E3D67">
        <w:rPr>
          <w:noProof/>
          <w:lang w:eastAsia="cs-CZ"/>
        </w:rPr>
        <w:drawing>
          <wp:inline distT="0" distB="0" distL="0" distR="0">
            <wp:extent cx="5486400" cy="3200400"/>
            <wp:effectExtent l="19050" t="0" r="19050" b="0"/>
            <wp:docPr id="32" name="Graf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3D7ECF" w:rsidRPr="007E3D67" w:rsidRDefault="003D7ECF" w:rsidP="003D7ECF">
      <w:pPr>
        <w:rPr>
          <w:i/>
          <w:sz w:val="20"/>
        </w:rPr>
      </w:pPr>
      <w:r w:rsidRPr="007E3D67">
        <w:rPr>
          <w:i/>
          <w:sz w:val="20"/>
        </w:rPr>
        <w:t>Zdroj: Data – European Central Bank,</w:t>
      </w:r>
      <w:r w:rsidRPr="007E3D67">
        <w:t xml:space="preserve"> </w:t>
      </w:r>
      <w:r w:rsidRPr="007E3D67">
        <w:rPr>
          <w:i/>
          <w:sz w:val="20"/>
        </w:rPr>
        <w:t xml:space="preserve">http://www.ecb.europa.eu, </w:t>
      </w:r>
      <w:r w:rsidR="00DD7266" w:rsidRPr="007E3D67">
        <w:rPr>
          <w:i/>
          <w:sz w:val="20"/>
        </w:rPr>
        <w:t>Obrázek</w:t>
      </w:r>
      <w:r w:rsidRPr="007E3D67">
        <w:rPr>
          <w:i/>
          <w:sz w:val="20"/>
        </w:rPr>
        <w:t>: Vlastní konstrukce.</w:t>
      </w:r>
    </w:p>
    <w:p w:rsidR="00D15A5D" w:rsidRPr="007E3D67" w:rsidRDefault="00D15A5D" w:rsidP="00D15A5D">
      <w:pPr>
        <w:pStyle w:val="Bodytext"/>
      </w:pPr>
    </w:p>
    <w:p w:rsidR="005B2AC9" w:rsidRPr="007E3D67" w:rsidRDefault="00D15A5D" w:rsidP="00D15A5D">
      <w:pPr>
        <w:pStyle w:val="Bodytext"/>
      </w:pPr>
      <w:r w:rsidRPr="007E3D67">
        <w:t>ČR je kromě Slovinska jedinou novou členskou zemí EU ze střední a východní Evropy, která je nezávislá na externím financování bankovního sektoru, a to i přes vysoký podíl zahraničního vlastnictví domácích bank. To potvrzuje kladná čistá externí pozice bankovního sektoru v</w:t>
      </w:r>
      <w:r w:rsidR="00DD7266" w:rsidRPr="007E3D67">
        <w:t> obr. 24</w:t>
      </w:r>
      <w:r w:rsidRPr="007E3D67">
        <w:t>.</w:t>
      </w:r>
    </w:p>
    <w:p w:rsidR="005B2AC9" w:rsidRPr="007E3D67" w:rsidRDefault="005B2AC9" w:rsidP="005B2AC9">
      <w:pPr>
        <w:pStyle w:val="Bodytext"/>
      </w:pPr>
    </w:p>
    <w:p w:rsidR="005B2AC9" w:rsidRPr="007E3D67" w:rsidRDefault="005B2AC9" w:rsidP="003D7ECF">
      <w:pPr>
        <w:pStyle w:val="Bodytext"/>
        <w:rPr>
          <w:b/>
        </w:rPr>
      </w:pPr>
      <w:bookmarkStart w:id="212" w:name="_Toc257807883"/>
      <w:r w:rsidRPr="007E3D67">
        <w:rPr>
          <w:b/>
        </w:rPr>
        <w:t>Identifikace, hodnocení rizik</w:t>
      </w:r>
      <w:bookmarkEnd w:id="212"/>
    </w:p>
    <w:p w:rsidR="003D7ECF" w:rsidRPr="007E3D67" w:rsidRDefault="003D7ECF" w:rsidP="003D7ECF">
      <w:pPr>
        <w:pStyle w:val="Bodytext"/>
        <w:rPr>
          <w:b/>
        </w:rPr>
      </w:pPr>
    </w:p>
    <w:p w:rsidR="005B2AC9" w:rsidRPr="007E3D67" w:rsidRDefault="00D15A5D" w:rsidP="00E9040C">
      <w:pPr>
        <w:pStyle w:val="Bodytext"/>
      </w:pPr>
      <w:r w:rsidRPr="007E3D67">
        <w:t xml:space="preserve">Jako jedno z nejvážnějších rizik spojených s finančním sektorem lze spatřovat v možném pokračování a prohlubování finanční krize a recese v západních ekonomikách a </w:t>
      </w:r>
      <w:r w:rsidR="00C40D50" w:rsidRPr="007E3D67">
        <w:t xml:space="preserve">z toho plynoucí zhoršení stavu běžného účtu platební bilance ČR. Tento jev by měl negativní descendentní </w:t>
      </w:r>
      <w:r w:rsidR="00C40D50" w:rsidRPr="007E3D67">
        <w:rPr>
          <w:i/>
        </w:rPr>
        <w:t>impact</w:t>
      </w:r>
      <w:r w:rsidR="00C40D50" w:rsidRPr="007E3D67">
        <w:t xml:space="preserve"> na firmy a zaměstnance, kteří by sv</w:t>
      </w:r>
      <w:r w:rsidR="00E9040C" w:rsidRPr="007E3D67">
        <w:t>á</w:t>
      </w:r>
      <w:r w:rsidR="00C40D50" w:rsidRPr="007E3D67">
        <w:t xml:space="preserve"> následn</w:t>
      </w:r>
      <w:r w:rsidR="00E9040C" w:rsidRPr="007E3D67">
        <w:t>á</w:t>
      </w:r>
      <w:r w:rsidR="00C40D50" w:rsidRPr="007E3D67">
        <w:t xml:space="preserve"> ekonomick</w:t>
      </w:r>
      <w:r w:rsidR="00E9040C" w:rsidRPr="007E3D67">
        <w:t>á</w:t>
      </w:r>
      <w:r w:rsidR="00C40D50" w:rsidRPr="007E3D67">
        <w:t xml:space="preserve"> rozhodnutí </w:t>
      </w:r>
      <w:r w:rsidR="00E9040C" w:rsidRPr="007E3D67">
        <w:t>negativně promítli do finančního sektoru</w:t>
      </w:r>
      <w:r w:rsidR="00C40D50" w:rsidRPr="007E3D67">
        <w:t>. Dále také p</w:t>
      </w:r>
      <w:r w:rsidR="005B2AC9" w:rsidRPr="007E3D67">
        <w:t>řetrvávání výjimečně vysoké míry nejistoty</w:t>
      </w:r>
      <w:r w:rsidR="00E9040C" w:rsidRPr="007E3D67">
        <w:t xml:space="preserve"> v</w:t>
      </w:r>
      <w:r w:rsidR="005B2AC9" w:rsidRPr="007E3D67">
        <w:t xml:space="preserve"> podnikatelsk</w:t>
      </w:r>
      <w:r w:rsidR="00E9040C" w:rsidRPr="007E3D67">
        <w:t>é</w:t>
      </w:r>
      <w:r w:rsidR="005B2AC9" w:rsidRPr="007E3D67">
        <w:t xml:space="preserve"> subjek</w:t>
      </w:r>
      <w:r w:rsidR="00E9040C" w:rsidRPr="007E3D67">
        <w:t>t</w:t>
      </w:r>
      <w:r w:rsidR="005B2AC9" w:rsidRPr="007E3D67">
        <w:t>y, finanční instituce i domácnosti.</w:t>
      </w:r>
      <w:r w:rsidR="00E9040C" w:rsidRPr="007E3D67">
        <w:t xml:space="preserve"> </w:t>
      </w:r>
      <w:r w:rsidR="005B2AC9" w:rsidRPr="007E3D67">
        <w:t>Domácí bankovní sektor bude čelit především nárůstu kreditního rizika; jiným rizikům bude vystaven v menší míře</w:t>
      </w:r>
      <w:r w:rsidR="00E9040C" w:rsidRPr="007E3D67">
        <w:t>.</w:t>
      </w:r>
      <w:r w:rsidR="005B2AC9" w:rsidRPr="007E3D67">
        <w:t xml:space="preserve"> Vysoká míra nejistoty zůstává velmi nepříznivým faktorem </w:t>
      </w:r>
      <w:r w:rsidR="00E9040C" w:rsidRPr="007E3D67">
        <w:t xml:space="preserve">i </w:t>
      </w:r>
      <w:r w:rsidR="005B2AC9" w:rsidRPr="007E3D67">
        <w:t>do budoucna</w:t>
      </w:r>
    </w:p>
    <w:p w:rsidR="005B2AC9" w:rsidRPr="007E3D67" w:rsidRDefault="005B2AC9" w:rsidP="005B2AC9"/>
    <w:p w:rsidR="005B2AC9" w:rsidRPr="007E3D67" w:rsidRDefault="00DD7266" w:rsidP="00AB317A">
      <w:pPr>
        <w:pStyle w:val="CaptionIntroductionparagraph"/>
      </w:pPr>
      <w:bookmarkStart w:id="213" w:name="_Toc279307156"/>
      <w:bookmarkStart w:id="214" w:name="_Toc279438637"/>
      <w:bookmarkStart w:id="215" w:name="_Toc279696271"/>
      <w:bookmarkStart w:id="216" w:name="_Toc279696360"/>
      <w:r w:rsidRPr="007E3D67">
        <w:t>Obr. 25</w:t>
      </w:r>
      <w:r w:rsidR="005B2AC9" w:rsidRPr="007E3D67">
        <w:t xml:space="preserve">: Úvěry se selháním (v % z celkového objemu úvěrů </w:t>
      </w:r>
      <w:r w:rsidR="0081560C" w:rsidRPr="007E3D67">
        <w:t>v daném segmentu v období 2006-</w:t>
      </w:r>
      <w:r w:rsidR="005B2AC9" w:rsidRPr="007E3D67">
        <w:t>2009)</w:t>
      </w:r>
      <w:bookmarkEnd w:id="213"/>
      <w:bookmarkEnd w:id="214"/>
      <w:bookmarkEnd w:id="215"/>
      <w:bookmarkEnd w:id="216"/>
    </w:p>
    <w:p w:rsidR="005B2AC9" w:rsidRPr="007E3D67" w:rsidRDefault="005B2AC9" w:rsidP="005B2AC9">
      <w:r w:rsidRPr="007E3D67">
        <w:rPr>
          <w:noProof/>
          <w:lang w:eastAsia="cs-CZ"/>
        </w:rPr>
        <w:drawing>
          <wp:inline distT="0" distB="0" distL="0" distR="0">
            <wp:extent cx="5486400" cy="3200400"/>
            <wp:effectExtent l="19050" t="0" r="19050" b="0"/>
            <wp:docPr id="33"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5B2AC9" w:rsidRPr="007E3D67" w:rsidRDefault="005B2AC9" w:rsidP="005B2AC9">
      <w:pPr>
        <w:rPr>
          <w:i/>
          <w:sz w:val="20"/>
        </w:rPr>
      </w:pPr>
      <w:r w:rsidRPr="007E3D67">
        <w:rPr>
          <w:i/>
          <w:sz w:val="20"/>
        </w:rPr>
        <w:t>Zdroj: Data – Česká národní banka,</w:t>
      </w:r>
      <w:r w:rsidRPr="007E3D67">
        <w:t xml:space="preserve"> </w:t>
      </w:r>
      <w:r w:rsidRPr="007E3D67">
        <w:rPr>
          <w:i/>
          <w:sz w:val="20"/>
        </w:rPr>
        <w:t xml:space="preserve">http://www.cnb.cz, </w:t>
      </w:r>
      <w:r w:rsidR="00DD7266" w:rsidRPr="007E3D67">
        <w:rPr>
          <w:i/>
          <w:sz w:val="20"/>
        </w:rPr>
        <w:t>Obrázek</w:t>
      </w:r>
      <w:r w:rsidRPr="007E3D67">
        <w:rPr>
          <w:i/>
          <w:sz w:val="20"/>
        </w:rPr>
        <w:t>: Vlastní konstrukce.</w:t>
      </w:r>
    </w:p>
    <w:p w:rsidR="005B2AC9" w:rsidRPr="007E3D67" w:rsidRDefault="005B2AC9" w:rsidP="005B2AC9"/>
    <w:p w:rsidR="005B2AC9" w:rsidRPr="007E3D67" w:rsidRDefault="009E7DDB" w:rsidP="00A14F28">
      <w:r w:rsidRPr="007E3D67">
        <w:t>Nepříznivý ekonomický vývoj působil negativně na schopnost podniků i domácností splácet závazky. Podíl nesplácených úvěrů na celkových úvěrech se v průběhu roku 2008 postupně zvyšoval a ke konci roku 2008 dosáhnul 3,2 %, v březnu 2009 pak 3,8 % (</w:t>
      </w:r>
      <w:r w:rsidR="00DD7266" w:rsidRPr="007E3D67">
        <w:t>viz obr. 25</w:t>
      </w:r>
      <w:r w:rsidRPr="007E3D67">
        <w:t>). K nárůstu došlo jak v segmentu nefinančních podniků, kde podíl nesplácených úvěrů v březnu 2009 činil 5,1%, tak v segmentu domácností (3% v bř</w:t>
      </w:r>
      <w:r w:rsidR="00DD7266" w:rsidRPr="007E3D67">
        <w:t xml:space="preserve">eznu 2009). Kvalita úvěrů </w:t>
      </w:r>
      <w:r w:rsidRPr="007E3D67">
        <w:t>obyvatelstvu je ovlivněna dominantním zastoupením méně rizikových úvěrů na bydlen</w:t>
      </w:r>
      <w:r w:rsidR="00DD7266" w:rsidRPr="007E3D67">
        <w:t>í</w:t>
      </w:r>
      <w:r w:rsidRPr="007E3D67">
        <w:t>, kde však podíl nesplacených úvěrů taktéž velmi mírně vzrostl z 1,5% na konci roku 2007 na 1,8 % v březnu 2009.</w:t>
      </w:r>
    </w:p>
    <w:p w:rsidR="005B2AC9" w:rsidRPr="007E3D67" w:rsidRDefault="005B2AC9" w:rsidP="005B2AC9"/>
    <w:p w:rsidR="00AB317A" w:rsidRPr="007E3D67" w:rsidRDefault="00AB317A" w:rsidP="005B2AC9"/>
    <w:p w:rsidR="00AB317A" w:rsidRPr="007E3D67" w:rsidRDefault="00AB317A" w:rsidP="005B2AC9"/>
    <w:p w:rsidR="00AB317A" w:rsidRPr="007E3D67" w:rsidRDefault="00AB317A" w:rsidP="005B2AC9"/>
    <w:p w:rsidR="00AB317A" w:rsidRPr="007E3D67" w:rsidRDefault="00AB317A" w:rsidP="005B2AC9"/>
    <w:p w:rsidR="00AB317A" w:rsidRPr="007E3D67" w:rsidRDefault="00AB317A" w:rsidP="005B2AC9"/>
    <w:p w:rsidR="00AB317A" w:rsidRPr="007E3D67" w:rsidRDefault="00AB317A" w:rsidP="005B2AC9"/>
    <w:p w:rsidR="00AB317A" w:rsidRPr="007E3D67" w:rsidRDefault="00AB317A" w:rsidP="005B2AC9"/>
    <w:p w:rsidR="005B2AC9" w:rsidRPr="007E3D67" w:rsidRDefault="00C97C4D" w:rsidP="00AB317A">
      <w:pPr>
        <w:pStyle w:val="CaptionIntroductionparagraph"/>
      </w:pPr>
      <w:bookmarkStart w:id="217" w:name="_Toc279307157"/>
      <w:bookmarkStart w:id="218" w:name="_Toc279438638"/>
      <w:bookmarkStart w:id="219" w:name="_Toc279696272"/>
      <w:bookmarkStart w:id="220" w:name="_Toc279696361"/>
      <w:r w:rsidRPr="007E3D67">
        <w:t>Obr. 26</w:t>
      </w:r>
      <w:r w:rsidR="005B2AC9" w:rsidRPr="007E3D67">
        <w:t>: Vývoj čistého zisku v bankovním sektor</w:t>
      </w:r>
      <w:r w:rsidR="0081560C" w:rsidRPr="007E3D67">
        <w:t>u ČR (v mld. Kč, v období 1990-</w:t>
      </w:r>
      <w:r w:rsidR="005B2AC9" w:rsidRPr="007E3D67">
        <w:t>2009)</w:t>
      </w:r>
      <w:bookmarkEnd w:id="217"/>
      <w:bookmarkEnd w:id="218"/>
      <w:bookmarkEnd w:id="219"/>
      <w:bookmarkEnd w:id="220"/>
    </w:p>
    <w:p w:rsidR="005B2AC9" w:rsidRPr="007E3D67" w:rsidRDefault="005B2AC9" w:rsidP="005B2AC9">
      <w:r w:rsidRPr="007E3D67">
        <w:rPr>
          <w:noProof/>
          <w:lang w:eastAsia="cs-CZ"/>
        </w:rPr>
        <w:drawing>
          <wp:inline distT="0" distB="0" distL="0" distR="0">
            <wp:extent cx="5486400" cy="3200400"/>
            <wp:effectExtent l="19050" t="0" r="19050" b="0"/>
            <wp:docPr id="34"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5B2AC9" w:rsidRPr="007E3D67" w:rsidRDefault="005B2AC9" w:rsidP="005B2AC9">
      <w:pPr>
        <w:rPr>
          <w:i/>
          <w:sz w:val="20"/>
        </w:rPr>
      </w:pPr>
      <w:r w:rsidRPr="007E3D67">
        <w:rPr>
          <w:i/>
          <w:sz w:val="20"/>
        </w:rPr>
        <w:t>Zdroj: Data – Česká národní banka,</w:t>
      </w:r>
      <w:r w:rsidRPr="007E3D67">
        <w:t xml:space="preserve"> </w:t>
      </w:r>
      <w:r w:rsidRPr="007E3D67">
        <w:rPr>
          <w:i/>
          <w:sz w:val="20"/>
        </w:rPr>
        <w:t xml:space="preserve">http://www.cnb.cz, </w:t>
      </w:r>
      <w:r w:rsidR="00C97C4D" w:rsidRPr="007E3D67">
        <w:rPr>
          <w:i/>
          <w:sz w:val="20"/>
        </w:rPr>
        <w:t>Obrázek</w:t>
      </w:r>
      <w:r w:rsidRPr="007E3D67">
        <w:rPr>
          <w:i/>
          <w:sz w:val="20"/>
        </w:rPr>
        <w:t>: Vlastní konstrukce.</w:t>
      </w:r>
    </w:p>
    <w:p w:rsidR="00C97C4D" w:rsidRPr="007E3D67" w:rsidRDefault="00C97C4D" w:rsidP="005B2AC9"/>
    <w:p w:rsidR="005B2AC9" w:rsidRPr="007E3D67" w:rsidRDefault="00C97C4D" w:rsidP="005B2AC9">
      <w:r w:rsidRPr="007E3D67">
        <w:t>Obr. 26</w:t>
      </w:r>
      <w:r w:rsidR="005B2AC9" w:rsidRPr="007E3D67">
        <w:t xml:space="preserve"> dokazuje přetrvávající vysokou ziskovost bankovního sektoru i v posledních 2 letech.</w:t>
      </w:r>
    </w:p>
    <w:p w:rsidR="00AB317A" w:rsidRPr="007E3D67" w:rsidRDefault="00AB317A" w:rsidP="005B2AC9"/>
    <w:p w:rsidR="005B2AC9" w:rsidRPr="007E3D67" w:rsidRDefault="005B2AC9" w:rsidP="005B2AC9">
      <w:pPr>
        <w:pStyle w:val="Nadpis2"/>
        <w:rPr>
          <w:rFonts w:cs="Times New Roman"/>
        </w:rPr>
      </w:pPr>
      <w:bookmarkStart w:id="221" w:name="_Toc257807885"/>
      <w:bookmarkStart w:id="222" w:name="_Toc278920742"/>
      <w:bookmarkStart w:id="223" w:name="_Toc279696229"/>
      <w:r w:rsidRPr="007E3D67">
        <w:rPr>
          <w:rFonts w:cs="Times New Roman"/>
        </w:rPr>
        <w:t>Reálný sektor</w:t>
      </w:r>
      <w:bookmarkEnd w:id="221"/>
      <w:bookmarkEnd w:id="222"/>
      <w:bookmarkEnd w:id="223"/>
    </w:p>
    <w:p w:rsidR="00AB317A" w:rsidRPr="007E3D67" w:rsidRDefault="003716AE" w:rsidP="00AB317A">
      <w:pPr>
        <w:pStyle w:val="Bodytext"/>
      </w:pPr>
      <w:r w:rsidRPr="007E3D67">
        <w:t>V této subkapitole bude využito k deskripci sledovaných ukazatelů především grafického vyjádření vývoje a trendu, doprovázené slovním zhodnocením.</w:t>
      </w:r>
    </w:p>
    <w:p w:rsidR="00AB317A" w:rsidRPr="007E3D67" w:rsidRDefault="00AB317A" w:rsidP="005B2AC9">
      <w:pPr>
        <w:rPr>
          <w:b/>
        </w:rPr>
      </w:pPr>
    </w:p>
    <w:p w:rsidR="004076FB" w:rsidRPr="007E3D67" w:rsidRDefault="004076FB">
      <w:pPr>
        <w:spacing w:line="240" w:lineRule="auto"/>
        <w:jc w:val="left"/>
        <w:rPr>
          <w:b/>
        </w:rPr>
      </w:pPr>
      <w:r w:rsidRPr="007E3D67">
        <w:rPr>
          <w:b/>
        </w:rPr>
        <w:br w:type="page"/>
      </w:r>
    </w:p>
    <w:p w:rsidR="005B2AC9" w:rsidRPr="007E3D67" w:rsidRDefault="005B2AC9" w:rsidP="005B2AC9">
      <w:pPr>
        <w:rPr>
          <w:b/>
        </w:rPr>
      </w:pPr>
      <w:r w:rsidRPr="007E3D67">
        <w:rPr>
          <w:b/>
        </w:rPr>
        <w:lastRenderedPageBreak/>
        <w:t>HDP</w:t>
      </w:r>
    </w:p>
    <w:p w:rsidR="004076FB" w:rsidRPr="007E3D67" w:rsidRDefault="004076FB" w:rsidP="005B2AC9">
      <w:pPr>
        <w:rPr>
          <w:b/>
        </w:rPr>
      </w:pPr>
    </w:p>
    <w:p w:rsidR="005B2AC9" w:rsidRPr="007E3D67" w:rsidRDefault="00C97C4D" w:rsidP="00AB317A">
      <w:pPr>
        <w:pStyle w:val="CaptionIntroductionparagraph"/>
      </w:pPr>
      <w:bookmarkStart w:id="224" w:name="_Toc279307158"/>
      <w:bookmarkStart w:id="225" w:name="_Toc279438639"/>
      <w:bookmarkStart w:id="226" w:name="_Toc279696273"/>
      <w:bookmarkStart w:id="227" w:name="_Toc279696362"/>
      <w:r w:rsidRPr="007E3D67">
        <w:t>Obr. 27</w:t>
      </w:r>
      <w:r w:rsidR="005B2AC9" w:rsidRPr="007E3D67">
        <w:t>:</w:t>
      </w:r>
      <w:r w:rsidRPr="007E3D67">
        <w:t xml:space="preserve"> </w:t>
      </w:r>
      <w:r w:rsidR="005B2AC9" w:rsidRPr="007E3D67">
        <w:t>Příspěvky k meziročnímu růstu HD</w:t>
      </w:r>
      <w:r w:rsidR="0081560C" w:rsidRPr="007E3D67">
        <w:t>P ČR (v mld. KČ, v období 2008-</w:t>
      </w:r>
      <w:r w:rsidR="005B2AC9" w:rsidRPr="007E3D67">
        <w:t>2009)</w:t>
      </w:r>
      <w:bookmarkEnd w:id="224"/>
      <w:bookmarkEnd w:id="225"/>
      <w:bookmarkEnd w:id="226"/>
      <w:bookmarkEnd w:id="227"/>
    </w:p>
    <w:p w:rsidR="005B2AC9" w:rsidRPr="007E3D67" w:rsidRDefault="005B2AC9" w:rsidP="005B2AC9">
      <w:r w:rsidRPr="007E3D67">
        <w:rPr>
          <w:noProof/>
          <w:lang w:eastAsia="cs-CZ"/>
        </w:rPr>
        <w:drawing>
          <wp:inline distT="0" distB="0" distL="0" distR="0">
            <wp:extent cx="5490830" cy="3062177"/>
            <wp:effectExtent l="19050" t="0" r="14620" b="4873"/>
            <wp:docPr id="35" name="Graf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5B2AC9" w:rsidRPr="007E3D67" w:rsidRDefault="005B2AC9" w:rsidP="005B2AC9">
      <w:pPr>
        <w:rPr>
          <w:i/>
          <w:sz w:val="20"/>
        </w:rPr>
      </w:pPr>
      <w:r w:rsidRPr="007E3D67">
        <w:rPr>
          <w:i/>
          <w:sz w:val="20"/>
        </w:rPr>
        <w:t>Zdroj: Data – Český statistický úřad,</w:t>
      </w:r>
      <w:r w:rsidRPr="007E3D67">
        <w:t xml:space="preserve"> </w:t>
      </w:r>
      <w:r w:rsidRPr="007E3D67">
        <w:rPr>
          <w:i/>
          <w:sz w:val="20"/>
        </w:rPr>
        <w:t xml:space="preserve">http://czso.cz, </w:t>
      </w:r>
      <w:r w:rsidR="00C97C4D" w:rsidRPr="007E3D67">
        <w:rPr>
          <w:i/>
          <w:sz w:val="20"/>
        </w:rPr>
        <w:t>Obrázek</w:t>
      </w:r>
      <w:r w:rsidRPr="007E3D67">
        <w:rPr>
          <w:i/>
          <w:sz w:val="20"/>
        </w:rPr>
        <w:t>: Vlastní konstrukce.</w:t>
      </w:r>
    </w:p>
    <w:p w:rsidR="005B2AC9" w:rsidRPr="007E3D67" w:rsidRDefault="005B2AC9" w:rsidP="005B2AC9"/>
    <w:p w:rsidR="005B2AC9" w:rsidRPr="007E3D67" w:rsidRDefault="005B2AC9" w:rsidP="005B2AC9">
      <w:r w:rsidRPr="007E3D67">
        <w:t>V roce 2008 přispíval k pozitivnímu výsledku HDP především export. Naopak příčina poklesu v roce 2009 byla zejména tvorba hrubého kapitálu (zásoby). Celkový pokles byl brzděn relativně vysokou spotřebou domácností a vlády.</w:t>
      </w:r>
    </w:p>
    <w:p w:rsidR="005B2AC9" w:rsidRPr="007E3D67" w:rsidRDefault="005B2AC9" w:rsidP="005B2AC9"/>
    <w:p w:rsidR="004076FB" w:rsidRPr="007E3D67" w:rsidRDefault="004076FB">
      <w:pPr>
        <w:spacing w:line="240" w:lineRule="auto"/>
        <w:jc w:val="left"/>
        <w:rPr>
          <w:b/>
        </w:rPr>
      </w:pPr>
      <w:r w:rsidRPr="007E3D67">
        <w:rPr>
          <w:b/>
        </w:rPr>
        <w:br w:type="page"/>
      </w:r>
    </w:p>
    <w:p w:rsidR="005B2AC9" w:rsidRPr="007E3D67" w:rsidRDefault="005B2AC9" w:rsidP="005B2AC9">
      <w:pPr>
        <w:rPr>
          <w:b/>
        </w:rPr>
      </w:pPr>
      <w:r w:rsidRPr="007E3D67">
        <w:rPr>
          <w:b/>
        </w:rPr>
        <w:lastRenderedPageBreak/>
        <w:t>Míra inflace</w:t>
      </w:r>
    </w:p>
    <w:p w:rsidR="004076FB" w:rsidRPr="007E3D67" w:rsidRDefault="004076FB" w:rsidP="005B2AC9">
      <w:pPr>
        <w:rPr>
          <w:b/>
        </w:rPr>
      </w:pPr>
    </w:p>
    <w:p w:rsidR="005B2AC9" w:rsidRPr="007E3D67" w:rsidRDefault="00C97C4D" w:rsidP="0081560C">
      <w:pPr>
        <w:pStyle w:val="CaptionIntroductionparagraph"/>
        <w:jc w:val="left"/>
        <w:rPr>
          <w:i/>
          <w:sz w:val="20"/>
        </w:rPr>
      </w:pPr>
      <w:bookmarkStart w:id="228" w:name="_Toc279307159"/>
      <w:bookmarkStart w:id="229" w:name="_Toc279438640"/>
      <w:bookmarkStart w:id="230" w:name="_Toc279696274"/>
      <w:bookmarkStart w:id="231" w:name="_Toc279696363"/>
      <w:r w:rsidRPr="007E3D67">
        <w:t>Obr. 28:</w:t>
      </w:r>
      <w:r w:rsidR="005B2AC9" w:rsidRPr="007E3D67">
        <w:t xml:space="preserve"> Míra inflace vyjádřená přírůstkem indexu spotřebitelských cen ke stejnému měsíci předchozího roku (v %, v období 2000</w:t>
      </w:r>
      <w:r w:rsidR="0081560C" w:rsidRPr="007E3D67">
        <w:t>-</w:t>
      </w:r>
      <w:r w:rsidR="005B2AC9" w:rsidRPr="007E3D67">
        <w:t>2009)</w:t>
      </w:r>
      <w:r w:rsidR="005B2AC9" w:rsidRPr="007E3D67">
        <w:rPr>
          <w:b/>
          <w:noProof/>
          <w:lang w:eastAsia="cs-CZ"/>
        </w:rPr>
        <w:drawing>
          <wp:inline distT="0" distB="0" distL="0" distR="0">
            <wp:extent cx="5329686" cy="2727434"/>
            <wp:effectExtent l="19050" t="0" r="23364" b="0"/>
            <wp:docPr id="36" name="Graf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r w:rsidR="005B2AC9" w:rsidRPr="007E3D67">
        <w:rPr>
          <w:i/>
          <w:sz w:val="20"/>
        </w:rPr>
        <w:t xml:space="preserve"> Zdroj: Data – Český statistický úřad,</w:t>
      </w:r>
      <w:r w:rsidR="005B2AC9" w:rsidRPr="007E3D67">
        <w:t xml:space="preserve"> </w:t>
      </w:r>
      <w:r w:rsidR="005B2AC9" w:rsidRPr="007E3D67">
        <w:rPr>
          <w:i/>
          <w:sz w:val="20"/>
        </w:rPr>
        <w:t xml:space="preserve">http://czso.cz, </w:t>
      </w:r>
      <w:r w:rsidRPr="007E3D67">
        <w:rPr>
          <w:i/>
          <w:sz w:val="20"/>
        </w:rPr>
        <w:t>Obrázek</w:t>
      </w:r>
      <w:r w:rsidR="005B2AC9" w:rsidRPr="007E3D67">
        <w:rPr>
          <w:i/>
          <w:sz w:val="20"/>
        </w:rPr>
        <w:t>: Vlastní konstrukce.</w:t>
      </w:r>
      <w:bookmarkEnd w:id="228"/>
      <w:bookmarkEnd w:id="229"/>
      <w:bookmarkEnd w:id="230"/>
      <w:bookmarkEnd w:id="231"/>
    </w:p>
    <w:p w:rsidR="00C97C4D" w:rsidRPr="007E3D67" w:rsidRDefault="00C97C4D" w:rsidP="005B2AC9">
      <w:pPr>
        <w:rPr>
          <w:b/>
        </w:rPr>
      </w:pPr>
    </w:p>
    <w:p w:rsidR="00C97C4D" w:rsidRPr="007E3D67" w:rsidRDefault="005B2AC9" w:rsidP="005B2AC9">
      <w:pPr>
        <w:rPr>
          <w:b/>
        </w:rPr>
      </w:pPr>
      <w:r w:rsidRPr="007E3D67">
        <w:rPr>
          <w:b/>
        </w:rPr>
        <w:t>Míra nezaměstnanosti</w:t>
      </w:r>
    </w:p>
    <w:p w:rsidR="004076FB" w:rsidRPr="007E3D67" w:rsidRDefault="004076FB" w:rsidP="005B2AC9">
      <w:pPr>
        <w:rPr>
          <w:b/>
        </w:rPr>
      </w:pPr>
    </w:p>
    <w:p w:rsidR="005B2AC9" w:rsidRPr="007E3D67" w:rsidRDefault="00C97C4D" w:rsidP="00AB317A">
      <w:pPr>
        <w:pStyle w:val="CaptionIntroductionparagraph"/>
      </w:pPr>
      <w:bookmarkStart w:id="232" w:name="_Toc279307160"/>
      <w:bookmarkStart w:id="233" w:name="_Toc279438641"/>
      <w:bookmarkStart w:id="234" w:name="_Toc279696275"/>
      <w:bookmarkStart w:id="235" w:name="_Toc279696364"/>
      <w:r w:rsidRPr="007E3D67">
        <w:t>Obr. 29</w:t>
      </w:r>
      <w:r w:rsidR="005B2AC9" w:rsidRPr="007E3D67">
        <w:t>: Celková míra nezaměstna</w:t>
      </w:r>
      <w:r w:rsidR="0081560C" w:rsidRPr="007E3D67">
        <w:t>nosti v ČR (v %, v období 1993-</w:t>
      </w:r>
      <w:r w:rsidR="005B2AC9" w:rsidRPr="007E3D67">
        <w:t>2009)</w:t>
      </w:r>
      <w:bookmarkEnd w:id="232"/>
      <w:bookmarkEnd w:id="233"/>
      <w:bookmarkEnd w:id="234"/>
      <w:bookmarkEnd w:id="235"/>
    </w:p>
    <w:p w:rsidR="005B2AC9" w:rsidRPr="007E3D67" w:rsidRDefault="005B2AC9" w:rsidP="005B2AC9">
      <w:r w:rsidRPr="007E3D67">
        <w:rPr>
          <w:noProof/>
          <w:lang w:eastAsia="cs-CZ"/>
        </w:rPr>
        <w:drawing>
          <wp:inline distT="0" distB="0" distL="0" distR="0">
            <wp:extent cx="5276850" cy="3152775"/>
            <wp:effectExtent l="19050" t="0" r="19050" b="0"/>
            <wp:docPr id="37"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5B2AC9" w:rsidRPr="007E3D67" w:rsidRDefault="005B2AC9" w:rsidP="005B2AC9">
      <w:pPr>
        <w:rPr>
          <w:i/>
          <w:sz w:val="20"/>
        </w:rPr>
      </w:pPr>
      <w:r w:rsidRPr="007E3D67">
        <w:rPr>
          <w:i/>
          <w:sz w:val="20"/>
        </w:rPr>
        <w:t>Zdroj: Data – Český statistický úřad,</w:t>
      </w:r>
      <w:r w:rsidRPr="007E3D67">
        <w:t xml:space="preserve"> </w:t>
      </w:r>
      <w:r w:rsidRPr="007E3D67">
        <w:rPr>
          <w:i/>
          <w:sz w:val="20"/>
        </w:rPr>
        <w:t xml:space="preserve">http://czso.cz, </w:t>
      </w:r>
      <w:r w:rsidR="00C97C4D" w:rsidRPr="007E3D67">
        <w:rPr>
          <w:i/>
          <w:sz w:val="20"/>
        </w:rPr>
        <w:t>Obrázek</w:t>
      </w:r>
      <w:r w:rsidRPr="007E3D67">
        <w:rPr>
          <w:i/>
          <w:sz w:val="20"/>
        </w:rPr>
        <w:t>: Vlastní konstrukce.</w:t>
      </w:r>
    </w:p>
    <w:p w:rsidR="005B2AC9" w:rsidRPr="007E3D67" w:rsidRDefault="005B2AC9" w:rsidP="005B2AC9">
      <w:pPr>
        <w:rPr>
          <w:b/>
        </w:rPr>
      </w:pPr>
    </w:p>
    <w:p w:rsidR="005B2AC9" w:rsidRPr="007E3D67" w:rsidRDefault="005B2AC9" w:rsidP="005B2AC9">
      <w:r w:rsidRPr="007E3D67">
        <w:t>Navzdory zhoršujícím se ostatním makroekonomickým indikátorům, se celková míra nezaměstnanosti v průběhu roku 2008 snižovala. Důvodem je časov</w:t>
      </w:r>
      <w:r w:rsidR="003716AE" w:rsidRPr="007E3D67">
        <w:t>é zpoždění oproti ostatním ukazatelům.</w:t>
      </w:r>
    </w:p>
    <w:p w:rsidR="005B2AC9" w:rsidRPr="007E3D67" w:rsidRDefault="005B2AC9" w:rsidP="005B2AC9">
      <w:pPr>
        <w:rPr>
          <w:b/>
        </w:rPr>
      </w:pPr>
    </w:p>
    <w:p w:rsidR="00C97C4D" w:rsidRPr="007E3D67" w:rsidRDefault="005B2AC9" w:rsidP="005B2AC9">
      <w:pPr>
        <w:rPr>
          <w:b/>
        </w:rPr>
      </w:pPr>
      <w:r w:rsidRPr="007E3D67">
        <w:rPr>
          <w:b/>
        </w:rPr>
        <w:t>Průmyslová produkce</w:t>
      </w:r>
    </w:p>
    <w:p w:rsidR="00E7560A" w:rsidRPr="007E3D67" w:rsidRDefault="00E7560A" w:rsidP="005B2AC9">
      <w:pPr>
        <w:rPr>
          <w:b/>
        </w:rPr>
      </w:pPr>
    </w:p>
    <w:p w:rsidR="005B2AC9" w:rsidRPr="007E3D67" w:rsidRDefault="00C97C4D" w:rsidP="00AB317A">
      <w:pPr>
        <w:pStyle w:val="CaptionIntroductionparagraph"/>
      </w:pPr>
      <w:bookmarkStart w:id="236" w:name="_Toc279307161"/>
      <w:bookmarkStart w:id="237" w:name="_Toc279438642"/>
      <w:bookmarkStart w:id="238" w:name="_Toc279696276"/>
      <w:bookmarkStart w:id="239" w:name="_Toc279696365"/>
      <w:r w:rsidRPr="007E3D67">
        <w:t>Obr. 30</w:t>
      </w:r>
      <w:r w:rsidR="005B2AC9" w:rsidRPr="007E3D67">
        <w:t>: Průmysloví produkce (meziro</w:t>
      </w:r>
      <w:r w:rsidR="0081560C" w:rsidRPr="007E3D67">
        <w:t>ční změny v %, v období 2005-20</w:t>
      </w:r>
      <w:r w:rsidR="005B2AC9" w:rsidRPr="007E3D67">
        <w:t>10)</w:t>
      </w:r>
      <w:bookmarkEnd w:id="236"/>
      <w:bookmarkEnd w:id="237"/>
      <w:bookmarkEnd w:id="238"/>
      <w:bookmarkEnd w:id="239"/>
    </w:p>
    <w:p w:rsidR="005B2AC9" w:rsidRPr="007E3D67" w:rsidRDefault="005B2AC9" w:rsidP="005B2AC9">
      <w:r w:rsidRPr="007E3D67">
        <w:rPr>
          <w:noProof/>
          <w:lang w:eastAsia="cs-CZ"/>
        </w:rPr>
        <w:drawing>
          <wp:inline distT="0" distB="0" distL="0" distR="0">
            <wp:extent cx="5484276" cy="3184634"/>
            <wp:effectExtent l="19050" t="0" r="21174" b="0"/>
            <wp:docPr id="38"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5B2AC9" w:rsidRPr="007E3D67" w:rsidRDefault="005B2AC9" w:rsidP="005B2AC9">
      <w:pPr>
        <w:rPr>
          <w:i/>
          <w:sz w:val="20"/>
        </w:rPr>
      </w:pPr>
      <w:r w:rsidRPr="007E3D67">
        <w:rPr>
          <w:i/>
          <w:sz w:val="20"/>
        </w:rPr>
        <w:t>Zdroj: Data – Český statistický úřad,</w:t>
      </w:r>
      <w:r w:rsidRPr="007E3D67">
        <w:t xml:space="preserve"> </w:t>
      </w:r>
      <w:r w:rsidRPr="007E3D67">
        <w:rPr>
          <w:i/>
          <w:sz w:val="20"/>
        </w:rPr>
        <w:t xml:space="preserve">http://czso.cz, </w:t>
      </w:r>
      <w:r w:rsidR="00C97C4D" w:rsidRPr="007E3D67">
        <w:rPr>
          <w:i/>
          <w:sz w:val="20"/>
        </w:rPr>
        <w:t>Obrázek</w:t>
      </w:r>
      <w:r w:rsidRPr="007E3D67">
        <w:rPr>
          <w:i/>
          <w:sz w:val="20"/>
        </w:rPr>
        <w:t>: Vlastní konstrukce.</w:t>
      </w:r>
    </w:p>
    <w:p w:rsidR="003716AE" w:rsidRPr="007E3D67" w:rsidRDefault="003716AE" w:rsidP="005B2AC9"/>
    <w:p w:rsidR="005B2AC9" w:rsidRPr="007E3D67" w:rsidRDefault="005B2AC9" w:rsidP="005B2AC9">
      <w:r w:rsidRPr="007E3D67">
        <w:t>Průmyslová produkce ČR byla negativně ovlivněna od počátku roku 2007. Negativní trend přetrval po celé období 2008 a částečně se promítnul i do počátku roku 2009. V průběhu roku 2009 došlo k výraznému zvyšování produkce, což vedlo ke kladné hodnotě průmyslové produkce z počátku roku 2010.</w:t>
      </w:r>
    </w:p>
    <w:p w:rsidR="005B2AC9" w:rsidRPr="007E3D67" w:rsidRDefault="005B2AC9" w:rsidP="005B2AC9">
      <w:pPr>
        <w:rPr>
          <w:b/>
        </w:rPr>
      </w:pPr>
    </w:p>
    <w:p w:rsidR="004076FB" w:rsidRPr="007E3D67" w:rsidRDefault="004076FB">
      <w:pPr>
        <w:spacing w:line="240" w:lineRule="auto"/>
        <w:jc w:val="left"/>
        <w:rPr>
          <w:b/>
        </w:rPr>
      </w:pPr>
      <w:r w:rsidRPr="007E3D67">
        <w:rPr>
          <w:b/>
        </w:rPr>
        <w:br w:type="page"/>
      </w:r>
    </w:p>
    <w:p w:rsidR="005B2AC9" w:rsidRPr="007E3D67" w:rsidRDefault="005B2AC9" w:rsidP="005B2AC9">
      <w:pPr>
        <w:rPr>
          <w:b/>
        </w:rPr>
      </w:pPr>
      <w:r w:rsidRPr="007E3D67">
        <w:rPr>
          <w:b/>
        </w:rPr>
        <w:lastRenderedPageBreak/>
        <w:t>Stavební produkce</w:t>
      </w:r>
    </w:p>
    <w:p w:rsidR="004076FB" w:rsidRPr="007E3D67" w:rsidRDefault="004076FB" w:rsidP="00E7560A">
      <w:pPr>
        <w:pStyle w:val="CaptionIntroductionparagraph"/>
      </w:pPr>
      <w:bookmarkStart w:id="240" w:name="_Toc279307162"/>
    </w:p>
    <w:p w:rsidR="005B2AC9" w:rsidRPr="007E3D67" w:rsidRDefault="00C97C4D" w:rsidP="00E7560A">
      <w:pPr>
        <w:pStyle w:val="CaptionIntroductionparagraph"/>
        <w:rPr>
          <w:b/>
        </w:rPr>
      </w:pPr>
      <w:bookmarkStart w:id="241" w:name="_Toc279438643"/>
      <w:bookmarkStart w:id="242" w:name="_Toc279696277"/>
      <w:bookmarkStart w:id="243" w:name="_Toc279696366"/>
      <w:r w:rsidRPr="007E3D67">
        <w:t>Obr. 31</w:t>
      </w:r>
      <w:r w:rsidR="005B2AC9" w:rsidRPr="007E3D67">
        <w:t>:</w:t>
      </w:r>
      <w:r w:rsidR="003716AE" w:rsidRPr="007E3D67">
        <w:t xml:space="preserve"> </w:t>
      </w:r>
      <w:r w:rsidR="005B2AC9" w:rsidRPr="007E3D67">
        <w:t>Stavební produkce v ČR (mezi</w:t>
      </w:r>
      <w:r w:rsidR="0081560C" w:rsidRPr="007E3D67">
        <w:t>roční změna v %, v období 2005-</w:t>
      </w:r>
      <w:r w:rsidR="005B2AC9" w:rsidRPr="007E3D67">
        <w:t>2009)</w:t>
      </w:r>
      <w:bookmarkEnd w:id="240"/>
      <w:bookmarkEnd w:id="241"/>
      <w:bookmarkEnd w:id="242"/>
      <w:bookmarkEnd w:id="243"/>
    </w:p>
    <w:p w:rsidR="005B2AC9" w:rsidRPr="007E3D67" w:rsidRDefault="005B2AC9" w:rsidP="005B2AC9">
      <w:pPr>
        <w:rPr>
          <w:b/>
        </w:rPr>
      </w:pPr>
      <w:r w:rsidRPr="007E3D67">
        <w:rPr>
          <w:b/>
          <w:noProof/>
          <w:lang w:eastAsia="cs-CZ"/>
        </w:rPr>
        <w:drawing>
          <wp:inline distT="0" distB="0" distL="0" distR="0">
            <wp:extent cx="5486400" cy="3200400"/>
            <wp:effectExtent l="19050" t="0" r="19050" b="0"/>
            <wp:docPr id="39"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5B2AC9" w:rsidRPr="007E3D67" w:rsidRDefault="005B2AC9" w:rsidP="005B2AC9">
      <w:pPr>
        <w:rPr>
          <w:i/>
          <w:sz w:val="20"/>
        </w:rPr>
      </w:pPr>
      <w:r w:rsidRPr="007E3D67">
        <w:rPr>
          <w:i/>
          <w:sz w:val="20"/>
        </w:rPr>
        <w:t>Zdroj: Data – Eurostat,</w:t>
      </w:r>
      <w:r w:rsidRPr="007E3D67">
        <w:t xml:space="preserve"> </w:t>
      </w:r>
      <w:r w:rsidRPr="007E3D67">
        <w:rPr>
          <w:i/>
          <w:sz w:val="20"/>
        </w:rPr>
        <w:t xml:space="preserve">http://ec.europa.eu/eurostat, </w:t>
      </w:r>
      <w:r w:rsidR="00C97C4D" w:rsidRPr="007E3D67">
        <w:rPr>
          <w:i/>
          <w:sz w:val="20"/>
        </w:rPr>
        <w:t>Obrázek</w:t>
      </w:r>
      <w:r w:rsidRPr="007E3D67">
        <w:rPr>
          <w:i/>
          <w:sz w:val="20"/>
        </w:rPr>
        <w:t>: Vlastní konstrukce.</w:t>
      </w:r>
    </w:p>
    <w:p w:rsidR="005B2AC9" w:rsidRPr="007E3D67" w:rsidRDefault="005B2AC9" w:rsidP="005B2AC9">
      <w:pPr>
        <w:rPr>
          <w:i/>
          <w:sz w:val="22"/>
        </w:rPr>
      </w:pPr>
    </w:p>
    <w:p w:rsidR="005B2AC9" w:rsidRPr="007E3D67" w:rsidRDefault="005B2AC9" w:rsidP="005B2AC9">
      <w:r w:rsidRPr="007E3D67">
        <w:t>Po skokovém nárůstu velikosti stavební produkce v ČR z počátku roku 2007, došlo v průběhu let 2008 a 2009 ke značnému omezení v odvětví.</w:t>
      </w:r>
    </w:p>
    <w:p w:rsidR="005B2AC9" w:rsidRPr="007E3D67" w:rsidRDefault="005B2AC9" w:rsidP="005B2AC9">
      <w:pPr>
        <w:rPr>
          <w:sz w:val="22"/>
        </w:rPr>
      </w:pPr>
    </w:p>
    <w:p w:rsidR="004076FB" w:rsidRPr="007E3D67" w:rsidRDefault="004076FB">
      <w:pPr>
        <w:spacing w:line="240" w:lineRule="auto"/>
        <w:jc w:val="left"/>
        <w:rPr>
          <w:b/>
        </w:rPr>
      </w:pPr>
      <w:r w:rsidRPr="007E3D67">
        <w:rPr>
          <w:b/>
        </w:rPr>
        <w:br w:type="page"/>
      </w:r>
    </w:p>
    <w:p w:rsidR="00E7560A" w:rsidRPr="007E3D67" w:rsidRDefault="005B2AC9" w:rsidP="005B2AC9">
      <w:pPr>
        <w:rPr>
          <w:b/>
        </w:rPr>
      </w:pPr>
      <w:r w:rsidRPr="007E3D67">
        <w:rPr>
          <w:b/>
        </w:rPr>
        <w:lastRenderedPageBreak/>
        <w:t>Maloobchodní tržby</w:t>
      </w:r>
    </w:p>
    <w:p w:rsidR="004076FB" w:rsidRPr="007E3D67" w:rsidRDefault="004076FB" w:rsidP="005B2AC9">
      <w:pPr>
        <w:rPr>
          <w:b/>
        </w:rPr>
      </w:pPr>
    </w:p>
    <w:p w:rsidR="005B2AC9" w:rsidRPr="007E3D67" w:rsidRDefault="00C97C4D" w:rsidP="00E7560A">
      <w:pPr>
        <w:pStyle w:val="CaptionIntroductionparagraph"/>
      </w:pPr>
      <w:bookmarkStart w:id="244" w:name="_Toc279307163"/>
      <w:bookmarkStart w:id="245" w:name="_Toc279438644"/>
      <w:bookmarkStart w:id="246" w:name="_Toc279696278"/>
      <w:bookmarkStart w:id="247" w:name="_Toc279696367"/>
      <w:r w:rsidRPr="007E3D67">
        <w:t>Obr. 32</w:t>
      </w:r>
      <w:r w:rsidR="005B2AC9" w:rsidRPr="007E3D67">
        <w:t>: Maloobchodní tržby v ČR (mezi</w:t>
      </w:r>
      <w:r w:rsidR="0081560C" w:rsidRPr="007E3D67">
        <w:t>roční změna v %, v období 2005-</w:t>
      </w:r>
      <w:r w:rsidR="005B2AC9" w:rsidRPr="007E3D67">
        <w:t>2009)</w:t>
      </w:r>
      <w:bookmarkEnd w:id="244"/>
      <w:bookmarkEnd w:id="245"/>
      <w:bookmarkEnd w:id="246"/>
      <w:bookmarkEnd w:id="247"/>
    </w:p>
    <w:p w:rsidR="005B2AC9" w:rsidRPr="007E3D67" w:rsidRDefault="005B2AC9" w:rsidP="005B2AC9">
      <w:pPr>
        <w:rPr>
          <w:b/>
        </w:rPr>
      </w:pPr>
      <w:r w:rsidRPr="007E3D67">
        <w:rPr>
          <w:b/>
          <w:noProof/>
          <w:lang w:eastAsia="cs-CZ"/>
        </w:rPr>
        <w:drawing>
          <wp:inline distT="0" distB="0" distL="0" distR="0">
            <wp:extent cx="5486400" cy="3200400"/>
            <wp:effectExtent l="19050" t="0" r="19050" b="0"/>
            <wp:docPr id="40" name="Graf 6"/>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5B2AC9" w:rsidRPr="007E3D67" w:rsidRDefault="005B2AC9" w:rsidP="005B2AC9">
      <w:pPr>
        <w:rPr>
          <w:i/>
          <w:sz w:val="20"/>
        </w:rPr>
      </w:pPr>
      <w:r w:rsidRPr="007E3D67">
        <w:rPr>
          <w:i/>
          <w:sz w:val="20"/>
        </w:rPr>
        <w:t>Zdroj: Data – Český statistický úřad,</w:t>
      </w:r>
      <w:r w:rsidRPr="007E3D67">
        <w:t xml:space="preserve"> </w:t>
      </w:r>
      <w:r w:rsidRPr="007E3D67">
        <w:rPr>
          <w:i/>
          <w:sz w:val="20"/>
        </w:rPr>
        <w:t xml:space="preserve">http://czso.cz, </w:t>
      </w:r>
      <w:r w:rsidR="00C97C4D" w:rsidRPr="007E3D67">
        <w:rPr>
          <w:i/>
          <w:sz w:val="20"/>
        </w:rPr>
        <w:t>Obrázek</w:t>
      </w:r>
      <w:r w:rsidRPr="007E3D67">
        <w:rPr>
          <w:i/>
          <w:sz w:val="20"/>
        </w:rPr>
        <w:t>: Vlastní konstrukce.</w:t>
      </w:r>
    </w:p>
    <w:p w:rsidR="005B2AC9" w:rsidRPr="007E3D67" w:rsidRDefault="005B2AC9" w:rsidP="005B2AC9">
      <w:r w:rsidRPr="007E3D67">
        <w:t>Tržby v maloobchodě m</w:t>
      </w:r>
      <w:r w:rsidR="00AF4282" w:rsidRPr="007E3D67">
        <w:t>ěly</w:t>
      </w:r>
      <w:r w:rsidRPr="007E3D67">
        <w:t xml:space="preserve"> od 2. pol. roku 2007 sestupnou tendenci, způsobenou ochlazením spotřebitelské poptávky. </w:t>
      </w:r>
    </w:p>
    <w:p w:rsidR="005B2AC9" w:rsidRPr="007E3D67" w:rsidRDefault="005B2AC9" w:rsidP="005B2AC9">
      <w:pPr>
        <w:rPr>
          <w:b/>
        </w:rPr>
      </w:pPr>
    </w:p>
    <w:p w:rsidR="004076FB" w:rsidRPr="007E3D67" w:rsidRDefault="004076FB">
      <w:pPr>
        <w:spacing w:line="240" w:lineRule="auto"/>
        <w:jc w:val="left"/>
        <w:rPr>
          <w:b/>
        </w:rPr>
      </w:pPr>
      <w:r w:rsidRPr="007E3D67">
        <w:rPr>
          <w:b/>
        </w:rPr>
        <w:br w:type="page"/>
      </w:r>
    </w:p>
    <w:p w:rsidR="005B2AC9" w:rsidRPr="007E3D67" w:rsidRDefault="005B2AC9" w:rsidP="005B2AC9">
      <w:pPr>
        <w:rPr>
          <w:b/>
        </w:rPr>
      </w:pPr>
      <w:r w:rsidRPr="007E3D67">
        <w:rPr>
          <w:b/>
        </w:rPr>
        <w:lastRenderedPageBreak/>
        <w:t>Tržby ve službách</w:t>
      </w:r>
    </w:p>
    <w:p w:rsidR="003716AE" w:rsidRPr="007E3D67" w:rsidRDefault="003716AE" w:rsidP="005B2AC9">
      <w:pPr>
        <w:rPr>
          <w:b/>
        </w:rPr>
      </w:pPr>
    </w:p>
    <w:p w:rsidR="005B2AC9" w:rsidRPr="007E3D67" w:rsidRDefault="00C97C4D" w:rsidP="00E7560A">
      <w:pPr>
        <w:pStyle w:val="CaptionIntroductionparagraph"/>
      </w:pPr>
      <w:bookmarkStart w:id="248" w:name="_Toc279307164"/>
      <w:bookmarkStart w:id="249" w:name="_Toc279438645"/>
      <w:bookmarkStart w:id="250" w:name="_Toc279696279"/>
      <w:bookmarkStart w:id="251" w:name="_Toc279696368"/>
      <w:r w:rsidRPr="007E3D67">
        <w:t>Obr. 33</w:t>
      </w:r>
      <w:r w:rsidR="005B2AC9" w:rsidRPr="007E3D67">
        <w:t>: Tržby ve službách v ČR (stejné období předchozího roku = 100, stá</w:t>
      </w:r>
      <w:r w:rsidR="0081560C" w:rsidRPr="007E3D67">
        <w:t>lé ceny bez DPH, v období 2006-</w:t>
      </w:r>
      <w:r w:rsidR="005B2AC9" w:rsidRPr="007E3D67">
        <w:t>2009)</w:t>
      </w:r>
      <w:bookmarkEnd w:id="248"/>
      <w:bookmarkEnd w:id="249"/>
      <w:bookmarkEnd w:id="250"/>
      <w:bookmarkEnd w:id="251"/>
    </w:p>
    <w:p w:rsidR="005B2AC9" w:rsidRPr="007E3D67" w:rsidRDefault="005B2AC9" w:rsidP="005B2AC9">
      <w:pPr>
        <w:rPr>
          <w:b/>
        </w:rPr>
      </w:pPr>
      <w:r w:rsidRPr="007E3D67">
        <w:rPr>
          <w:b/>
          <w:noProof/>
          <w:lang w:eastAsia="cs-CZ"/>
        </w:rPr>
        <w:drawing>
          <wp:inline distT="0" distB="0" distL="0" distR="0">
            <wp:extent cx="5486400" cy="3200400"/>
            <wp:effectExtent l="19050" t="0" r="19050" b="0"/>
            <wp:docPr id="41" name="Graf 7"/>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5B2AC9" w:rsidRPr="007E3D67" w:rsidRDefault="005B2AC9" w:rsidP="005B2AC9">
      <w:pPr>
        <w:rPr>
          <w:i/>
          <w:sz w:val="20"/>
        </w:rPr>
      </w:pPr>
      <w:r w:rsidRPr="007E3D67">
        <w:rPr>
          <w:i/>
          <w:sz w:val="20"/>
        </w:rPr>
        <w:t>Zdroj: Data – Český statistický úřad,</w:t>
      </w:r>
      <w:r w:rsidRPr="007E3D67">
        <w:t xml:space="preserve"> </w:t>
      </w:r>
      <w:r w:rsidRPr="007E3D67">
        <w:rPr>
          <w:i/>
          <w:sz w:val="20"/>
        </w:rPr>
        <w:t xml:space="preserve">http://czso.cz, </w:t>
      </w:r>
      <w:r w:rsidR="00C97C4D" w:rsidRPr="007E3D67">
        <w:rPr>
          <w:i/>
          <w:sz w:val="20"/>
        </w:rPr>
        <w:t>Obrázek</w:t>
      </w:r>
      <w:r w:rsidRPr="007E3D67">
        <w:rPr>
          <w:i/>
          <w:sz w:val="20"/>
        </w:rPr>
        <w:t>: Vlastní konstrukce.</w:t>
      </w:r>
    </w:p>
    <w:p w:rsidR="005B2AC9" w:rsidRPr="007E3D67" w:rsidRDefault="005B2AC9" w:rsidP="005B2AC9">
      <w:pPr>
        <w:rPr>
          <w:b/>
        </w:rPr>
      </w:pPr>
    </w:p>
    <w:p w:rsidR="005B2AC9" w:rsidRPr="007E3D67" w:rsidRDefault="005B2AC9" w:rsidP="005B2AC9">
      <w:r w:rsidRPr="007E3D67">
        <w:t xml:space="preserve">Ani odvětví služeb nezůstalo ušetřeno poklesu. Rostoucí trend z předchozích let se z počátku roku 2008 změnil na klesající. Odvětví služeb je úzce provázáno s ostatními sektory ekonomiky a proto i výkonnostní výsledky mají obdobný charakter. </w:t>
      </w:r>
    </w:p>
    <w:p w:rsidR="005B2AC9" w:rsidRPr="007E3D67" w:rsidRDefault="005B2AC9" w:rsidP="005B2AC9"/>
    <w:p w:rsidR="005B2AC9" w:rsidRPr="007E3D67" w:rsidRDefault="00F57B65" w:rsidP="00F57B65">
      <w:pPr>
        <w:pStyle w:val="Bodytext"/>
        <w:rPr>
          <w:b/>
        </w:rPr>
      </w:pPr>
      <w:bookmarkStart w:id="252" w:name="_Toc257807886"/>
      <w:r w:rsidRPr="007E3D67">
        <w:rPr>
          <w:b/>
        </w:rPr>
        <w:t>Zhodnocení s</w:t>
      </w:r>
      <w:r w:rsidR="005B2AC9" w:rsidRPr="007E3D67">
        <w:rPr>
          <w:b/>
        </w:rPr>
        <w:t>ituace v reálném sektoru</w:t>
      </w:r>
    </w:p>
    <w:p w:rsidR="00F57B65" w:rsidRPr="007E3D67" w:rsidRDefault="00F57B65" w:rsidP="00F57B65">
      <w:pPr>
        <w:pStyle w:val="Bodytext"/>
        <w:rPr>
          <w:b/>
        </w:rPr>
      </w:pPr>
    </w:p>
    <w:p w:rsidR="005B2AC9" w:rsidRPr="007E3D67" w:rsidRDefault="005B2AC9" w:rsidP="005B2AC9">
      <w:r w:rsidRPr="007E3D67">
        <w:t>Vybrané ukazatele vykazují obdobný trend, vycházející z předpokladů zhoršené ekonomické situace nejen v ČR, ale i v zahraničí, především v průběhu roku 2008. Důvody pro tyto poklesy spočívaly v:</w:t>
      </w:r>
    </w:p>
    <w:p w:rsidR="00F57B65" w:rsidRPr="007E3D67" w:rsidRDefault="00F57B65" w:rsidP="005B2AC9"/>
    <w:p w:rsidR="005B2AC9" w:rsidRPr="007E3D67" w:rsidRDefault="005B2AC9" w:rsidP="005B2AC9">
      <w:pPr>
        <w:pStyle w:val="Odstavecseseznamem"/>
        <w:numPr>
          <w:ilvl w:val="0"/>
          <w:numId w:val="34"/>
        </w:numPr>
        <w:spacing w:line="360" w:lineRule="auto"/>
        <w:rPr>
          <w:rFonts w:ascii="Times New Roman" w:hAnsi="Times New Roman" w:cs="Times New Roman"/>
        </w:rPr>
      </w:pPr>
      <w:r w:rsidRPr="007E3D67">
        <w:rPr>
          <w:rFonts w:ascii="Times New Roman" w:hAnsi="Times New Roman" w:cs="Times New Roman"/>
        </w:rPr>
        <w:t>Zhoršené úrovni exportu ve spojení s poklesem domácích objednávek</w:t>
      </w:r>
      <w:r w:rsidR="00AB24A2" w:rsidRPr="007E3D67">
        <w:rPr>
          <w:rFonts w:ascii="Times New Roman" w:hAnsi="Times New Roman" w:cs="Times New Roman"/>
        </w:rPr>
        <w:t>.</w:t>
      </w:r>
    </w:p>
    <w:p w:rsidR="005B2AC9" w:rsidRPr="007E3D67" w:rsidRDefault="005B2AC9" w:rsidP="005B2AC9">
      <w:pPr>
        <w:pStyle w:val="Odstavecseseznamem"/>
        <w:numPr>
          <w:ilvl w:val="0"/>
          <w:numId w:val="34"/>
        </w:numPr>
        <w:spacing w:line="360" w:lineRule="auto"/>
        <w:rPr>
          <w:rFonts w:ascii="Times New Roman" w:hAnsi="Times New Roman" w:cs="Times New Roman"/>
        </w:rPr>
      </w:pPr>
      <w:r w:rsidRPr="007E3D67">
        <w:rPr>
          <w:rFonts w:ascii="Times New Roman" w:hAnsi="Times New Roman" w:cs="Times New Roman"/>
        </w:rPr>
        <w:t>Zvyšování ceny produkce (spojené s obavami firem o propad zisků) a tím i míry inflace</w:t>
      </w:r>
      <w:r w:rsidR="00AB24A2" w:rsidRPr="007E3D67">
        <w:rPr>
          <w:rFonts w:ascii="Times New Roman" w:hAnsi="Times New Roman" w:cs="Times New Roman"/>
        </w:rPr>
        <w:t>.</w:t>
      </w:r>
    </w:p>
    <w:p w:rsidR="005B2AC9" w:rsidRPr="007E3D67" w:rsidRDefault="005B2AC9" w:rsidP="005B2AC9">
      <w:pPr>
        <w:pStyle w:val="Odstavecseseznamem"/>
        <w:numPr>
          <w:ilvl w:val="0"/>
          <w:numId w:val="34"/>
        </w:numPr>
        <w:spacing w:line="360" w:lineRule="auto"/>
        <w:rPr>
          <w:rFonts w:ascii="Times New Roman" w:hAnsi="Times New Roman" w:cs="Times New Roman"/>
        </w:rPr>
      </w:pPr>
      <w:r w:rsidRPr="007E3D67">
        <w:rPr>
          <w:rFonts w:ascii="Times New Roman" w:hAnsi="Times New Roman" w:cs="Times New Roman"/>
        </w:rPr>
        <w:t>Pokles spotřebitelské poptávky</w:t>
      </w:r>
      <w:r w:rsidR="00AB24A2" w:rsidRPr="007E3D67">
        <w:rPr>
          <w:rFonts w:ascii="Times New Roman" w:hAnsi="Times New Roman" w:cs="Times New Roman"/>
        </w:rPr>
        <w:t>.</w:t>
      </w:r>
    </w:p>
    <w:p w:rsidR="00AB24A2" w:rsidRPr="007E3D67" w:rsidRDefault="00AB24A2" w:rsidP="005404A4">
      <w:pPr>
        <w:pStyle w:val="Nadpis1"/>
        <w:rPr>
          <w:lang w:val="cs-CZ"/>
        </w:rPr>
      </w:pPr>
      <w:bookmarkStart w:id="253" w:name="_Toc278920743"/>
      <w:bookmarkStart w:id="254" w:name="_Toc279696230"/>
      <w:r w:rsidRPr="007E3D67">
        <w:rPr>
          <w:lang w:val="cs-CZ"/>
        </w:rPr>
        <w:lastRenderedPageBreak/>
        <w:t>Analýza efektivity působení nástrojů hospodářské politiky v kontextu ekonomické krize</w:t>
      </w:r>
      <w:bookmarkEnd w:id="253"/>
      <w:bookmarkEnd w:id="254"/>
    </w:p>
    <w:p w:rsidR="00240C52" w:rsidRPr="007E3D67" w:rsidRDefault="00240C52" w:rsidP="00240C52">
      <w:pPr>
        <w:pStyle w:val="Bodytext"/>
      </w:pPr>
      <w:r w:rsidRPr="007E3D67">
        <w:t>Před započetím analýz je nutné objasnit souvislosti</w:t>
      </w:r>
      <w:r w:rsidR="008429D1" w:rsidRPr="007E3D67">
        <w:t xml:space="preserve">, v jakých vznikala </w:t>
      </w:r>
      <w:r w:rsidRPr="007E3D67">
        <w:t>hospodářsk</w:t>
      </w:r>
      <w:r w:rsidR="008429D1" w:rsidRPr="007E3D67">
        <w:t>á</w:t>
      </w:r>
      <w:r w:rsidRPr="007E3D67">
        <w:t xml:space="preserve"> politik</w:t>
      </w:r>
      <w:r w:rsidR="008429D1" w:rsidRPr="007E3D67">
        <w:t>a</w:t>
      </w:r>
      <w:r w:rsidRPr="007E3D67">
        <w:t xml:space="preserve"> v letech 2008 – 2010 v ČR. Toto období</w:t>
      </w:r>
      <w:r w:rsidR="00315461" w:rsidRPr="007E3D67">
        <w:t xml:space="preserve"> lze</w:t>
      </w:r>
      <w:r w:rsidRPr="007E3D67">
        <w:t xml:space="preserve"> klasifikovat jako období politické nestability, kter</w:t>
      </w:r>
      <w:r w:rsidR="00315461" w:rsidRPr="007E3D67">
        <w:t>é v kontextu ekonomické krize přineslo několik zásadních událostí. Ty nejsignifikantnější a v korelaci s budoucím vývojem hospodářství ČR esenciální</w:t>
      </w:r>
      <w:r w:rsidR="00783A5D" w:rsidRPr="007E3D67">
        <w:t>,</w:t>
      </w:r>
      <w:r w:rsidR="00315461" w:rsidRPr="007E3D67">
        <w:t xml:space="preserve"> budou uvedeny v této kapitole. Nejprve budou popsány jednotlivé vlády a uskupení, které měly vliv na sledované </w:t>
      </w:r>
      <w:r w:rsidR="00783A5D" w:rsidRPr="007E3D67">
        <w:t>faktory</w:t>
      </w:r>
      <w:r w:rsidR="00995C8C" w:rsidRPr="007E3D67">
        <w:t>, společně s uvedením dokumentů, jenž byly výstupem jejich fungování. Následně pak bude</w:t>
      </w:r>
      <w:r w:rsidR="00D53E6B" w:rsidRPr="007E3D67">
        <w:t xml:space="preserve"> v jednotlivých subkapitolách</w:t>
      </w:r>
      <w:r w:rsidR="00995C8C" w:rsidRPr="007E3D67">
        <w:t xml:space="preserve"> provedena podrobná</w:t>
      </w:r>
      <w:r w:rsidR="00D53E6B" w:rsidRPr="007E3D67">
        <w:t>, chronologická</w:t>
      </w:r>
      <w:r w:rsidR="00995C8C" w:rsidRPr="007E3D67">
        <w:t xml:space="preserve"> deskripce, společně s kritikou, popř. souhlasným výrokem</w:t>
      </w:r>
      <w:r w:rsidR="00D53E6B" w:rsidRPr="007E3D67">
        <w:t>,</w:t>
      </w:r>
      <w:r w:rsidR="00995C8C" w:rsidRPr="007E3D67">
        <w:t xml:space="preserve"> těchto dokumentů a instrumentů v nich obsažených.  </w:t>
      </w:r>
    </w:p>
    <w:p w:rsidR="00315461" w:rsidRPr="007E3D67" w:rsidRDefault="00315461" w:rsidP="00240C52">
      <w:pPr>
        <w:pStyle w:val="Bodytext"/>
      </w:pPr>
    </w:p>
    <w:p w:rsidR="008429D1" w:rsidRPr="007E3D67" w:rsidRDefault="008429D1" w:rsidP="008429D1">
      <w:pPr>
        <w:rPr>
          <w:b/>
          <w:szCs w:val="28"/>
        </w:rPr>
      </w:pPr>
      <w:r w:rsidRPr="007E3D67">
        <w:rPr>
          <w:b/>
          <w:szCs w:val="28"/>
        </w:rPr>
        <w:t>Leden 2007 – květen 2009</w:t>
      </w:r>
    </w:p>
    <w:p w:rsidR="00E7560A" w:rsidRPr="007E3D67" w:rsidRDefault="00E7560A" w:rsidP="008429D1">
      <w:pPr>
        <w:rPr>
          <w:b/>
          <w:szCs w:val="28"/>
        </w:rPr>
      </w:pPr>
    </w:p>
    <w:p w:rsidR="008429D1" w:rsidRPr="007E3D67" w:rsidRDefault="008429D1" w:rsidP="005D00F2">
      <w:pPr>
        <w:pStyle w:val="Bodytext"/>
        <w:rPr>
          <w:color w:val="auto"/>
        </w:rPr>
      </w:pPr>
      <w:r w:rsidRPr="007E3D67">
        <w:t>Toto období lze nazvat jako „druhá vláda Mirka Topolánka</w:t>
      </w:r>
      <w:r w:rsidR="005D00F2" w:rsidRPr="007E3D67">
        <w:t>.“</w:t>
      </w:r>
      <w:r w:rsidRPr="007E3D67">
        <w:t xml:space="preserve"> Tato vláda byla jmenována 9. ledna 2007, důvěru jí Sněmovna odhlasovala 19. ledna 2007, svržena byla opozicí 24. března 2009, vládla však až do jmenování vlády Jana Fischera do 8. května 2009.</w:t>
      </w:r>
      <w:r w:rsidR="00DF2595" w:rsidRPr="007E3D67">
        <w:t xml:space="preserve"> Vláda byla tvořena koalicí ODS (9 zástupců), KDU-ČSL (5 zástupců) a Strany zelených (4 zástupci). Vláda se ujala předsednictví České republiky v Radě Evropské unie v prvním pololetí roku 2009.</w:t>
      </w:r>
      <w:r w:rsidR="005D00F2" w:rsidRPr="007E3D67">
        <w:rPr>
          <w:rFonts w:ascii="Arial" w:hAnsi="Arial" w:cs="Arial"/>
          <w:sz w:val="20"/>
        </w:rPr>
        <w:t xml:space="preserve"> </w:t>
      </w:r>
      <w:r w:rsidR="005D00F2" w:rsidRPr="007E3D67">
        <w:t>Dne 24. března 2009 (5. pokus) vyslovila </w:t>
      </w:r>
      <w:hyperlink r:id="rId68" w:tooltip="Poslanecká sněmovna" w:history="1">
        <w:r w:rsidR="005D00F2" w:rsidRPr="007E3D67">
          <w:rPr>
            <w:rStyle w:val="Hypertextovodkaz"/>
            <w:color w:val="auto"/>
            <w:szCs w:val="28"/>
            <w:u w:val="none"/>
          </w:rPr>
          <w:t>Poslanecká sněmovna</w:t>
        </w:r>
      </w:hyperlink>
      <w:r w:rsidR="005D00F2" w:rsidRPr="007E3D67">
        <w:rPr>
          <w:color w:val="auto"/>
        </w:rPr>
        <w:t> </w:t>
      </w:r>
      <w:hyperlink r:id="rId69" w:tooltip="Parlament" w:history="1">
        <w:r w:rsidR="005D00F2" w:rsidRPr="007E3D67">
          <w:rPr>
            <w:rStyle w:val="Hypertextovodkaz"/>
            <w:color w:val="auto"/>
            <w:szCs w:val="28"/>
            <w:u w:val="none"/>
          </w:rPr>
          <w:t>Parlamentu</w:t>
        </w:r>
      </w:hyperlink>
      <w:r w:rsidR="005D00F2" w:rsidRPr="007E3D67">
        <w:rPr>
          <w:color w:val="auto"/>
        </w:rPr>
        <w:t> </w:t>
      </w:r>
      <w:hyperlink r:id="rId70" w:tooltip="Česká republika" w:history="1">
        <w:r w:rsidR="005D00F2" w:rsidRPr="007E3D67">
          <w:rPr>
            <w:rStyle w:val="Hypertextovodkaz"/>
            <w:color w:val="auto"/>
            <w:szCs w:val="28"/>
            <w:u w:val="none"/>
          </w:rPr>
          <w:t>České republiky</w:t>
        </w:r>
      </w:hyperlink>
      <w:r w:rsidR="005D00F2" w:rsidRPr="007E3D67">
        <w:rPr>
          <w:color w:val="auto"/>
        </w:rPr>
        <w:t> této vládě nedůvěru. Byla to první vláda v historii České republiky, která byla svržena hlasováním o nedůvěře </w:t>
      </w:r>
      <w:hyperlink r:id="rId71" w:tooltip="Poslanecká sněmovna Parlamentu České republiky" w:history="1">
        <w:r w:rsidR="005D00F2" w:rsidRPr="007E3D67">
          <w:rPr>
            <w:rStyle w:val="Hypertextovodkaz"/>
            <w:color w:val="auto"/>
            <w:szCs w:val="28"/>
            <w:u w:val="none"/>
          </w:rPr>
          <w:t>Poslaneckou sněmovno</w:t>
        </w:r>
      </w:hyperlink>
      <w:r w:rsidR="005D00F2" w:rsidRPr="007E3D67">
        <w:rPr>
          <w:color w:val="auto"/>
        </w:rPr>
        <w:t>u.</w:t>
      </w:r>
    </w:p>
    <w:p w:rsidR="005D00F2" w:rsidRPr="007E3D67" w:rsidRDefault="005D00F2" w:rsidP="005D00F2">
      <w:pPr>
        <w:pStyle w:val="Bodytext"/>
        <w:rPr>
          <w:color w:val="auto"/>
        </w:rPr>
      </w:pPr>
    </w:p>
    <w:p w:rsidR="008815D9" w:rsidRPr="007E3D67" w:rsidRDefault="005D00F2" w:rsidP="005D00F2">
      <w:pPr>
        <w:pStyle w:val="Bodytext"/>
        <w:rPr>
          <w:color w:val="auto"/>
        </w:rPr>
      </w:pPr>
      <w:r w:rsidRPr="007E3D67">
        <w:rPr>
          <w:color w:val="auto"/>
        </w:rPr>
        <w:t>Z iniciace premiéra Mirka Topolánka a ostatních členů vlády byla založena Národní ekonomická rada vlády (dále jen NERV)</w:t>
      </w:r>
      <w:r w:rsidR="00B44719" w:rsidRPr="007E3D67">
        <w:rPr>
          <w:color w:val="auto"/>
        </w:rPr>
        <w:t>, která byla v pozměněném složení funkční ještě v době, kdy byla práce sepsána</w:t>
      </w:r>
      <w:r w:rsidRPr="007E3D67">
        <w:rPr>
          <w:color w:val="auto"/>
        </w:rPr>
        <w:t xml:space="preserve">. NERV </w:t>
      </w:r>
      <w:r w:rsidR="00B44719" w:rsidRPr="007E3D67">
        <w:rPr>
          <w:color w:val="auto"/>
        </w:rPr>
        <w:t>vystupuje jako</w:t>
      </w:r>
      <w:r w:rsidRPr="007E3D67">
        <w:rPr>
          <w:color w:val="auto"/>
        </w:rPr>
        <w:t xml:space="preserve"> poradní orgán, který pomáhá vládě nalézt nejvhodnější podobu reforem a ekonomických opatření</w:t>
      </w:r>
      <w:r w:rsidR="00B44719" w:rsidRPr="007E3D67">
        <w:rPr>
          <w:color w:val="auto"/>
        </w:rPr>
        <w:t>. Její personální obsazení by se mělo skládat ze zástupců českého byznysu, bankovního a finančního sektoru a akademické obce. Produktem NERV byl</w:t>
      </w:r>
      <w:r w:rsidR="00F75AF9" w:rsidRPr="007E3D67">
        <w:rPr>
          <w:color w:val="auto"/>
        </w:rPr>
        <w:t xml:space="preserve"> Národní protikrizový plán </w:t>
      </w:r>
      <w:r w:rsidR="009A0726" w:rsidRPr="007E3D67">
        <w:rPr>
          <w:color w:val="auto"/>
        </w:rPr>
        <w:t xml:space="preserve">(dále jen NPP) </w:t>
      </w:r>
      <w:r w:rsidR="00F75AF9" w:rsidRPr="007E3D67">
        <w:rPr>
          <w:color w:val="auto"/>
        </w:rPr>
        <w:t xml:space="preserve">a </w:t>
      </w:r>
      <w:r w:rsidR="00F75AF9" w:rsidRPr="007E3D67">
        <w:rPr>
          <w:color w:val="auto"/>
        </w:rPr>
        <w:lastRenderedPageBreak/>
        <w:t xml:space="preserve">později Závěrečná zpráva Národní ekonomické rady vlády. </w:t>
      </w:r>
      <w:r w:rsidR="00D57215" w:rsidRPr="007E3D67">
        <w:rPr>
          <w:color w:val="auto"/>
        </w:rPr>
        <w:t xml:space="preserve">V tomto období byl také schválen </w:t>
      </w:r>
      <w:r w:rsidR="008815D9" w:rsidRPr="007E3D67">
        <w:rPr>
          <w:color w:val="auto"/>
        </w:rPr>
        <w:t>zákon o podpoře hospodářského růstu a sociální stability.</w:t>
      </w:r>
    </w:p>
    <w:p w:rsidR="005D00F2" w:rsidRPr="007E3D67" w:rsidRDefault="008815D9" w:rsidP="005D00F2">
      <w:pPr>
        <w:pStyle w:val="Bodytext"/>
        <w:rPr>
          <w:color w:val="auto"/>
        </w:rPr>
      </w:pPr>
      <w:r w:rsidRPr="007E3D67">
        <w:rPr>
          <w:color w:val="auto"/>
        </w:rPr>
        <w:t xml:space="preserve"> </w:t>
      </w:r>
    </w:p>
    <w:p w:rsidR="005D00F2" w:rsidRPr="007E3D67" w:rsidRDefault="005D00F2" w:rsidP="005D00F2">
      <w:pPr>
        <w:pStyle w:val="Bodytext"/>
        <w:rPr>
          <w:b/>
          <w:color w:val="auto"/>
        </w:rPr>
      </w:pPr>
      <w:r w:rsidRPr="007E3D67">
        <w:rPr>
          <w:b/>
          <w:color w:val="auto"/>
        </w:rPr>
        <w:t>Květen 2009 – červen 2010</w:t>
      </w:r>
    </w:p>
    <w:p w:rsidR="00E7560A" w:rsidRPr="007E3D67" w:rsidRDefault="00E7560A" w:rsidP="005D00F2">
      <w:pPr>
        <w:pStyle w:val="Bodytext"/>
        <w:rPr>
          <w:b/>
          <w:color w:val="auto"/>
        </w:rPr>
      </w:pPr>
    </w:p>
    <w:p w:rsidR="00F75AF9" w:rsidRDefault="005D00F2" w:rsidP="005D00F2">
      <w:pPr>
        <w:pStyle w:val="Bodytext"/>
        <w:rPr>
          <w:color w:val="auto"/>
        </w:rPr>
      </w:pPr>
      <w:r w:rsidRPr="007E3D67">
        <w:rPr>
          <w:color w:val="auto"/>
        </w:rPr>
        <w:t xml:space="preserve">Vláda České republiky pod vedením premiéra Jana Fischera (nazývaná jako letní vláda, vláda odborníků, vláda náměstků či úřednická vláda) měla podle dohody ČSSD, ODS, Strany zelených a původně též KDU-ČSL být překlenovací vládou po vyslovení nedůvěry druhé vládě Mirka Topolánka na jaře 2009 až do zamýšlených předčasných parlamentních voleb na podzim roku 2009. Ty se však nekonaly, a proto vláda prodloužila svůj mandát až do květnových voleb 2010. Dne 25. června podal premiér Jan Fischer demisi do rukou prezidenta Václava Klause, jenž vládu pověřil vedením země do jmenování Nečasovy vlády, ke kterému došlo 13. července 2010. </w:t>
      </w:r>
    </w:p>
    <w:p w:rsidR="009D31F1" w:rsidRPr="00BE7464" w:rsidRDefault="009D31F1" w:rsidP="005D00F2">
      <w:pPr>
        <w:pStyle w:val="Bodytext"/>
      </w:pPr>
      <w:r w:rsidRPr="00BE7464">
        <w:t>(PŘEHLED VLÁD ČR 2010)</w:t>
      </w:r>
    </w:p>
    <w:p w:rsidR="00F75AF9" w:rsidRPr="007E3D67" w:rsidRDefault="009D31F1" w:rsidP="005D00F2">
      <w:pPr>
        <w:pStyle w:val="Bodytext"/>
        <w:rPr>
          <w:color w:val="auto"/>
        </w:rPr>
      </w:pPr>
      <w:r w:rsidRPr="007E3D67">
        <w:rPr>
          <w:color w:val="auto"/>
        </w:rPr>
        <w:t xml:space="preserve"> </w:t>
      </w:r>
    </w:p>
    <w:p w:rsidR="0053531D" w:rsidRPr="007E3D67" w:rsidRDefault="005D00F2" w:rsidP="0053531D">
      <w:pPr>
        <w:pStyle w:val="Bodytext"/>
        <w:rPr>
          <w:color w:val="auto"/>
        </w:rPr>
      </w:pPr>
      <w:r w:rsidRPr="007E3D67">
        <w:rPr>
          <w:color w:val="auto"/>
        </w:rPr>
        <w:t>V období této vlády byl</w:t>
      </w:r>
      <w:r w:rsidR="0053531D" w:rsidRPr="007E3D67">
        <w:rPr>
          <w:color w:val="auto"/>
        </w:rPr>
        <w:t>y</w:t>
      </w:r>
      <w:r w:rsidRPr="007E3D67">
        <w:rPr>
          <w:color w:val="auto"/>
        </w:rPr>
        <w:t xml:space="preserve"> </w:t>
      </w:r>
      <w:r w:rsidR="00F75AF9" w:rsidRPr="007E3D67">
        <w:rPr>
          <w:color w:val="auto"/>
        </w:rPr>
        <w:t>vypracován</w:t>
      </w:r>
      <w:r w:rsidR="0053531D" w:rsidRPr="007E3D67">
        <w:rPr>
          <w:color w:val="auto"/>
        </w:rPr>
        <w:t>y</w:t>
      </w:r>
      <w:r w:rsidR="00F75AF9" w:rsidRPr="007E3D67">
        <w:rPr>
          <w:color w:val="auto"/>
        </w:rPr>
        <w:t>, později schválen</w:t>
      </w:r>
      <w:r w:rsidR="0053531D" w:rsidRPr="007E3D67">
        <w:rPr>
          <w:color w:val="auto"/>
        </w:rPr>
        <w:t>y</w:t>
      </w:r>
      <w:r w:rsidR="00F75AF9" w:rsidRPr="007E3D67">
        <w:rPr>
          <w:color w:val="auto"/>
        </w:rPr>
        <w:t xml:space="preserve"> a uveden</w:t>
      </w:r>
      <w:r w:rsidR="0053531D" w:rsidRPr="007E3D67">
        <w:rPr>
          <w:color w:val="auto"/>
        </w:rPr>
        <w:t>y</w:t>
      </w:r>
      <w:r w:rsidR="00F75AF9" w:rsidRPr="007E3D67">
        <w:rPr>
          <w:color w:val="auto"/>
        </w:rPr>
        <w:t xml:space="preserve"> v</w:t>
      </w:r>
      <w:r w:rsidR="0053531D" w:rsidRPr="007E3D67">
        <w:rPr>
          <w:color w:val="auto"/>
        </w:rPr>
        <w:t> </w:t>
      </w:r>
      <w:r w:rsidR="00F75AF9" w:rsidRPr="007E3D67">
        <w:rPr>
          <w:color w:val="auto"/>
        </w:rPr>
        <w:t>platnost</w:t>
      </w:r>
      <w:r w:rsidR="0053531D" w:rsidRPr="007E3D67">
        <w:rPr>
          <w:color w:val="auto"/>
        </w:rPr>
        <w:t xml:space="preserve"> tyto zásadní dokumenty: </w:t>
      </w:r>
    </w:p>
    <w:p w:rsidR="0053531D" w:rsidRPr="007E3D67" w:rsidRDefault="0053531D" w:rsidP="0053531D">
      <w:pPr>
        <w:pStyle w:val="Bodytext"/>
        <w:numPr>
          <w:ilvl w:val="0"/>
          <w:numId w:val="35"/>
        </w:numPr>
        <w:rPr>
          <w:color w:val="auto"/>
        </w:rPr>
      </w:pPr>
      <w:r w:rsidRPr="007E3D67">
        <w:rPr>
          <w:color w:val="auto"/>
        </w:rPr>
        <w:t>Zákon o podpoře hospodářského růstu a sociální stability.</w:t>
      </w:r>
    </w:p>
    <w:p w:rsidR="0053531D" w:rsidRPr="007E3D67" w:rsidRDefault="0053531D" w:rsidP="0053531D">
      <w:pPr>
        <w:pStyle w:val="Odstavecseseznamem"/>
        <w:numPr>
          <w:ilvl w:val="0"/>
          <w:numId w:val="35"/>
        </w:numPr>
        <w:spacing w:line="360" w:lineRule="auto"/>
        <w:rPr>
          <w:rFonts w:ascii="Times New Roman" w:hAnsi="Times New Roman" w:cs="Times New Roman"/>
          <w:szCs w:val="24"/>
        </w:rPr>
      </w:pPr>
      <w:r w:rsidRPr="007E3D67">
        <w:rPr>
          <w:rFonts w:ascii="Times New Roman" w:hAnsi="Times New Roman" w:cs="Times New Roman"/>
          <w:szCs w:val="24"/>
        </w:rPr>
        <w:t xml:space="preserve">Závěrečná zpráva NERV. </w:t>
      </w:r>
    </w:p>
    <w:p w:rsidR="00564244" w:rsidRPr="007E3D67" w:rsidRDefault="00E7560A" w:rsidP="00240C52">
      <w:pPr>
        <w:pStyle w:val="Odstavecseseznamem"/>
        <w:numPr>
          <w:ilvl w:val="0"/>
          <w:numId w:val="35"/>
        </w:numPr>
        <w:spacing w:line="360" w:lineRule="auto"/>
      </w:pPr>
      <w:r w:rsidRPr="007E3D67">
        <w:rPr>
          <w:rFonts w:ascii="Times New Roman" w:hAnsi="Times New Roman" w:cs="Times New Roman"/>
          <w:szCs w:val="24"/>
        </w:rPr>
        <w:t>T</w:t>
      </w:r>
      <w:r w:rsidR="00F75AF9" w:rsidRPr="007E3D67">
        <w:rPr>
          <w:rFonts w:ascii="Times New Roman" w:hAnsi="Times New Roman" w:cs="Times New Roman"/>
          <w:szCs w:val="24"/>
        </w:rPr>
        <w:t xml:space="preserve">zv. Janotův balíček. </w:t>
      </w:r>
    </w:p>
    <w:p w:rsidR="00081312" w:rsidRPr="007E3D67" w:rsidRDefault="00C97C4D" w:rsidP="00E7560A">
      <w:pPr>
        <w:pStyle w:val="CaptionIntroductionparagraph"/>
      </w:pPr>
      <w:bookmarkStart w:id="255" w:name="_Toc279307165"/>
      <w:bookmarkStart w:id="256" w:name="_Toc279438646"/>
      <w:bookmarkStart w:id="257" w:name="_Toc279696280"/>
      <w:bookmarkStart w:id="258" w:name="_Toc279696369"/>
      <w:r w:rsidRPr="007E3D67">
        <w:t>Obr. 34:</w:t>
      </w:r>
      <w:r w:rsidR="00564244" w:rsidRPr="007E3D67">
        <w:t xml:space="preserve"> </w:t>
      </w:r>
      <w:r w:rsidR="00C54239" w:rsidRPr="007E3D67">
        <w:t>Ilustrace uvedení v platnost vybraných protikrizových opatření na časové</w:t>
      </w:r>
      <w:r w:rsidR="00564244" w:rsidRPr="007E3D67">
        <w:t xml:space="preserve"> os</w:t>
      </w:r>
      <w:r w:rsidR="00C54239" w:rsidRPr="007E3D67">
        <w:t>e</w:t>
      </w:r>
      <w:bookmarkEnd w:id="255"/>
      <w:r w:rsidR="004076FB" w:rsidRPr="007E3D67">
        <w:t>.</w:t>
      </w:r>
      <w:bookmarkEnd w:id="256"/>
      <w:bookmarkEnd w:id="257"/>
      <w:bookmarkEnd w:id="258"/>
    </w:p>
    <w:p w:rsidR="00081312" w:rsidRPr="007E3D67" w:rsidRDefault="00D82A9D" w:rsidP="00240C52">
      <w:pPr>
        <w:pStyle w:val="Bodytext"/>
        <w:rPr>
          <w:color w:val="auto"/>
        </w:rPr>
      </w:pPr>
      <w:r w:rsidRPr="00D82A9D">
        <w:rPr>
          <w:noProof/>
          <w:lang w:eastAsia="cs-CZ"/>
        </w:rPr>
        <w:pict>
          <v:shapetype id="_x0000_t202" coordsize="21600,21600" o:spt="202" path="m,l,21600r21600,l21600,xe">
            <v:stroke joinstyle="miter"/>
            <v:path gradientshapeok="t" o:connecttype="rect"/>
          </v:shapetype>
          <v:shape id="_x0000_s1048" type="#_x0000_t202" style="position:absolute;left:0;text-align:left;margin-left:326.7pt;margin-top:5.45pt;width:96.55pt;height:24.7pt;z-index:251682816;mso-width-relative:margin;mso-height-relative:margin" fillcolor="white [3201]" strokecolor="#3c8a2e [3208]" strokeweight="2.5pt">
            <v:shadow color="#868686"/>
            <v:textbox style="mso-next-textbox:#_x0000_s1048">
              <w:txbxContent>
                <w:p w:rsidR="00093386" w:rsidRDefault="00093386" w:rsidP="00325271">
                  <w:r>
                    <w:t>Janotův balíček</w:t>
                  </w:r>
                </w:p>
                <w:p w:rsidR="00093386" w:rsidRDefault="00093386" w:rsidP="00325271"/>
              </w:txbxContent>
            </v:textbox>
          </v:shape>
        </w:pict>
      </w:r>
    </w:p>
    <w:p w:rsidR="00081312" w:rsidRPr="007E3D67" w:rsidRDefault="00D82A9D" w:rsidP="00240C52">
      <w:pPr>
        <w:pStyle w:val="Bodytext"/>
        <w:rPr>
          <w:color w:val="auto"/>
        </w:rPr>
      </w:pPr>
      <w:r w:rsidRPr="00D82A9D">
        <w:rPr>
          <w:noProof/>
          <w:lang w:eastAsia="cs-CZ"/>
        </w:rPr>
        <w:pict>
          <v:shape id="_x0000_s1047" type="#_x0000_t202" style="position:absolute;left:0;text-align:left;margin-left:151.2pt;margin-top:16.7pt;width:175.5pt;height:44pt;z-index:251681792;mso-width-relative:margin;mso-height-relative:margin" fillcolor="white [3201]" strokecolor="#3c8a2e [3208]" strokeweight="2.5pt">
            <v:shadow color="#868686"/>
            <v:textbox style="mso-next-textbox:#_x0000_s1047">
              <w:txbxContent>
                <w:p w:rsidR="00093386" w:rsidRDefault="00093386" w:rsidP="008815D9">
                  <w:pPr>
                    <w:jc w:val="left"/>
                  </w:pPr>
                  <w:r w:rsidRPr="008815D9">
                    <w:t>Zákon o podpoře hospodářského růstu a sociální stability</w:t>
                  </w:r>
                </w:p>
              </w:txbxContent>
            </v:textbox>
          </v:shape>
        </w:pict>
      </w:r>
      <w:r w:rsidRPr="00D82A9D">
        <w:rPr>
          <w:noProof/>
          <w:lang w:eastAsia="cs-CZ"/>
        </w:rPr>
        <w:pict>
          <v:shapetype id="_x0000_t32" coordsize="21600,21600" o:spt="32" o:oned="t" path="m,l21600,21600e" filled="f">
            <v:path arrowok="t" fillok="f" o:connecttype="none"/>
            <o:lock v:ext="edit" shapetype="t"/>
          </v:shapetype>
          <v:shape id="_x0000_s1053" type="#_x0000_t32" style="position:absolute;left:0;text-align:left;margin-left:394.95pt;margin-top:9.5pt;width:0;height:155.25pt;flip:y;z-index:251687936" o:connectortype="straight" strokecolor="#92d400 [3205]" strokeweight="2.5pt">
            <v:stroke endarrow="block"/>
            <v:shadow color="#868686"/>
          </v:shape>
        </w:pict>
      </w:r>
    </w:p>
    <w:p w:rsidR="00081312" w:rsidRPr="007E3D67" w:rsidRDefault="00081312" w:rsidP="00240C52">
      <w:pPr>
        <w:pStyle w:val="Bodytext"/>
      </w:pPr>
    </w:p>
    <w:p w:rsidR="005404A4" w:rsidRPr="007E3D67" w:rsidRDefault="00D82A9D" w:rsidP="00315461">
      <w:pPr>
        <w:pStyle w:val="Bodytext"/>
      </w:pPr>
      <w:r>
        <w:rPr>
          <w:noProof/>
          <w:lang w:eastAsia="cs-CZ"/>
        </w:rPr>
        <w:pict>
          <v:shape id="_x0000_s1052" type="#_x0000_t32" style="position:absolute;left:0;text-align:left;margin-left:326.7pt;margin-top:19.3pt;width:0;height:104.05pt;flip:y;z-index:251686912" o:connectortype="straight" strokecolor="#92d400 [3205]" strokeweight="2.5pt">
            <v:stroke endarrow="block"/>
            <v:shadow color="#868686"/>
          </v:shape>
        </w:pict>
      </w:r>
    </w:p>
    <w:p w:rsidR="00081312" w:rsidRPr="007E3D67" w:rsidRDefault="00D82A9D" w:rsidP="00315461">
      <w:pPr>
        <w:pStyle w:val="Bodytext"/>
      </w:pPr>
      <w:r>
        <w:rPr>
          <w:noProof/>
          <w:lang w:eastAsia="cs-CZ"/>
        </w:rPr>
        <w:pict>
          <v:shape id="_x0000_s1049" type="#_x0000_t202" style="position:absolute;left:0;text-align:left;margin-left:174.45pt;margin-top:4.85pt;width:140.25pt;height:23.25pt;z-index:251683840;mso-width-relative:margin;mso-height-relative:margin" fillcolor="white [3201]" strokecolor="#3c8a2e [3208]" strokeweight="2.5pt">
            <v:shadow color="#868686"/>
            <o:extrusion v:ext="view" rotationangle="-55,-5"/>
            <v:textbox style="mso-next-textbox:#_x0000_s1049">
              <w:txbxContent>
                <w:p w:rsidR="00093386" w:rsidRDefault="00093386" w:rsidP="00325271">
                  <w:r>
                    <w:t xml:space="preserve">Závěrečná zpráva NERV </w:t>
                  </w:r>
                </w:p>
                <w:p w:rsidR="00093386" w:rsidRDefault="00093386" w:rsidP="00325271"/>
              </w:txbxContent>
            </v:textbox>
          </v:shape>
        </w:pict>
      </w:r>
    </w:p>
    <w:p w:rsidR="00081312" w:rsidRPr="007E3D67" w:rsidRDefault="00D82A9D" w:rsidP="00315461">
      <w:pPr>
        <w:pStyle w:val="Bodytext"/>
      </w:pPr>
      <w:r>
        <w:rPr>
          <w:noProof/>
          <w:lang w:eastAsia="cs-CZ"/>
        </w:rPr>
        <w:pict>
          <v:shape id="_x0000_s1051" type="#_x0000_t32" style="position:absolute;left:0;text-align:left;margin-left:313.2pt;margin-top:7.4pt;width:0;height:74.55pt;flip:y;z-index:251685888" o:connectortype="straight" strokecolor="#92d400 [3205]" strokeweight="2.5pt">
            <v:stroke endarrow="block"/>
            <v:shadow color="#868686"/>
          </v:shape>
        </w:pict>
      </w:r>
      <w:r>
        <w:rPr>
          <w:noProof/>
          <w:lang w:eastAsia="cs-CZ"/>
        </w:rPr>
        <w:pict>
          <v:shape id="_x0000_s1046" type="#_x0000_t202" style="position:absolute;left:0;text-align:left;margin-left:89.9pt;margin-top:16.75pt;width:143.05pt;height:24.7pt;z-index:251680768;mso-width-relative:margin;mso-height-relative:margin" fillcolor="white [3201]" strokecolor="#3c8a2e [3208]" strokeweight="2.5pt">
            <v:shadow color="#868686"/>
            <v:textbox style="mso-next-textbox:#_x0000_s1046">
              <w:txbxContent>
                <w:p w:rsidR="00093386" w:rsidRDefault="00093386" w:rsidP="00325271">
                  <w:r>
                    <w:t>Národní protikrizový plán</w:t>
                  </w:r>
                </w:p>
                <w:p w:rsidR="00093386" w:rsidRDefault="00093386" w:rsidP="00325271"/>
              </w:txbxContent>
            </v:textbox>
          </v:shape>
        </w:pict>
      </w:r>
    </w:p>
    <w:p w:rsidR="00081312" w:rsidRPr="007E3D67" w:rsidRDefault="00081312" w:rsidP="00315461">
      <w:pPr>
        <w:pStyle w:val="Bodytext"/>
      </w:pPr>
    </w:p>
    <w:p w:rsidR="00081312" w:rsidRPr="007E3D67" w:rsidRDefault="00D82A9D" w:rsidP="00315461">
      <w:pPr>
        <w:pStyle w:val="Bodytext"/>
      </w:pPr>
      <w:r>
        <w:rPr>
          <w:noProof/>
          <w:lang w:eastAsia="cs-CZ"/>
        </w:rPr>
        <w:pict>
          <v:shape id="_x0000_s1050" type="#_x0000_t32" style="position:absolute;left:0;text-align:left;margin-left:214pt;margin-top:.05pt;width:0;height:40.5pt;flip:y;z-index:251684864" o:connectortype="straight" strokecolor="#92d400 [3205]" strokeweight="2.5pt">
            <v:stroke endarrow="block"/>
            <v:shadow color="#868686"/>
          </v:shape>
        </w:pict>
      </w:r>
    </w:p>
    <w:p w:rsidR="00081312" w:rsidRPr="007E3D67" w:rsidRDefault="00D82A9D" w:rsidP="00315461">
      <w:pPr>
        <w:pStyle w:val="Bodytext"/>
      </w:pPr>
      <w:r>
        <w:rPr>
          <w:noProof/>
          <w:lang w:eastAsia="cs-CZ"/>
        </w:rPr>
        <w:pict>
          <v:shape id="_x0000_s1045" type="#_x0000_t32" style="position:absolute;left:0;text-align:left;margin-left:379.2pt;margin-top:12.35pt;width:0;height:33pt;z-index:251679744" o:connectortype="straight" strokecolor="#002776 [3204]" strokeweight="4.5pt">
            <v:shadow color="#868686"/>
          </v:shape>
        </w:pict>
      </w:r>
      <w:r>
        <w:rPr>
          <w:noProof/>
          <w:lang w:eastAsia="cs-CZ"/>
        </w:rPr>
        <w:pict>
          <v:shape id="_x0000_s1040" type="#_x0000_t32" style="position:absolute;left:0;text-align:left;margin-left:33.45pt;margin-top:12.35pt;width:0;height:33pt;z-index:251674624" o:connectortype="straight" strokecolor="#002776 [3204]" strokeweight="4.5pt">
            <v:shadow color="#868686"/>
          </v:shape>
        </w:pict>
      </w:r>
      <w:r>
        <w:rPr>
          <w:noProof/>
          <w:lang w:eastAsia="cs-CZ"/>
        </w:rPr>
        <w:pict>
          <v:shape id="_x0000_s1044" type="#_x0000_t32" style="position:absolute;left:0;text-align:left;margin-left:202.95pt;margin-top:12.35pt;width:0;height:33pt;z-index:251678720" o:connectortype="straight" strokecolor="#002776 [3204]" strokeweight="4.5pt">
            <v:shadow color="#868686"/>
          </v:shape>
        </w:pict>
      </w:r>
    </w:p>
    <w:p w:rsidR="00081312" w:rsidRPr="007E3D67" w:rsidRDefault="00D82A9D" w:rsidP="00315461">
      <w:pPr>
        <w:pStyle w:val="Bodytext"/>
      </w:pPr>
      <w:r>
        <w:rPr>
          <w:noProof/>
          <w:lang w:eastAsia="cs-CZ"/>
        </w:rPr>
        <w:pict>
          <v:shape id="_x0000_s1043" type="#_x0000_t13" style="position:absolute;left:0;text-align:left;margin-left:13.95pt;margin-top:2.9pt;width:406.5pt;height:9.75pt;z-index:251677696" adj="21018,675" fillcolor="#002776 [3204]" strokecolor="#002776 [3204]" strokeweight="10pt">
            <v:stroke linestyle="thinThin"/>
            <v:shadow color="#868686"/>
          </v:shape>
        </w:pict>
      </w:r>
    </w:p>
    <w:p w:rsidR="00081312" w:rsidRPr="007E3D67" w:rsidRDefault="00D82A9D" w:rsidP="00315461">
      <w:pPr>
        <w:pStyle w:val="Bodytext"/>
      </w:pPr>
      <w:r>
        <w:rPr>
          <w:noProof/>
          <w:lang w:eastAsia="cs-CZ"/>
        </w:rPr>
        <w:pict>
          <v:shape id="_x0000_s1038" type="#_x0000_t202" style="position:absolute;left:0;text-align:left;margin-left:362.9pt;margin-top:8.35pt;width:39.55pt;height:19.45pt;z-index:251672576;mso-width-relative:margin;mso-height-relative:margin" fillcolor="white [3201]" strokecolor="#666 [1936]" strokeweight="1pt">
            <v:fill color2="#999 [1296]" focusposition="1" focussize="" focus="100%" type="gradient"/>
            <v:shadow on="t" type="perspective" color="#7f7f7f [1601]" opacity=".5" offset="1pt" offset2="-3pt"/>
            <v:textbox style="mso-next-textbox:#_x0000_s1038">
              <w:txbxContent>
                <w:p w:rsidR="00093386" w:rsidRDefault="00093386" w:rsidP="00081312">
                  <w:r>
                    <w:t>2010</w:t>
                  </w:r>
                </w:p>
                <w:p w:rsidR="00093386" w:rsidRDefault="00093386" w:rsidP="00081312"/>
              </w:txbxContent>
            </v:textbox>
          </v:shape>
        </w:pict>
      </w:r>
      <w:r>
        <w:rPr>
          <w:noProof/>
          <w:lang w:eastAsia="cs-CZ"/>
        </w:rPr>
        <w:pict>
          <v:shape id="_x0000_s1039" type="#_x0000_t202" style="position:absolute;left:0;text-align:left;margin-left:13.95pt;margin-top:8.35pt;width:39.55pt;height:19.45pt;z-index:251673600;mso-width-relative:margin;mso-height-relative:margin" fillcolor="white [3201]" strokecolor="#666 [1936]" strokeweight="1pt">
            <v:fill color2="#999 [1296]" focusposition="1" focussize="" focus="100%" type="gradient"/>
            <v:shadow on="t" type="perspective" color="#7f7f7f [1601]" opacity=".5" offset="1pt" offset2="-3pt"/>
            <v:textbox style="mso-next-textbox:#_x0000_s1039">
              <w:txbxContent>
                <w:p w:rsidR="00093386" w:rsidRDefault="00093386" w:rsidP="00081312">
                  <w:r>
                    <w:t>2008</w:t>
                  </w:r>
                </w:p>
              </w:txbxContent>
            </v:textbox>
          </v:shape>
        </w:pict>
      </w:r>
      <w:r>
        <w:rPr>
          <w:noProof/>
        </w:rPr>
        <w:pict>
          <v:shape id="_x0000_s1037" type="#_x0000_t202" style="position:absolute;left:0;text-align:left;margin-left:182pt;margin-top:8.35pt;width:39.55pt;height:19.45pt;z-index:251671552;mso-width-relative:margin;mso-height-relative:margin" fillcolor="white [3201]" strokecolor="#666 [1936]" strokeweight="1pt">
            <v:fill color2="#999 [1296]" focusposition="1" focussize="" focus="100%" type="gradient"/>
            <v:shadow on="t" type="perspective" color="#7f7f7f [1601]" opacity=".5" offset="1pt" offset2="-3pt"/>
            <v:textbox style="mso-next-textbox:#_x0000_s1037">
              <w:txbxContent>
                <w:p w:rsidR="00093386" w:rsidRDefault="00093386">
                  <w:r>
                    <w:t>2009</w:t>
                  </w:r>
                  <w:r>
                    <w:tab/>
                  </w:r>
                </w:p>
              </w:txbxContent>
            </v:textbox>
          </v:shape>
        </w:pict>
      </w:r>
    </w:p>
    <w:p w:rsidR="00081312" w:rsidRPr="007E3D67" w:rsidRDefault="00564244" w:rsidP="00315461">
      <w:pPr>
        <w:pStyle w:val="Bodytext"/>
        <w:rPr>
          <w:i/>
          <w:sz w:val="20"/>
        </w:rPr>
      </w:pPr>
      <w:r w:rsidRPr="007E3D67">
        <w:rPr>
          <w:i/>
          <w:sz w:val="20"/>
        </w:rPr>
        <w:lastRenderedPageBreak/>
        <w:t>Zdroj: Vlastní konstrukce</w:t>
      </w:r>
    </w:p>
    <w:p w:rsidR="002A62D8" w:rsidRPr="007E3D67" w:rsidRDefault="00D53E6B" w:rsidP="002B3A92">
      <w:pPr>
        <w:pStyle w:val="Nadpis2"/>
      </w:pPr>
      <w:bookmarkStart w:id="259" w:name="_Toc278920744"/>
      <w:bookmarkStart w:id="260" w:name="_Toc279696231"/>
      <w:r w:rsidRPr="007E3D67">
        <w:t>Národní protikrizový plán</w:t>
      </w:r>
      <w:bookmarkEnd w:id="259"/>
      <w:bookmarkEnd w:id="260"/>
    </w:p>
    <w:p w:rsidR="00B8356F" w:rsidRPr="007E3D67" w:rsidRDefault="00B8356F" w:rsidP="00B8356F">
      <w:r w:rsidRPr="007E3D67">
        <w:t xml:space="preserve">V první polovině roku 2009 byl přijat vládou ČR NPP, který byl zaměřen především na nabídkovou stranu ekonomiky. Obsahoval snížení zátěže (daňové i z plateb na sociální a zdravotní pojištění) pro podnikatele, urychlení odpisů, rozšíření podpor pro podnikání v zemědělství, stavebnictví a v dalších oblastech, vyšší podporu infrastrukturním projektům, posílení podpory exportu a další. Tato opatření přinesla určité zmírnění dopadů krize, nemohla však zásadním způsobem změnit ekonomický vývoj ČR v tomto a následujícím roce. </w:t>
      </w:r>
    </w:p>
    <w:p w:rsidR="005B3C1D" w:rsidRPr="007E3D67" w:rsidRDefault="005B3C1D" w:rsidP="00D53E6B"/>
    <w:p w:rsidR="005B3C1D" w:rsidRPr="007E3D67" w:rsidRDefault="003503ED" w:rsidP="00E7560A">
      <w:pPr>
        <w:pStyle w:val="CaptionIntroductionparagraph"/>
      </w:pPr>
      <w:bookmarkStart w:id="261" w:name="_Toc279307405"/>
      <w:bookmarkStart w:id="262" w:name="_Toc279438732"/>
      <w:bookmarkStart w:id="263" w:name="_Toc279696281"/>
      <w:bookmarkStart w:id="264" w:name="_Toc279696370"/>
      <w:r w:rsidRPr="007E3D67">
        <w:t>Tab</w:t>
      </w:r>
      <w:r w:rsidR="007E3D67">
        <w:t>.</w:t>
      </w:r>
      <w:r w:rsidRPr="007E3D67">
        <w:t xml:space="preserve"> </w:t>
      </w:r>
      <w:r w:rsidR="00D5722D" w:rsidRPr="007E3D67">
        <w:t>8</w:t>
      </w:r>
      <w:r w:rsidRPr="007E3D67">
        <w:t>:</w:t>
      </w:r>
      <w:r w:rsidR="005B3C1D" w:rsidRPr="007E3D67">
        <w:t xml:space="preserve"> Opatření v rámci </w:t>
      </w:r>
      <w:r w:rsidR="009A0726" w:rsidRPr="007E3D67">
        <w:t>NPP</w:t>
      </w:r>
      <w:r w:rsidR="00B768A8" w:rsidRPr="007E3D67">
        <w:t xml:space="preserve"> (částky v </w:t>
      </w:r>
      <w:r w:rsidR="007242A2" w:rsidRPr="007E3D67">
        <w:t>mld.</w:t>
      </w:r>
      <w:r w:rsidR="00B768A8" w:rsidRPr="007E3D67">
        <w:t xml:space="preserve"> Kč)</w:t>
      </w:r>
      <w:bookmarkEnd w:id="261"/>
      <w:bookmarkEnd w:id="262"/>
      <w:bookmarkEnd w:id="263"/>
      <w:bookmarkEnd w:id="264"/>
    </w:p>
    <w:tbl>
      <w:tblPr>
        <w:tblW w:w="7575" w:type="dxa"/>
        <w:tblInd w:w="55" w:type="dxa"/>
        <w:tblCellMar>
          <w:left w:w="70" w:type="dxa"/>
          <w:right w:w="70" w:type="dxa"/>
        </w:tblCellMar>
        <w:tblLook w:val="04A0"/>
      </w:tblPr>
      <w:tblGrid>
        <w:gridCol w:w="4278"/>
        <w:gridCol w:w="1094"/>
        <w:gridCol w:w="1123"/>
        <w:gridCol w:w="1080"/>
      </w:tblGrid>
      <w:tr w:rsidR="00AE25E8" w:rsidRPr="007E3D67" w:rsidTr="00AE25E8">
        <w:trPr>
          <w:trHeight w:val="306"/>
        </w:trPr>
        <w:tc>
          <w:tcPr>
            <w:tcW w:w="4278" w:type="dxa"/>
            <w:vMerge w:val="restart"/>
            <w:tcBorders>
              <w:top w:val="single" w:sz="12" w:space="0" w:color="auto"/>
              <w:left w:val="single" w:sz="12" w:space="0" w:color="auto"/>
              <w:bottom w:val="single" w:sz="4" w:space="0" w:color="auto"/>
              <w:right w:val="single" w:sz="4" w:space="0" w:color="auto"/>
            </w:tcBorders>
            <w:shd w:val="clear" w:color="000000" w:fill="8DB4E3"/>
            <w:noWrap/>
            <w:vAlign w:val="center"/>
            <w:hideMark/>
          </w:tcPr>
          <w:p w:rsidR="00AE25E8" w:rsidRPr="007E3D67" w:rsidRDefault="00AE25E8" w:rsidP="00B768A8">
            <w:pPr>
              <w:spacing w:line="240" w:lineRule="auto"/>
              <w:jc w:val="center"/>
              <w:rPr>
                <w:b/>
                <w:bCs/>
                <w:color w:val="FFFFFF"/>
                <w:sz w:val="22"/>
                <w:szCs w:val="22"/>
                <w:lang w:eastAsia="cs-CZ"/>
              </w:rPr>
            </w:pPr>
            <w:r w:rsidRPr="007E3D67">
              <w:rPr>
                <w:b/>
                <w:bCs/>
                <w:color w:val="FFFFFF"/>
                <w:sz w:val="22"/>
                <w:szCs w:val="22"/>
                <w:lang w:eastAsia="cs-CZ"/>
              </w:rPr>
              <w:t>Opatření</w:t>
            </w:r>
          </w:p>
        </w:tc>
        <w:tc>
          <w:tcPr>
            <w:tcW w:w="1094" w:type="dxa"/>
            <w:vMerge w:val="restart"/>
            <w:tcBorders>
              <w:top w:val="single" w:sz="12" w:space="0" w:color="auto"/>
              <w:left w:val="single" w:sz="4" w:space="0" w:color="auto"/>
              <w:bottom w:val="single" w:sz="4" w:space="0" w:color="000000"/>
              <w:right w:val="single" w:sz="4" w:space="0" w:color="auto"/>
            </w:tcBorders>
            <w:shd w:val="clear" w:color="000000" w:fill="8DB4E3"/>
            <w:vAlign w:val="center"/>
            <w:hideMark/>
          </w:tcPr>
          <w:p w:rsidR="00AE25E8" w:rsidRPr="007E3D67" w:rsidRDefault="00AE25E8" w:rsidP="00B768A8">
            <w:pPr>
              <w:spacing w:line="240" w:lineRule="auto"/>
              <w:jc w:val="center"/>
              <w:rPr>
                <w:b/>
                <w:bCs/>
                <w:color w:val="FFFFFF"/>
                <w:sz w:val="22"/>
                <w:szCs w:val="22"/>
                <w:lang w:eastAsia="cs-CZ"/>
              </w:rPr>
            </w:pPr>
            <w:r w:rsidRPr="007E3D67">
              <w:rPr>
                <w:b/>
                <w:bCs/>
                <w:color w:val="FFFFFF"/>
                <w:sz w:val="22"/>
                <w:szCs w:val="22"/>
                <w:lang w:eastAsia="cs-CZ"/>
              </w:rPr>
              <w:t>Příjmy státního rozpočtu</w:t>
            </w:r>
          </w:p>
        </w:tc>
        <w:tc>
          <w:tcPr>
            <w:tcW w:w="1123" w:type="dxa"/>
            <w:vMerge w:val="restart"/>
            <w:tcBorders>
              <w:top w:val="single" w:sz="12" w:space="0" w:color="auto"/>
              <w:left w:val="single" w:sz="4" w:space="0" w:color="auto"/>
              <w:bottom w:val="single" w:sz="4" w:space="0" w:color="000000"/>
              <w:right w:val="single" w:sz="4" w:space="0" w:color="auto"/>
            </w:tcBorders>
            <w:shd w:val="clear" w:color="000000" w:fill="8DB4E3"/>
            <w:vAlign w:val="center"/>
            <w:hideMark/>
          </w:tcPr>
          <w:p w:rsidR="00AE25E8" w:rsidRPr="007E3D67" w:rsidRDefault="00AE25E8" w:rsidP="00B768A8">
            <w:pPr>
              <w:spacing w:line="240" w:lineRule="auto"/>
              <w:jc w:val="center"/>
              <w:rPr>
                <w:b/>
                <w:bCs/>
                <w:color w:val="FFFFFF"/>
                <w:sz w:val="22"/>
                <w:szCs w:val="22"/>
                <w:lang w:eastAsia="cs-CZ"/>
              </w:rPr>
            </w:pPr>
            <w:r w:rsidRPr="007E3D67">
              <w:rPr>
                <w:b/>
                <w:bCs/>
                <w:color w:val="FFFFFF"/>
                <w:sz w:val="22"/>
                <w:szCs w:val="22"/>
                <w:lang w:eastAsia="cs-CZ"/>
              </w:rPr>
              <w:t>Výdaje státního rozpočtu</w:t>
            </w:r>
          </w:p>
        </w:tc>
        <w:tc>
          <w:tcPr>
            <w:tcW w:w="1080" w:type="dxa"/>
            <w:vMerge w:val="restart"/>
            <w:tcBorders>
              <w:top w:val="single" w:sz="12" w:space="0" w:color="auto"/>
              <w:left w:val="single" w:sz="4" w:space="0" w:color="auto"/>
              <w:bottom w:val="single" w:sz="4" w:space="0" w:color="auto"/>
              <w:right w:val="single" w:sz="12" w:space="0" w:color="auto"/>
            </w:tcBorders>
            <w:shd w:val="clear" w:color="000000" w:fill="8DB4E3"/>
            <w:noWrap/>
            <w:vAlign w:val="center"/>
            <w:hideMark/>
          </w:tcPr>
          <w:p w:rsidR="00AE25E8" w:rsidRPr="007E3D67" w:rsidRDefault="00AE25E8" w:rsidP="00B768A8">
            <w:pPr>
              <w:spacing w:line="240" w:lineRule="auto"/>
              <w:jc w:val="center"/>
              <w:rPr>
                <w:b/>
                <w:bCs/>
                <w:color w:val="FFFFFF"/>
                <w:sz w:val="22"/>
                <w:szCs w:val="22"/>
                <w:lang w:eastAsia="cs-CZ"/>
              </w:rPr>
            </w:pPr>
            <w:r w:rsidRPr="007E3D67">
              <w:rPr>
                <w:b/>
                <w:bCs/>
                <w:color w:val="FFFFFF"/>
                <w:sz w:val="22"/>
                <w:szCs w:val="22"/>
                <w:lang w:eastAsia="cs-CZ"/>
              </w:rPr>
              <w:t>Příjmy - Výdaje</w:t>
            </w:r>
          </w:p>
        </w:tc>
      </w:tr>
      <w:tr w:rsidR="00AE25E8" w:rsidRPr="007E3D67" w:rsidTr="00AE25E8">
        <w:trPr>
          <w:trHeight w:val="306"/>
        </w:trPr>
        <w:tc>
          <w:tcPr>
            <w:tcW w:w="4278" w:type="dxa"/>
            <w:vMerge/>
            <w:tcBorders>
              <w:top w:val="single" w:sz="4" w:space="0" w:color="auto"/>
              <w:left w:val="single" w:sz="12" w:space="0" w:color="auto"/>
              <w:bottom w:val="single" w:sz="4" w:space="0" w:color="auto"/>
              <w:right w:val="single" w:sz="4" w:space="0" w:color="auto"/>
            </w:tcBorders>
            <w:vAlign w:val="center"/>
            <w:hideMark/>
          </w:tcPr>
          <w:p w:rsidR="00AE25E8" w:rsidRPr="007E3D67" w:rsidRDefault="00AE25E8" w:rsidP="005B3C1D">
            <w:pPr>
              <w:spacing w:line="240" w:lineRule="auto"/>
              <w:jc w:val="left"/>
              <w:rPr>
                <w:b/>
                <w:bCs/>
                <w:color w:val="FFFFFF"/>
                <w:sz w:val="22"/>
                <w:szCs w:val="22"/>
                <w:lang w:eastAsia="cs-CZ"/>
              </w:rPr>
            </w:pPr>
          </w:p>
        </w:tc>
        <w:tc>
          <w:tcPr>
            <w:tcW w:w="1094" w:type="dxa"/>
            <w:vMerge/>
            <w:tcBorders>
              <w:top w:val="single" w:sz="4" w:space="0" w:color="auto"/>
              <w:left w:val="single" w:sz="4" w:space="0" w:color="auto"/>
              <w:bottom w:val="single" w:sz="4" w:space="0" w:color="000000"/>
              <w:right w:val="single" w:sz="4" w:space="0" w:color="auto"/>
            </w:tcBorders>
            <w:vAlign w:val="center"/>
            <w:hideMark/>
          </w:tcPr>
          <w:p w:rsidR="00AE25E8" w:rsidRPr="007E3D67" w:rsidRDefault="00AE25E8" w:rsidP="005B3C1D">
            <w:pPr>
              <w:spacing w:line="240" w:lineRule="auto"/>
              <w:jc w:val="left"/>
              <w:rPr>
                <w:b/>
                <w:bCs/>
                <w:color w:val="FFFFFF"/>
                <w:sz w:val="22"/>
                <w:szCs w:val="22"/>
                <w:lang w:eastAsia="cs-CZ"/>
              </w:rPr>
            </w:pPr>
          </w:p>
        </w:tc>
        <w:tc>
          <w:tcPr>
            <w:tcW w:w="1123" w:type="dxa"/>
            <w:vMerge/>
            <w:tcBorders>
              <w:top w:val="single" w:sz="4" w:space="0" w:color="auto"/>
              <w:left w:val="single" w:sz="4" w:space="0" w:color="auto"/>
              <w:bottom w:val="single" w:sz="4" w:space="0" w:color="000000"/>
              <w:right w:val="single" w:sz="4" w:space="0" w:color="auto"/>
            </w:tcBorders>
            <w:vAlign w:val="center"/>
            <w:hideMark/>
          </w:tcPr>
          <w:p w:rsidR="00AE25E8" w:rsidRPr="007E3D67" w:rsidRDefault="00AE25E8" w:rsidP="005B3C1D">
            <w:pPr>
              <w:spacing w:line="240" w:lineRule="auto"/>
              <w:jc w:val="left"/>
              <w:rPr>
                <w:b/>
                <w:bCs/>
                <w:color w:val="FFFFFF"/>
                <w:sz w:val="22"/>
                <w:szCs w:val="22"/>
                <w:lang w:eastAsia="cs-CZ"/>
              </w:rPr>
            </w:pPr>
          </w:p>
        </w:tc>
        <w:tc>
          <w:tcPr>
            <w:tcW w:w="1080" w:type="dxa"/>
            <w:vMerge/>
            <w:tcBorders>
              <w:top w:val="single" w:sz="4" w:space="0" w:color="auto"/>
              <w:left w:val="single" w:sz="4" w:space="0" w:color="auto"/>
              <w:bottom w:val="single" w:sz="4" w:space="0" w:color="auto"/>
              <w:right w:val="single" w:sz="12" w:space="0" w:color="auto"/>
            </w:tcBorders>
            <w:vAlign w:val="center"/>
            <w:hideMark/>
          </w:tcPr>
          <w:p w:rsidR="00AE25E8" w:rsidRPr="007E3D67" w:rsidRDefault="00AE25E8" w:rsidP="005B3C1D">
            <w:pPr>
              <w:spacing w:line="240" w:lineRule="auto"/>
              <w:jc w:val="left"/>
              <w:rPr>
                <w:b/>
                <w:bCs/>
                <w:color w:val="FFFFFF"/>
                <w:sz w:val="22"/>
                <w:szCs w:val="22"/>
                <w:lang w:eastAsia="cs-CZ"/>
              </w:rPr>
            </w:pPr>
          </w:p>
        </w:tc>
      </w:tr>
      <w:tr w:rsidR="00AE25E8" w:rsidRPr="007E3D67" w:rsidTr="00AE25E8">
        <w:trPr>
          <w:trHeight w:val="611"/>
        </w:trPr>
        <w:tc>
          <w:tcPr>
            <w:tcW w:w="4278" w:type="dxa"/>
            <w:tcBorders>
              <w:top w:val="nil"/>
              <w:left w:val="single" w:sz="12" w:space="0" w:color="auto"/>
              <w:bottom w:val="single" w:sz="4" w:space="0" w:color="auto"/>
              <w:right w:val="single" w:sz="4" w:space="0" w:color="auto"/>
            </w:tcBorders>
            <w:shd w:val="clear" w:color="000000" w:fill="FFFFFF"/>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1. Slevy pro zaměstnavatele na pojistném na sociální zabezpečení a příspěvku na státní politiku zaměstnanosti</w:t>
            </w:r>
          </w:p>
        </w:tc>
        <w:tc>
          <w:tcPr>
            <w:tcW w:w="1094" w:type="dxa"/>
            <w:tcBorders>
              <w:top w:val="nil"/>
              <w:left w:val="nil"/>
              <w:bottom w:val="single" w:sz="4" w:space="0" w:color="auto"/>
              <w:right w:val="single" w:sz="4" w:space="0" w:color="auto"/>
            </w:tcBorders>
            <w:shd w:val="clear" w:color="000000" w:fill="FFFFFF"/>
            <w:noWrap/>
            <w:vAlign w:val="bottom"/>
            <w:hideMark/>
          </w:tcPr>
          <w:p w:rsidR="00AE25E8" w:rsidRPr="007E3D67" w:rsidRDefault="00AE25E8" w:rsidP="00B768A8">
            <w:pPr>
              <w:spacing w:line="240" w:lineRule="auto"/>
              <w:jc w:val="right"/>
              <w:rPr>
                <w:color w:val="000000"/>
                <w:sz w:val="22"/>
                <w:szCs w:val="22"/>
                <w:lang w:eastAsia="cs-CZ"/>
              </w:rPr>
            </w:pPr>
            <w:r w:rsidRPr="007E3D67">
              <w:rPr>
                <w:color w:val="000000"/>
                <w:sz w:val="22"/>
                <w:szCs w:val="22"/>
                <w:lang w:eastAsia="cs-CZ"/>
              </w:rPr>
              <w:t>-18,0</w:t>
            </w:r>
          </w:p>
        </w:tc>
        <w:tc>
          <w:tcPr>
            <w:tcW w:w="1123" w:type="dxa"/>
            <w:tcBorders>
              <w:top w:val="nil"/>
              <w:left w:val="nil"/>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 </w:t>
            </w:r>
          </w:p>
        </w:tc>
        <w:tc>
          <w:tcPr>
            <w:tcW w:w="1080" w:type="dxa"/>
            <w:tcBorders>
              <w:top w:val="nil"/>
              <w:left w:val="nil"/>
              <w:bottom w:val="single" w:sz="4" w:space="0" w:color="auto"/>
              <w:right w:val="single" w:sz="12" w:space="0" w:color="auto"/>
            </w:tcBorders>
            <w:shd w:val="clear" w:color="000000" w:fill="FFFFFF"/>
            <w:noWrap/>
            <w:vAlign w:val="bottom"/>
            <w:hideMark/>
          </w:tcPr>
          <w:p w:rsidR="00AE25E8" w:rsidRPr="007E3D67" w:rsidRDefault="00AE25E8" w:rsidP="005B3C1D">
            <w:pPr>
              <w:spacing w:line="240" w:lineRule="auto"/>
              <w:jc w:val="right"/>
              <w:rPr>
                <w:color w:val="000000"/>
                <w:sz w:val="22"/>
                <w:szCs w:val="22"/>
                <w:lang w:eastAsia="cs-CZ"/>
              </w:rPr>
            </w:pPr>
            <w:r w:rsidRPr="007E3D67">
              <w:rPr>
                <w:color w:val="000000"/>
                <w:sz w:val="22"/>
                <w:szCs w:val="22"/>
                <w:lang w:eastAsia="cs-CZ"/>
              </w:rPr>
              <w:t>-18,0</w:t>
            </w:r>
          </w:p>
        </w:tc>
      </w:tr>
      <w:tr w:rsidR="00AE25E8" w:rsidRPr="007E3D67" w:rsidTr="00AE25E8">
        <w:trPr>
          <w:trHeight w:val="306"/>
        </w:trPr>
        <w:tc>
          <w:tcPr>
            <w:tcW w:w="4278" w:type="dxa"/>
            <w:tcBorders>
              <w:top w:val="nil"/>
              <w:left w:val="single" w:sz="12" w:space="0" w:color="auto"/>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2. Zrychlení odpisů v 1. a 2. odpisové skupině</w:t>
            </w:r>
          </w:p>
        </w:tc>
        <w:tc>
          <w:tcPr>
            <w:tcW w:w="1094" w:type="dxa"/>
            <w:tcBorders>
              <w:top w:val="nil"/>
              <w:left w:val="nil"/>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right"/>
              <w:rPr>
                <w:color w:val="000000"/>
                <w:sz w:val="22"/>
                <w:szCs w:val="22"/>
                <w:lang w:eastAsia="cs-CZ"/>
              </w:rPr>
            </w:pPr>
            <w:r w:rsidRPr="007E3D67">
              <w:rPr>
                <w:color w:val="000000"/>
                <w:sz w:val="22"/>
                <w:szCs w:val="22"/>
                <w:lang w:eastAsia="cs-CZ"/>
              </w:rPr>
              <w:t>-9,4</w:t>
            </w:r>
          </w:p>
        </w:tc>
        <w:tc>
          <w:tcPr>
            <w:tcW w:w="1123" w:type="dxa"/>
            <w:tcBorders>
              <w:top w:val="nil"/>
              <w:left w:val="nil"/>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 </w:t>
            </w:r>
          </w:p>
        </w:tc>
        <w:tc>
          <w:tcPr>
            <w:tcW w:w="1080" w:type="dxa"/>
            <w:tcBorders>
              <w:top w:val="nil"/>
              <w:left w:val="nil"/>
              <w:bottom w:val="single" w:sz="4" w:space="0" w:color="auto"/>
              <w:right w:val="single" w:sz="12" w:space="0" w:color="auto"/>
            </w:tcBorders>
            <w:shd w:val="clear" w:color="000000" w:fill="FFFFFF"/>
            <w:noWrap/>
            <w:vAlign w:val="bottom"/>
            <w:hideMark/>
          </w:tcPr>
          <w:p w:rsidR="00AE25E8" w:rsidRPr="007E3D67" w:rsidRDefault="00AE25E8" w:rsidP="005B3C1D">
            <w:pPr>
              <w:spacing w:line="240" w:lineRule="auto"/>
              <w:jc w:val="right"/>
              <w:rPr>
                <w:color w:val="000000"/>
                <w:sz w:val="22"/>
                <w:szCs w:val="22"/>
                <w:lang w:eastAsia="cs-CZ"/>
              </w:rPr>
            </w:pPr>
            <w:r w:rsidRPr="007E3D67">
              <w:rPr>
                <w:color w:val="000000"/>
                <w:sz w:val="22"/>
                <w:szCs w:val="22"/>
                <w:lang w:eastAsia="cs-CZ"/>
              </w:rPr>
              <w:t>-9,4</w:t>
            </w:r>
          </w:p>
        </w:tc>
      </w:tr>
      <w:tr w:rsidR="00AE25E8" w:rsidRPr="007E3D67" w:rsidTr="00AE25E8">
        <w:trPr>
          <w:trHeight w:val="306"/>
        </w:trPr>
        <w:tc>
          <w:tcPr>
            <w:tcW w:w="4278" w:type="dxa"/>
            <w:tcBorders>
              <w:top w:val="nil"/>
              <w:left w:val="single" w:sz="12" w:space="0" w:color="auto"/>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3. Rozšíření uplatnění odpočtu DPH u osobních automobilů</w:t>
            </w:r>
          </w:p>
        </w:tc>
        <w:tc>
          <w:tcPr>
            <w:tcW w:w="1094" w:type="dxa"/>
            <w:tcBorders>
              <w:top w:val="nil"/>
              <w:left w:val="nil"/>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right"/>
              <w:rPr>
                <w:color w:val="000000"/>
                <w:sz w:val="22"/>
                <w:szCs w:val="22"/>
                <w:lang w:eastAsia="cs-CZ"/>
              </w:rPr>
            </w:pPr>
            <w:r w:rsidRPr="007E3D67">
              <w:rPr>
                <w:color w:val="000000"/>
                <w:sz w:val="22"/>
                <w:szCs w:val="22"/>
                <w:lang w:eastAsia="cs-CZ"/>
              </w:rPr>
              <w:t>-2,4</w:t>
            </w:r>
          </w:p>
        </w:tc>
        <w:tc>
          <w:tcPr>
            <w:tcW w:w="1123" w:type="dxa"/>
            <w:tcBorders>
              <w:top w:val="nil"/>
              <w:left w:val="nil"/>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 </w:t>
            </w:r>
          </w:p>
        </w:tc>
        <w:tc>
          <w:tcPr>
            <w:tcW w:w="1080" w:type="dxa"/>
            <w:tcBorders>
              <w:top w:val="nil"/>
              <w:left w:val="nil"/>
              <w:bottom w:val="single" w:sz="4" w:space="0" w:color="auto"/>
              <w:right w:val="single" w:sz="12" w:space="0" w:color="auto"/>
            </w:tcBorders>
            <w:shd w:val="clear" w:color="000000" w:fill="FFFFFF"/>
            <w:noWrap/>
            <w:vAlign w:val="bottom"/>
            <w:hideMark/>
          </w:tcPr>
          <w:p w:rsidR="00AE25E8" w:rsidRPr="007E3D67" w:rsidRDefault="00AE25E8" w:rsidP="005B3C1D">
            <w:pPr>
              <w:spacing w:line="240" w:lineRule="auto"/>
              <w:jc w:val="right"/>
              <w:rPr>
                <w:color w:val="000000"/>
                <w:sz w:val="22"/>
                <w:szCs w:val="22"/>
                <w:lang w:eastAsia="cs-CZ"/>
              </w:rPr>
            </w:pPr>
            <w:r w:rsidRPr="007E3D67">
              <w:rPr>
                <w:color w:val="000000"/>
                <w:sz w:val="22"/>
                <w:szCs w:val="22"/>
                <w:lang w:eastAsia="cs-CZ"/>
              </w:rPr>
              <w:t>-2,4</w:t>
            </w:r>
          </w:p>
        </w:tc>
      </w:tr>
      <w:tr w:rsidR="00AE25E8" w:rsidRPr="007E3D67" w:rsidTr="00AE25E8">
        <w:trPr>
          <w:trHeight w:val="306"/>
        </w:trPr>
        <w:tc>
          <w:tcPr>
            <w:tcW w:w="4278" w:type="dxa"/>
            <w:tcBorders>
              <w:top w:val="nil"/>
              <w:left w:val="single" w:sz="12" w:space="0" w:color="auto"/>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4. Garance a podpora úvěrů malých a středních podniků</w:t>
            </w:r>
          </w:p>
        </w:tc>
        <w:tc>
          <w:tcPr>
            <w:tcW w:w="1094" w:type="dxa"/>
            <w:tcBorders>
              <w:top w:val="nil"/>
              <w:left w:val="nil"/>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 </w:t>
            </w:r>
          </w:p>
        </w:tc>
        <w:tc>
          <w:tcPr>
            <w:tcW w:w="1123" w:type="dxa"/>
            <w:tcBorders>
              <w:top w:val="nil"/>
              <w:left w:val="nil"/>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right"/>
              <w:rPr>
                <w:color w:val="000000"/>
                <w:sz w:val="22"/>
                <w:szCs w:val="22"/>
                <w:lang w:eastAsia="cs-CZ"/>
              </w:rPr>
            </w:pPr>
            <w:r w:rsidRPr="007E3D67">
              <w:rPr>
                <w:color w:val="000000"/>
                <w:sz w:val="22"/>
                <w:szCs w:val="22"/>
                <w:lang w:eastAsia="cs-CZ"/>
              </w:rPr>
              <w:t>2,1</w:t>
            </w:r>
          </w:p>
        </w:tc>
        <w:tc>
          <w:tcPr>
            <w:tcW w:w="1080" w:type="dxa"/>
            <w:tcBorders>
              <w:top w:val="nil"/>
              <w:left w:val="nil"/>
              <w:bottom w:val="single" w:sz="4" w:space="0" w:color="auto"/>
              <w:right w:val="single" w:sz="12" w:space="0" w:color="auto"/>
            </w:tcBorders>
            <w:shd w:val="clear" w:color="000000" w:fill="FFFFFF"/>
            <w:noWrap/>
            <w:vAlign w:val="bottom"/>
            <w:hideMark/>
          </w:tcPr>
          <w:p w:rsidR="00AE25E8" w:rsidRPr="007E3D67" w:rsidRDefault="00AE25E8" w:rsidP="005B3C1D">
            <w:pPr>
              <w:spacing w:line="240" w:lineRule="auto"/>
              <w:jc w:val="right"/>
              <w:rPr>
                <w:color w:val="000000"/>
                <w:sz w:val="22"/>
                <w:szCs w:val="22"/>
                <w:lang w:eastAsia="cs-CZ"/>
              </w:rPr>
            </w:pPr>
            <w:r w:rsidRPr="007E3D67">
              <w:rPr>
                <w:color w:val="000000"/>
                <w:sz w:val="22"/>
                <w:szCs w:val="22"/>
                <w:lang w:eastAsia="cs-CZ"/>
              </w:rPr>
              <w:t>-2,1</w:t>
            </w:r>
          </w:p>
        </w:tc>
      </w:tr>
      <w:tr w:rsidR="00AE25E8" w:rsidRPr="007E3D67" w:rsidTr="00AE25E8">
        <w:trPr>
          <w:trHeight w:val="306"/>
        </w:trPr>
        <w:tc>
          <w:tcPr>
            <w:tcW w:w="4278" w:type="dxa"/>
            <w:tcBorders>
              <w:top w:val="nil"/>
              <w:left w:val="single" w:sz="12" w:space="0" w:color="auto"/>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5. Dotační program na snižování energetické náročnosti budov</w:t>
            </w:r>
          </w:p>
        </w:tc>
        <w:tc>
          <w:tcPr>
            <w:tcW w:w="1094" w:type="dxa"/>
            <w:tcBorders>
              <w:top w:val="nil"/>
              <w:left w:val="nil"/>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 </w:t>
            </w:r>
          </w:p>
        </w:tc>
        <w:tc>
          <w:tcPr>
            <w:tcW w:w="1123" w:type="dxa"/>
            <w:tcBorders>
              <w:top w:val="nil"/>
              <w:left w:val="nil"/>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right"/>
              <w:rPr>
                <w:color w:val="000000"/>
                <w:sz w:val="22"/>
                <w:szCs w:val="22"/>
                <w:lang w:eastAsia="cs-CZ"/>
              </w:rPr>
            </w:pPr>
            <w:r w:rsidRPr="007E3D67">
              <w:rPr>
                <w:color w:val="000000"/>
                <w:sz w:val="22"/>
                <w:szCs w:val="22"/>
                <w:lang w:eastAsia="cs-CZ"/>
              </w:rPr>
              <w:t>6,0</w:t>
            </w:r>
          </w:p>
        </w:tc>
        <w:tc>
          <w:tcPr>
            <w:tcW w:w="1080" w:type="dxa"/>
            <w:tcBorders>
              <w:top w:val="nil"/>
              <w:left w:val="nil"/>
              <w:bottom w:val="single" w:sz="4" w:space="0" w:color="auto"/>
              <w:right w:val="single" w:sz="12" w:space="0" w:color="auto"/>
            </w:tcBorders>
            <w:shd w:val="clear" w:color="000000" w:fill="FFFFFF"/>
            <w:noWrap/>
            <w:vAlign w:val="bottom"/>
            <w:hideMark/>
          </w:tcPr>
          <w:p w:rsidR="00AE25E8" w:rsidRPr="007E3D67" w:rsidRDefault="00AE25E8" w:rsidP="005B3C1D">
            <w:pPr>
              <w:spacing w:line="240" w:lineRule="auto"/>
              <w:jc w:val="right"/>
              <w:rPr>
                <w:color w:val="000000"/>
                <w:sz w:val="22"/>
                <w:szCs w:val="22"/>
                <w:lang w:eastAsia="cs-CZ"/>
              </w:rPr>
            </w:pPr>
            <w:r w:rsidRPr="007E3D67">
              <w:rPr>
                <w:color w:val="000000"/>
                <w:sz w:val="22"/>
                <w:szCs w:val="22"/>
                <w:lang w:eastAsia="cs-CZ"/>
              </w:rPr>
              <w:t>-6,0</w:t>
            </w:r>
          </w:p>
        </w:tc>
      </w:tr>
      <w:tr w:rsidR="00AE25E8" w:rsidRPr="007E3D67" w:rsidTr="00AE25E8">
        <w:trPr>
          <w:trHeight w:val="306"/>
        </w:trPr>
        <w:tc>
          <w:tcPr>
            <w:tcW w:w="4278" w:type="dxa"/>
            <w:tcBorders>
              <w:top w:val="nil"/>
              <w:left w:val="single" w:sz="12" w:space="0" w:color="auto"/>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6. Posílení dotačního programu PANEL</w:t>
            </w:r>
          </w:p>
        </w:tc>
        <w:tc>
          <w:tcPr>
            <w:tcW w:w="1094" w:type="dxa"/>
            <w:tcBorders>
              <w:top w:val="nil"/>
              <w:left w:val="nil"/>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 </w:t>
            </w:r>
          </w:p>
        </w:tc>
        <w:tc>
          <w:tcPr>
            <w:tcW w:w="1123" w:type="dxa"/>
            <w:tcBorders>
              <w:top w:val="nil"/>
              <w:left w:val="nil"/>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right"/>
              <w:rPr>
                <w:color w:val="000000"/>
                <w:sz w:val="22"/>
                <w:szCs w:val="22"/>
                <w:lang w:eastAsia="cs-CZ"/>
              </w:rPr>
            </w:pPr>
            <w:r w:rsidRPr="007E3D67">
              <w:rPr>
                <w:color w:val="000000"/>
                <w:sz w:val="22"/>
                <w:szCs w:val="22"/>
                <w:lang w:eastAsia="cs-CZ"/>
              </w:rPr>
              <w:t>0,6</w:t>
            </w:r>
          </w:p>
        </w:tc>
        <w:tc>
          <w:tcPr>
            <w:tcW w:w="1080" w:type="dxa"/>
            <w:tcBorders>
              <w:top w:val="nil"/>
              <w:left w:val="nil"/>
              <w:bottom w:val="single" w:sz="4" w:space="0" w:color="auto"/>
              <w:right w:val="single" w:sz="12" w:space="0" w:color="auto"/>
            </w:tcBorders>
            <w:shd w:val="clear" w:color="000000" w:fill="FFFFFF"/>
            <w:noWrap/>
            <w:vAlign w:val="bottom"/>
            <w:hideMark/>
          </w:tcPr>
          <w:p w:rsidR="00AE25E8" w:rsidRPr="007E3D67" w:rsidRDefault="00AE25E8" w:rsidP="005B3C1D">
            <w:pPr>
              <w:spacing w:line="240" w:lineRule="auto"/>
              <w:jc w:val="right"/>
              <w:rPr>
                <w:color w:val="000000"/>
                <w:sz w:val="22"/>
                <w:szCs w:val="22"/>
                <w:lang w:eastAsia="cs-CZ"/>
              </w:rPr>
            </w:pPr>
            <w:r w:rsidRPr="007E3D67">
              <w:rPr>
                <w:color w:val="000000"/>
                <w:sz w:val="22"/>
                <w:szCs w:val="22"/>
                <w:lang w:eastAsia="cs-CZ"/>
              </w:rPr>
              <w:t>-0,6</w:t>
            </w:r>
          </w:p>
        </w:tc>
      </w:tr>
      <w:tr w:rsidR="00AE25E8" w:rsidRPr="007E3D67" w:rsidTr="00AE25E8">
        <w:trPr>
          <w:trHeight w:val="306"/>
        </w:trPr>
        <w:tc>
          <w:tcPr>
            <w:tcW w:w="4278" w:type="dxa"/>
            <w:tcBorders>
              <w:top w:val="nil"/>
              <w:left w:val="single" w:sz="12" w:space="0" w:color="auto"/>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7. Zvýšení výdajů na zajištění dopravní obslužnosti</w:t>
            </w:r>
          </w:p>
        </w:tc>
        <w:tc>
          <w:tcPr>
            <w:tcW w:w="1094" w:type="dxa"/>
            <w:tcBorders>
              <w:top w:val="nil"/>
              <w:left w:val="nil"/>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 </w:t>
            </w:r>
          </w:p>
        </w:tc>
        <w:tc>
          <w:tcPr>
            <w:tcW w:w="1123" w:type="dxa"/>
            <w:tcBorders>
              <w:top w:val="nil"/>
              <w:left w:val="nil"/>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right"/>
              <w:rPr>
                <w:color w:val="000000"/>
                <w:sz w:val="22"/>
                <w:szCs w:val="22"/>
                <w:lang w:eastAsia="cs-CZ"/>
              </w:rPr>
            </w:pPr>
            <w:r w:rsidRPr="007E3D67">
              <w:rPr>
                <w:color w:val="000000"/>
                <w:sz w:val="22"/>
                <w:szCs w:val="22"/>
                <w:lang w:eastAsia="cs-CZ"/>
              </w:rPr>
              <w:t>2,0</w:t>
            </w:r>
          </w:p>
        </w:tc>
        <w:tc>
          <w:tcPr>
            <w:tcW w:w="1080" w:type="dxa"/>
            <w:tcBorders>
              <w:top w:val="nil"/>
              <w:left w:val="nil"/>
              <w:bottom w:val="single" w:sz="4" w:space="0" w:color="auto"/>
              <w:right w:val="single" w:sz="12" w:space="0" w:color="auto"/>
            </w:tcBorders>
            <w:shd w:val="clear" w:color="000000" w:fill="FFFFFF"/>
            <w:noWrap/>
            <w:vAlign w:val="bottom"/>
            <w:hideMark/>
          </w:tcPr>
          <w:p w:rsidR="00AE25E8" w:rsidRPr="007E3D67" w:rsidRDefault="00AE25E8" w:rsidP="005B3C1D">
            <w:pPr>
              <w:spacing w:line="240" w:lineRule="auto"/>
              <w:jc w:val="right"/>
              <w:rPr>
                <w:color w:val="000000"/>
                <w:sz w:val="22"/>
                <w:szCs w:val="22"/>
                <w:lang w:eastAsia="cs-CZ"/>
              </w:rPr>
            </w:pPr>
            <w:r w:rsidRPr="007E3D67">
              <w:rPr>
                <w:color w:val="000000"/>
                <w:sz w:val="22"/>
                <w:szCs w:val="22"/>
                <w:lang w:eastAsia="cs-CZ"/>
              </w:rPr>
              <w:t>-2,0</w:t>
            </w:r>
          </w:p>
        </w:tc>
      </w:tr>
      <w:tr w:rsidR="00AE25E8" w:rsidRPr="007E3D67" w:rsidTr="00AE25E8">
        <w:trPr>
          <w:trHeight w:val="917"/>
        </w:trPr>
        <w:tc>
          <w:tcPr>
            <w:tcW w:w="4278" w:type="dxa"/>
            <w:tcBorders>
              <w:top w:val="nil"/>
              <w:left w:val="single" w:sz="12" w:space="0" w:color="auto"/>
              <w:bottom w:val="single" w:sz="4" w:space="0" w:color="auto"/>
              <w:right w:val="single" w:sz="4" w:space="0" w:color="auto"/>
            </w:tcBorders>
            <w:shd w:val="clear" w:color="000000" w:fill="FFFFFF"/>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8. Opatření na podporu cash flow podnikové sféry (vratky DPH v případě elektronické komunikace, neuplatňování penále, splátkové kalendáře ČSSZ atd.)</w:t>
            </w:r>
          </w:p>
        </w:tc>
        <w:tc>
          <w:tcPr>
            <w:tcW w:w="1094" w:type="dxa"/>
            <w:tcBorders>
              <w:top w:val="nil"/>
              <w:left w:val="nil"/>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 </w:t>
            </w:r>
          </w:p>
        </w:tc>
        <w:tc>
          <w:tcPr>
            <w:tcW w:w="1123" w:type="dxa"/>
            <w:tcBorders>
              <w:top w:val="nil"/>
              <w:left w:val="nil"/>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 </w:t>
            </w:r>
          </w:p>
        </w:tc>
        <w:tc>
          <w:tcPr>
            <w:tcW w:w="1080" w:type="dxa"/>
            <w:tcBorders>
              <w:top w:val="nil"/>
              <w:left w:val="nil"/>
              <w:bottom w:val="single" w:sz="4" w:space="0" w:color="auto"/>
              <w:right w:val="single" w:sz="12" w:space="0" w:color="auto"/>
            </w:tcBorders>
            <w:shd w:val="clear" w:color="000000" w:fill="FFFFFF"/>
            <w:noWrap/>
            <w:vAlign w:val="bottom"/>
            <w:hideMark/>
          </w:tcPr>
          <w:p w:rsidR="00AE25E8" w:rsidRPr="007E3D67" w:rsidRDefault="00AE25E8" w:rsidP="005B3C1D">
            <w:pPr>
              <w:spacing w:line="240" w:lineRule="auto"/>
              <w:jc w:val="right"/>
              <w:rPr>
                <w:color w:val="000000"/>
                <w:sz w:val="22"/>
                <w:szCs w:val="22"/>
                <w:lang w:eastAsia="cs-CZ"/>
              </w:rPr>
            </w:pPr>
            <w:r w:rsidRPr="007E3D67">
              <w:rPr>
                <w:color w:val="000000"/>
                <w:sz w:val="22"/>
                <w:szCs w:val="22"/>
                <w:lang w:eastAsia="cs-CZ"/>
              </w:rPr>
              <w:t>0,0</w:t>
            </w:r>
          </w:p>
        </w:tc>
      </w:tr>
      <w:tr w:rsidR="00AE25E8" w:rsidRPr="007E3D67" w:rsidTr="00AE25E8">
        <w:trPr>
          <w:trHeight w:val="917"/>
        </w:trPr>
        <w:tc>
          <w:tcPr>
            <w:tcW w:w="4278" w:type="dxa"/>
            <w:tcBorders>
              <w:top w:val="nil"/>
              <w:left w:val="single" w:sz="12" w:space="0" w:color="auto"/>
              <w:bottom w:val="single" w:sz="4" w:space="0" w:color="auto"/>
              <w:right w:val="single" w:sz="4" w:space="0" w:color="auto"/>
            </w:tcBorders>
            <w:shd w:val="clear" w:color="000000" w:fill="FFFFFF"/>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9. Využití Evropského sociálního fondu (ESF) pro rekvalifikace s refundací mzdových nákladů pro zaměstnavatele</w:t>
            </w:r>
          </w:p>
        </w:tc>
        <w:tc>
          <w:tcPr>
            <w:tcW w:w="1094" w:type="dxa"/>
            <w:tcBorders>
              <w:top w:val="nil"/>
              <w:left w:val="nil"/>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 </w:t>
            </w:r>
          </w:p>
        </w:tc>
        <w:tc>
          <w:tcPr>
            <w:tcW w:w="1123" w:type="dxa"/>
            <w:tcBorders>
              <w:top w:val="nil"/>
              <w:left w:val="nil"/>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 </w:t>
            </w:r>
          </w:p>
        </w:tc>
        <w:tc>
          <w:tcPr>
            <w:tcW w:w="1080" w:type="dxa"/>
            <w:tcBorders>
              <w:top w:val="nil"/>
              <w:left w:val="nil"/>
              <w:bottom w:val="single" w:sz="4" w:space="0" w:color="auto"/>
              <w:right w:val="single" w:sz="12" w:space="0" w:color="auto"/>
            </w:tcBorders>
            <w:shd w:val="clear" w:color="000000" w:fill="FFFFFF"/>
            <w:noWrap/>
            <w:vAlign w:val="bottom"/>
            <w:hideMark/>
          </w:tcPr>
          <w:p w:rsidR="00AE25E8" w:rsidRPr="007E3D67" w:rsidRDefault="00AE25E8" w:rsidP="005B3C1D">
            <w:pPr>
              <w:spacing w:line="240" w:lineRule="auto"/>
              <w:jc w:val="right"/>
              <w:rPr>
                <w:color w:val="000000"/>
                <w:sz w:val="22"/>
                <w:szCs w:val="22"/>
                <w:lang w:eastAsia="cs-CZ"/>
              </w:rPr>
            </w:pPr>
            <w:r w:rsidRPr="007E3D67">
              <w:rPr>
                <w:color w:val="000000"/>
                <w:sz w:val="22"/>
                <w:szCs w:val="22"/>
                <w:lang w:eastAsia="cs-CZ"/>
              </w:rPr>
              <w:t>0,0</w:t>
            </w:r>
          </w:p>
        </w:tc>
      </w:tr>
      <w:tr w:rsidR="00AE25E8" w:rsidRPr="007E3D67" w:rsidTr="00AE25E8">
        <w:trPr>
          <w:trHeight w:val="306"/>
        </w:trPr>
        <w:tc>
          <w:tcPr>
            <w:tcW w:w="4278" w:type="dxa"/>
            <w:tcBorders>
              <w:top w:val="nil"/>
              <w:left w:val="single" w:sz="12" w:space="0" w:color="auto"/>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10. Opatření v insolvenci</w:t>
            </w:r>
          </w:p>
        </w:tc>
        <w:tc>
          <w:tcPr>
            <w:tcW w:w="1094" w:type="dxa"/>
            <w:tcBorders>
              <w:top w:val="nil"/>
              <w:left w:val="nil"/>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 </w:t>
            </w:r>
          </w:p>
        </w:tc>
        <w:tc>
          <w:tcPr>
            <w:tcW w:w="1123" w:type="dxa"/>
            <w:tcBorders>
              <w:top w:val="nil"/>
              <w:left w:val="nil"/>
              <w:bottom w:val="single" w:sz="4"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color w:val="000000"/>
                <w:sz w:val="22"/>
                <w:szCs w:val="22"/>
                <w:lang w:eastAsia="cs-CZ"/>
              </w:rPr>
            </w:pPr>
            <w:r w:rsidRPr="007E3D67">
              <w:rPr>
                <w:color w:val="000000"/>
                <w:sz w:val="22"/>
                <w:szCs w:val="22"/>
                <w:lang w:eastAsia="cs-CZ"/>
              </w:rPr>
              <w:t> </w:t>
            </w:r>
          </w:p>
        </w:tc>
        <w:tc>
          <w:tcPr>
            <w:tcW w:w="1080" w:type="dxa"/>
            <w:tcBorders>
              <w:top w:val="nil"/>
              <w:left w:val="nil"/>
              <w:bottom w:val="single" w:sz="4" w:space="0" w:color="auto"/>
              <w:right w:val="single" w:sz="12" w:space="0" w:color="auto"/>
            </w:tcBorders>
            <w:shd w:val="clear" w:color="000000" w:fill="FFFFFF"/>
            <w:noWrap/>
            <w:vAlign w:val="bottom"/>
            <w:hideMark/>
          </w:tcPr>
          <w:p w:rsidR="00AE25E8" w:rsidRPr="007E3D67" w:rsidRDefault="00AE25E8" w:rsidP="005B3C1D">
            <w:pPr>
              <w:spacing w:line="240" w:lineRule="auto"/>
              <w:jc w:val="right"/>
              <w:rPr>
                <w:color w:val="000000"/>
                <w:sz w:val="22"/>
                <w:szCs w:val="22"/>
                <w:lang w:eastAsia="cs-CZ"/>
              </w:rPr>
            </w:pPr>
            <w:r w:rsidRPr="007E3D67">
              <w:rPr>
                <w:color w:val="000000"/>
                <w:sz w:val="22"/>
                <w:szCs w:val="22"/>
                <w:lang w:eastAsia="cs-CZ"/>
              </w:rPr>
              <w:t>-1,0</w:t>
            </w:r>
          </w:p>
        </w:tc>
      </w:tr>
      <w:tr w:rsidR="00AE25E8" w:rsidRPr="007E3D67" w:rsidTr="00AE25E8">
        <w:trPr>
          <w:trHeight w:val="306"/>
        </w:trPr>
        <w:tc>
          <w:tcPr>
            <w:tcW w:w="4278" w:type="dxa"/>
            <w:tcBorders>
              <w:top w:val="nil"/>
              <w:left w:val="single" w:sz="12" w:space="0" w:color="auto"/>
              <w:bottom w:val="single" w:sz="12"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b/>
                <w:bCs/>
                <w:color w:val="000000"/>
                <w:sz w:val="22"/>
                <w:szCs w:val="22"/>
                <w:lang w:eastAsia="cs-CZ"/>
              </w:rPr>
            </w:pPr>
            <w:r w:rsidRPr="007E3D67">
              <w:rPr>
                <w:b/>
                <w:bCs/>
                <w:color w:val="000000"/>
                <w:sz w:val="22"/>
                <w:szCs w:val="22"/>
                <w:lang w:eastAsia="cs-CZ"/>
              </w:rPr>
              <w:t>Celkem</w:t>
            </w:r>
          </w:p>
        </w:tc>
        <w:tc>
          <w:tcPr>
            <w:tcW w:w="1094" w:type="dxa"/>
            <w:tcBorders>
              <w:top w:val="nil"/>
              <w:left w:val="nil"/>
              <w:bottom w:val="single" w:sz="12"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b/>
                <w:bCs/>
                <w:color w:val="000000"/>
                <w:sz w:val="22"/>
                <w:szCs w:val="22"/>
                <w:lang w:eastAsia="cs-CZ"/>
              </w:rPr>
            </w:pPr>
            <w:r w:rsidRPr="007E3D67">
              <w:rPr>
                <w:b/>
                <w:bCs/>
                <w:color w:val="000000"/>
                <w:sz w:val="22"/>
                <w:szCs w:val="22"/>
                <w:lang w:eastAsia="cs-CZ"/>
              </w:rPr>
              <w:t> </w:t>
            </w:r>
            <w:r w:rsidR="00C54398" w:rsidRPr="007E3D67">
              <w:rPr>
                <w:b/>
                <w:bCs/>
                <w:color w:val="000000"/>
                <w:sz w:val="22"/>
                <w:szCs w:val="22"/>
                <w:lang w:eastAsia="cs-CZ"/>
              </w:rPr>
              <w:t>-29,8</w:t>
            </w:r>
          </w:p>
        </w:tc>
        <w:tc>
          <w:tcPr>
            <w:tcW w:w="1123" w:type="dxa"/>
            <w:tcBorders>
              <w:top w:val="nil"/>
              <w:left w:val="nil"/>
              <w:bottom w:val="single" w:sz="12" w:space="0" w:color="auto"/>
              <w:right w:val="single" w:sz="4" w:space="0" w:color="auto"/>
            </w:tcBorders>
            <w:shd w:val="clear" w:color="000000" w:fill="FFFFFF"/>
            <w:noWrap/>
            <w:vAlign w:val="bottom"/>
            <w:hideMark/>
          </w:tcPr>
          <w:p w:rsidR="00AE25E8" w:rsidRPr="007E3D67" w:rsidRDefault="00AE25E8" w:rsidP="005B3C1D">
            <w:pPr>
              <w:spacing w:line="240" w:lineRule="auto"/>
              <w:jc w:val="left"/>
              <w:rPr>
                <w:b/>
                <w:bCs/>
                <w:color w:val="000000"/>
                <w:sz w:val="22"/>
                <w:szCs w:val="22"/>
                <w:lang w:eastAsia="cs-CZ"/>
              </w:rPr>
            </w:pPr>
            <w:r w:rsidRPr="007E3D67">
              <w:rPr>
                <w:b/>
                <w:bCs/>
                <w:color w:val="000000"/>
                <w:sz w:val="22"/>
                <w:szCs w:val="22"/>
                <w:lang w:eastAsia="cs-CZ"/>
              </w:rPr>
              <w:t> </w:t>
            </w:r>
            <w:r w:rsidR="00C54398" w:rsidRPr="007E3D67">
              <w:rPr>
                <w:b/>
                <w:bCs/>
                <w:color w:val="000000"/>
                <w:sz w:val="22"/>
                <w:szCs w:val="22"/>
                <w:lang w:eastAsia="cs-CZ"/>
              </w:rPr>
              <w:t>10,7</w:t>
            </w:r>
          </w:p>
        </w:tc>
        <w:tc>
          <w:tcPr>
            <w:tcW w:w="1080" w:type="dxa"/>
            <w:tcBorders>
              <w:top w:val="nil"/>
              <w:left w:val="nil"/>
              <w:bottom w:val="single" w:sz="12" w:space="0" w:color="auto"/>
              <w:right w:val="single" w:sz="12" w:space="0" w:color="auto"/>
            </w:tcBorders>
            <w:shd w:val="clear" w:color="000000" w:fill="FFFFFF"/>
            <w:noWrap/>
            <w:vAlign w:val="bottom"/>
            <w:hideMark/>
          </w:tcPr>
          <w:p w:rsidR="00AE25E8" w:rsidRPr="007E3D67" w:rsidRDefault="00AE25E8" w:rsidP="005B3C1D">
            <w:pPr>
              <w:spacing w:line="240" w:lineRule="auto"/>
              <w:jc w:val="right"/>
              <w:rPr>
                <w:b/>
                <w:bCs/>
                <w:color w:val="000000"/>
                <w:sz w:val="22"/>
                <w:szCs w:val="22"/>
                <w:lang w:eastAsia="cs-CZ"/>
              </w:rPr>
            </w:pPr>
            <w:r w:rsidRPr="007E3D67">
              <w:rPr>
                <w:b/>
                <w:bCs/>
                <w:color w:val="000000"/>
                <w:sz w:val="22"/>
                <w:szCs w:val="22"/>
                <w:lang w:eastAsia="cs-CZ"/>
              </w:rPr>
              <w:t>-41,5</w:t>
            </w:r>
          </w:p>
        </w:tc>
      </w:tr>
    </w:tbl>
    <w:p w:rsidR="005B3C1D" w:rsidRPr="007E3D67" w:rsidRDefault="005B3C1D" w:rsidP="005B3C1D">
      <w:pPr>
        <w:rPr>
          <w:i/>
          <w:sz w:val="20"/>
        </w:rPr>
      </w:pPr>
      <w:r w:rsidRPr="007E3D67">
        <w:rPr>
          <w:i/>
          <w:sz w:val="20"/>
        </w:rPr>
        <w:t>Zdroj: Data –</w:t>
      </w:r>
      <w:r w:rsidRPr="007E3D67">
        <w:t xml:space="preserve"> </w:t>
      </w:r>
      <w:r w:rsidRPr="007E3D67">
        <w:rPr>
          <w:i/>
          <w:sz w:val="20"/>
        </w:rPr>
        <w:t>Národní protikrizový plán,</w:t>
      </w:r>
      <w:r w:rsidRPr="007E3D67">
        <w:t xml:space="preserve"> </w:t>
      </w:r>
      <w:r w:rsidRPr="007E3D67">
        <w:rPr>
          <w:i/>
          <w:sz w:val="20"/>
        </w:rPr>
        <w:t>Tabulka: Vlastní konstrukce.</w:t>
      </w:r>
    </w:p>
    <w:p w:rsidR="00920C7C" w:rsidRPr="007E3D67" w:rsidRDefault="00920C7C" w:rsidP="00D53E6B"/>
    <w:bookmarkEnd w:id="252"/>
    <w:p w:rsidR="00C44FE2" w:rsidRPr="007E3D67" w:rsidRDefault="00C44FE2" w:rsidP="007C658B"/>
    <w:p w:rsidR="00B8356F" w:rsidRPr="007E3D67" w:rsidRDefault="00B831AE" w:rsidP="007C658B">
      <w:pPr>
        <w:pStyle w:val="Nadpis3"/>
      </w:pPr>
      <w:bookmarkStart w:id="265" w:name="_Toc278920745"/>
      <w:bookmarkStart w:id="266" w:name="_Toc279696232"/>
      <w:r w:rsidRPr="007E3D67">
        <w:lastRenderedPageBreak/>
        <w:t>Analýza dílčích opatření NPP</w:t>
      </w:r>
      <w:bookmarkEnd w:id="265"/>
      <w:bookmarkEnd w:id="266"/>
    </w:p>
    <w:p w:rsidR="00B8356F" w:rsidRPr="007E3D67" w:rsidRDefault="00B8356F" w:rsidP="00B8356F">
      <w:pPr>
        <w:rPr>
          <w:b/>
        </w:rPr>
      </w:pPr>
      <w:r w:rsidRPr="007E3D67">
        <w:rPr>
          <w:b/>
          <w:color w:val="000000"/>
          <w:sz w:val="22"/>
          <w:szCs w:val="22"/>
          <w:lang w:eastAsia="cs-CZ"/>
        </w:rPr>
        <w:t>Zrychlení odpisů v 1. a 2. odpisové skupině</w:t>
      </w:r>
    </w:p>
    <w:p w:rsidR="00B8356F" w:rsidRPr="007E3D67" w:rsidRDefault="00B8356F" w:rsidP="00B8356F"/>
    <w:p w:rsidR="00B8356F" w:rsidRPr="007E3D67" w:rsidRDefault="00B8356F" w:rsidP="00B8356F">
      <w:r w:rsidRPr="007E3D67">
        <w:t>Zkrácení doby odpisování u hmotného majetku pořízeného v letech 2009 a 2010, který se odpisuje v 1. a 2. odpisové skupině. U majetku v 1. odpisové skupině, jako jsou například počítače a kancelářské stroje, se zkrátila doba odpisování ze 3 let na 1 rok. U 2. odpisové skupiny, zahrnující zejména osobní automobily a některé výrobní zařízení, došlo ke zkrácení z 5 let na 2 roky.</w:t>
      </w:r>
    </w:p>
    <w:p w:rsidR="00B8356F" w:rsidRPr="007E3D67" w:rsidRDefault="00B8356F" w:rsidP="00B8356F"/>
    <w:p w:rsidR="00B8356F" w:rsidRPr="007E3D67" w:rsidRDefault="00B8356F" w:rsidP="00B8356F">
      <w:r w:rsidRPr="007E3D67">
        <w:t>Toto opatření lze klasifikovat jako pozitivní, neboť v době krize motiv</w:t>
      </w:r>
      <w:r w:rsidR="00FF45C5" w:rsidRPr="007E3D67">
        <w:t>ovalo</w:t>
      </w:r>
      <w:r w:rsidRPr="007E3D67">
        <w:t xml:space="preserve"> poplatníky k investicím do podnikání. Zvýšená poptávka po strojích, osobních automobilech a dalším hmotném vybavení představuje dobrý ekonomický stimul pro dodavatele, průmyslové podniky, které byly ekonomickou krizí nejvíce zasaženy.</w:t>
      </w:r>
    </w:p>
    <w:p w:rsidR="00B8356F" w:rsidRPr="007E3D67" w:rsidRDefault="00B8356F" w:rsidP="00B8356F"/>
    <w:p w:rsidR="00B8356F" w:rsidRPr="007E3D67" w:rsidRDefault="00B8356F" w:rsidP="00B8356F">
      <w:pPr>
        <w:rPr>
          <w:b/>
        </w:rPr>
      </w:pPr>
      <w:r w:rsidRPr="007E3D67">
        <w:rPr>
          <w:b/>
        </w:rPr>
        <w:t>Daň z přidané hodnoty</w:t>
      </w:r>
    </w:p>
    <w:p w:rsidR="00B8356F" w:rsidRPr="007E3D67" w:rsidRDefault="00B8356F" w:rsidP="00B8356F"/>
    <w:p w:rsidR="00B8356F" w:rsidRPr="007E3D67" w:rsidRDefault="00120C24" w:rsidP="00B8356F">
      <w:r w:rsidRPr="007E3D67">
        <w:t>Opatření NPP v</w:t>
      </w:r>
      <w:r w:rsidR="00B8356F" w:rsidRPr="007E3D67">
        <w:t xml:space="preserve"> oblasti DPH </w:t>
      </w:r>
      <w:r w:rsidR="00FF45C5" w:rsidRPr="007E3D67">
        <w:t>zrušilo</w:t>
      </w:r>
      <w:r w:rsidR="00B8356F" w:rsidRPr="007E3D67">
        <w:t xml:space="preserve"> dosavadní zákaz uplatnění odpočtu DPH u osobních automobilů, a to na nové osobní automobily dodané či dovezené z jiného členského státu EU, resp. v EU pořízené.</w:t>
      </w:r>
    </w:p>
    <w:p w:rsidR="00B8356F" w:rsidRPr="007E3D67" w:rsidRDefault="00B8356F" w:rsidP="00B8356F"/>
    <w:p w:rsidR="00B8356F" w:rsidRPr="007E3D67" w:rsidRDefault="00FF45C5" w:rsidP="00B8356F">
      <w:r w:rsidRPr="007E3D67">
        <w:t xml:space="preserve">Toto opatření přispělo k nepatrnému růstu prodeje osobních automobilů v ČR v roce 2009 </w:t>
      </w:r>
      <w:r w:rsidRPr="004E263B">
        <w:t>(</w:t>
      </w:r>
      <w:r w:rsidR="00CC1789" w:rsidRPr="004E263B">
        <w:t>viz</w:t>
      </w:r>
      <w:r w:rsidR="004E263B" w:rsidRPr="004E263B">
        <w:t xml:space="preserve"> Přílohy,</w:t>
      </w:r>
      <w:r w:rsidRPr="004E263B">
        <w:t xml:space="preserve"> tab</w:t>
      </w:r>
      <w:r w:rsidR="004E263B" w:rsidRPr="004E263B">
        <w:t>.</w:t>
      </w:r>
      <w:r w:rsidRPr="004E263B">
        <w:t xml:space="preserve"> </w:t>
      </w:r>
      <w:r w:rsidR="00C261BC">
        <w:t>4</w:t>
      </w:r>
      <w:r w:rsidRPr="004E263B">
        <w:t>)</w:t>
      </w:r>
      <w:r w:rsidR="00B8356F" w:rsidRPr="004E263B">
        <w:t xml:space="preserve">. Z velké části se zřejmě </w:t>
      </w:r>
      <w:r w:rsidRPr="004E263B">
        <w:t>jednalo</w:t>
      </w:r>
      <w:r w:rsidR="00B8356F" w:rsidRPr="004E263B">
        <w:t xml:space="preserve"> o nákupy, které podnikatelé vzhledem</w:t>
      </w:r>
      <w:r w:rsidR="00B8356F" w:rsidRPr="007E3D67">
        <w:t xml:space="preserve"> k očekávání tohoto kroku </w:t>
      </w:r>
      <w:r w:rsidRPr="007E3D67">
        <w:t>odkládaly</w:t>
      </w:r>
      <w:r w:rsidR="00B8356F" w:rsidRPr="007E3D67">
        <w:t xml:space="preserve">, nikoli o nákupy, které by byly tímto krokem </w:t>
      </w:r>
      <w:r w:rsidRPr="007E3D67">
        <w:t>přímo</w:t>
      </w:r>
      <w:r w:rsidR="00B8356F" w:rsidRPr="007E3D67">
        <w:t xml:space="preserve"> vyvolané. Na druhou stranu je pozitivní, že </w:t>
      </w:r>
      <w:r w:rsidRPr="007E3D67">
        <w:t>firmy</w:t>
      </w:r>
      <w:r w:rsidR="00B8356F" w:rsidRPr="007E3D67">
        <w:t>, které používají osobní automobily pouze k podnikatelským účelům a nechtěly si</w:t>
      </w:r>
      <w:r w:rsidRPr="007E3D67">
        <w:t xml:space="preserve"> dříve</w:t>
      </w:r>
      <w:r w:rsidR="00B8356F" w:rsidRPr="007E3D67">
        <w:t xml:space="preserve"> pořídit automobil "s mřížkou", ušetří přibližně jednu pětinu ceny oproti původnímu stavu</w:t>
      </w:r>
    </w:p>
    <w:p w:rsidR="00FF45C5" w:rsidRPr="007E3D67" w:rsidRDefault="00FF45C5" w:rsidP="00B8356F"/>
    <w:p w:rsidR="00B8356F" w:rsidRPr="007E3D67" w:rsidRDefault="00B8356F" w:rsidP="00B8356F">
      <w:r w:rsidRPr="007E3D67">
        <w:t>Dalším návrhem je povinnost finančních úřadů vracet DPH do 15 dnů, bude-li podání učiněno elektronickou formou.</w:t>
      </w:r>
    </w:p>
    <w:p w:rsidR="00B8356F" w:rsidRPr="007E3D67" w:rsidRDefault="00B8356F" w:rsidP="00B8356F"/>
    <w:p w:rsidR="00B8356F" w:rsidRPr="007E3D67" w:rsidRDefault="00B8356F" w:rsidP="00B8356F">
      <w:r w:rsidRPr="007E3D67">
        <w:t xml:space="preserve">Zkrácení této zákonné lhůty </w:t>
      </w:r>
      <w:r w:rsidR="00FF45C5" w:rsidRPr="007E3D67">
        <w:t>bylo</w:t>
      </w:r>
      <w:r w:rsidRPr="007E3D67">
        <w:t xml:space="preserve"> bezesporu pozitivní pro všechny plátce DPH, kteří DPH od státu nárokují. </w:t>
      </w:r>
    </w:p>
    <w:p w:rsidR="00AF16B0" w:rsidRPr="007E3D67" w:rsidRDefault="00AF16B0" w:rsidP="00AF16B0">
      <w:pPr>
        <w:rPr>
          <w:b/>
        </w:rPr>
      </w:pPr>
      <w:r w:rsidRPr="007E3D67">
        <w:rPr>
          <w:b/>
        </w:rPr>
        <w:lastRenderedPageBreak/>
        <w:t>Slevy na dani</w:t>
      </w:r>
    </w:p>
    <w:p w:rsidR="00AF16B0" w:rsidRPr="007E3D67" w:rsidRDefault="00AF16B0" w:rsidP="006B2F0F"/>
    <w:p w:rsidR="00AF16B0" w:rsidRPr="007E3D67" w:rsidRDefault="00AF16B0" w:rsidP="006B2F0F">
      <w:r w:rsidRPr="007E3D67">
        <w:t>Nárok na slevu na pojistném má zaměstnavatel za každého zaměstnance:</w:t>
      </w:r>
    </w:p>
    <w:p w:rsidR="00AF16B0" w:rsidRPr="007E3D67" w:rsidRDefault="00AF16B0" w:rsidP="006B2F0F">
      <w:pPr>
        <w:pStyle w:val="Odstavecseseznamem"/>
        <w:numPr>
          <w:ilvl w:val="0"/>
          <w:numId w:val="36"/>
        </w:numPr>
        <w:spacing w:line="360" w:lineRule="auto"/>
        <w:rPr>
          <w:rFonts w:ascii="Times New Roman" w:hAnsi="Times New Roman" w:cs="Times New Roman"/>
        </w:rPr>
      </w:pPr>
      <w:r w:rsidRPr="007E3D67">
        <w:rPr>
          <w:rFonts w:ascii="Times New Roman" w:hAnsi="Times New Roman" w:cs="Times New Roman"/>
        </w:rPr>
        <w:t>Který je účasten nemocenského pojištění.</w:t>
      </w:r>
    </w:p>
    <w:p w:rsidR="00AF16B0" w:rsidRPr="007E3D67" w:rsidRDefault="00AF16B0" w:rsidP="006B2F0F">
      <w:pPr>
        <w:pStyle w:val="Odstavecseseznamem"/>
        <w:numPr>
          <w:ilvl w:val="0"/>
          <w:numId w:val="36"/>
        </w:numPr>
        <w:spacing w:line="360" w:lineRule="auto"/>
        <w:rPr>
          <w:rFonts w:ascii="Times New Roman" w:hAnsi="Times New Roman" w:cs="Times New Roman"/>
        </w:rPr>
      </w:pPr>
      <w:r w:rsidRPr="007E3D67">
        <w:rPr>
          <w:rFonts w:ascii="Times New Roman" w:hAnsi="Times New Roman" w:cs="Times New Roman"/>
        </w:rPr>
        <w:t>Který má vyměřovací základ nižší než 1,15 násobek průměrné mzdy zaokrouhlený na celé stokoruny směrem nahoru – pro rok 2009 se jednalo o vyměřovací základ nižší než 27 100 Kč.</w:t>
      </w:r>
    </w:p>
    <w:p w:rsidR="00AF16B0" w:rsidRPr="007E3D67" w:rsidRDefault="00AF16B0" w:rsidP="006B2F0F">
      <w:pPr>
        <w:pStyle w:val="Odstavecseseznamem"/>
        <w:numPr>
          <w:ilvl w:val="0"/>
          <w:numId w:val="36"/>
        </w:numPr>
        <w:spacing w:line="360" w:lineRule="auto"/>
        <w:rPr>
          <w:rFonts w:ascii="Times New Roman" w:hAnsi="Times New Roman" w:cs="Times New Roman"/>
        </w:rPr>
      </w:pPr>
      <w:r w:rsidRPr="007E3D67">
        <w:rPr>
          <w:rFonts w:ascii="Times New Roman" w:hAnsi="Times New Roman" w:cs="Times New Roman"/>
        </w:rPr>
        <w:t>Jehož zaměstnání trvalo po celý kalendářní měsíc.</w:t>
      </w:r>
    </w:p>
    <w:p w:rsidR="00B8356F" w:rsidRPr="007E3D67" w:rsidRDefault="00AF16B0" w:rsidP="006B2F0F">
      <w:pPr>
        <w:pStyle w:val="Odstavecseseznamem"/>
        <w:numPr>
          <w:ilvl w:val="0"/>
          <w:numId w:val="36"/>
        </w:numPr>
        <w:spacing w:line="360" w:lineRule="auto"/>
        <w:rPr>
          <w:rFonts w:ascii="Times New Roman" w:hAnsi="Times New Roman" w:cs="Times New Roman"/>
        </w:rPr>
      </w:pPr>
      <w:r w:rsidRPr="007E3D67">
        <w:rPr>
          <w:rFonts w:ascii="Times New Roman" w:hAnsi="Times New Roman" w:cs="Times New Roman"/>
        </w:rPr>
        <w:t>Jehož zaměstnání mělo trvat déle než 3 kalendářní měsíce, a který nevykonává zaměstnání malého rozsahu (i když je z titulu tohoto zaměstnání účasten nemocenského pojištění).</w:t>
      </w:r>
    </w:p>
    <w:p w:rsidR="00B8356F" w:rsidRPr="007E3D67" w:rsidRDefault="00B8356F" w:rsidP="00B8356F"/>
    <w:p w:rsidR="00B8356F" w:rsidRPr="007E3D67" w:rsidRDefault="00B8356F" w:rsidP="00B8356F">
      <w:r w:rsidRPr="007E3D67">
        <w:t>Tato sleva</w:t>
      </w:r>
      <w:r w:rsidR="00AF16B0" w:rsidRPr="007E3D67">
        <w:t xml:space="preserve"> na dani snížila</w:t>
      </w:r>
      <w:r w:rsidRPr="007E3D67">
        <w:t xml:space="preserve"> cenu práce a </w:t>
      </w:r>
      <w:r w:rsidR="00AF16B0" w:rsidRPr="007E3D67">
        <w:t>zároveň zvýšila</w:t>
      </w:r>
      <w:r w:rsidRPr="007E3D67">
        <w:t xml:space="preserve"> konkurenceschopnost českých společností. Vazba na počet zaměstnanců s nižšími a průměrnými mzdami je však diskutabilní, jelikož v odvětvích s vyšší přidanou hodnotou jsou obecně i vyšší mzdy a není důvod tato odvětví z některých opatření protikrizového pl</w:t>
      </w:r>
      <w:r w:rsidR="00AF16B0" w:rsidRPr="007E3D67">
        <w:t xml:space="preserve">ánu vylučovat, ba spíše naopak. </w:t>
      </w:r>
    </w:p>
    <w:p w:rsidR="00B8356F" w:rsidRPr="007E3D67" w:rsidRDefault="00B8356F" w:rsidP="00B8356F"/>
    <w:p w:rsidR="00B8356F" w:rsidRPr="007E3D67" w:rsidRDefault="00AF16B0" w:rsidP="00B8356F">
      <w:r w:rsidRPr="007E3D67">
        <w:t xml:space="preserve">Další opatření </w:t>
      </w:r>
      <w:r w:rsidR="00F77722" w:rsidRPr="007E3D67">
        <w:t>zrušilo</w:t>
      </w:r>
      <w:r w:rsidR="00B8356F" w:rsidRPr="007E3D67">
        <w:t xml:space="preserve"> povinnost platit zálohy na daň z příjmů pro subjekty zaměstnávající maximálně pět zaměstnanců. V době ztíženého přístupu k úvěrům posíl</w:t>
      </w:r>
      <w:r w:rsidR="00F77722" w:rsidRPr="007E3D67">
        <w:t>ilo</w:t>
      </w:r>
      <w:r w:rsidR="00B8356F" w:rsidRPr="007E3D67">
        <w:t xml:space="preserve"> toto opatření peněžní toky podnikatelů a umožn</w:t>
      </w:r>
      <w:r w:rsidR="00F77722" w:rsidRPr="007E3D67">
        <w:t>ilo</w:t>
      </w:r>
      <w:r w:rsidR="00B8356F" w:rsidRPr="007E3D67">
        <w:t xml:space="preserve"> uspořené prostředky použít na financování jejich podnikání. Vzhledem k tomu, že daň b</w:t>
      </w:r>
      <w:r w:rsidR="00F77722" w:rsidRPr="007E3D67">
        <w:t>yla</w:t>
      </w:r>
      <w:r w:rsidR="00B8356F" w:rsidRPr="007E3D67">
        <w:t xml:space="preserve"> </w:t>
      </w:r>
      <w:r w:rsidR="00F77722" w:rsidRPr="007E3D67">
        <w:t>následující</w:t>
      </w:r>
      <w:r w:rsidR="00B8356F" w:rsidRPr="007E3D67">
        <w:t xml:space="preserve"> rok doplacena, n</w:t>
      </w:r>
      <w:r w:rsidR="00F77722" w:rsidRPr="007E3D67">
        <w:t>ešlo</w:t>
      </w:r>
      <w:r w:rsidR="00B8356F" w:rsidRPr="007E3D67">
        <w:t xml:space="preserve"> o vzdání se příjmů státního rozpočtu, ale o jejich odložení na </w:t>
      </w:r>
      <w:r w:rsidR="00F77722" w:rsidRPr="007E3D67">
        <w:t>další rok.</w:t>
      </w:r>
    </w:p>
    <w:p w:rsidR="00B8356F" w:rsidRPr="007E3D67" w:rsidRDefault="00B8356F" w:rsidP="00B8356F"/>
    <w:p w:rsidR="00B8356F" w:rsidRPr="007E3D67" w:rsidRDefault="00B8356F" w:rsidP="00B8356F">
      <w:pPr>
        <w:rPr>
          <w:b/>
        </w:rPr>
      </w:pPr>
      <w:r w:rsidRPr="007E3D67">
        <w:rPr>
          <w:b/>
        </w:rPr>
        <w:t>Zaměstnanost</w:t>
      </w:r>
    </w:p>
    <w:p w:rsidR="00B8356F" w:rsidRPr="007E3D67" w:rsidRDefault="00B8356F" w:rsidP="00B8356F"/>
    <w:p w:rsidR="00F63C3C" w:rsidRPr="007E3D67" w:rsidRDefault="00F63C3C" w:rsidP="00B8356F">
      <w:r w:rsidRPr="007E3D67">
        <w:t>Opatření pokrývající z</w:t>
      </w:r>
      <w:r w:rsidR="00B8356F" w:rsidRPr="007E3D67">
        <w:t>výšení výdajů na zajištění dopravní obslužnosti, zejména v regionech postižených recesí, podpoř</w:t>
      </w:r>
      <w:r w:rsidRPr="007E3D67">
        <w:t>ilo</w:t>
      </w:r>
      <w:r w:rsidR="00B8356F" w:rsidRPr="007E3D67">
        <w:t xml:space="preserve"> mobilitu v rámci jednotlivých regionů České republiky.</w:t>
      </w:r>
      <w:r w:rsidRPr="007E3D67">
        <w:t xml:space="preserve"> Dopad byl relativně cílený pouze do</w:t>
      </w:r>
      <w:r w:rsidR="00B8356F" w:rsidRPr="007E3D67">
        <w:t xml:space="preserve"> určit</w:t>
      </w:r>
      <w:r w:rsidRPr="007E3D67">
        <w:t>ých</w:t>
      </w:r>
      <w:r w:rsidR="00B8356F" w:rsidRPr="007E3D67">
        <w:t xml:space="preserve"> konkrétní</w:t>
      </w:r>
      <w:r w:rsidRPr="007E3D67">
        <w:t>ch</w:t>
      </w:r>
      <w:r w:rsidR="00B8356F" w:rsidRPr="007E3D67">
        <w:t xml:space="preserve"> sektor</w:t>
      </w:r>
      <w:r w:rsidRPr="007E3D67">
        <w:t>ů</w:t>
      </w:r>
      <w:r w:rsidR="00B8356F" w:rsidRPr="007E3D67">
        <w:t xml:space="preserve">, které </w:t>
      </w:r>
      <w:r w:rsidRPr="007E3D67">
        <w:t xml:space="preserve">v té době </w:t>
      </w:r>
      <w:r w:rsidR="00B8356F" w:rsidRPr="007E3D67">
        <w:t>stále ještě nabíra</w:t>
      </w:r>
      <w:r w:rsidRPr="007E3D67">
        <w:t>li</w:t>
      </w:r>
      <w:r w:rsidR="00B8356F" w:rsidRPr="007E3D67">
        <w:t xml:space="preserve"> zaměstnance. </w:t>
      </w:r>
      <w:r w:rsidRPr="007E3D67">
        <w:t>V době hospodářského útlumu a klesající průmyslové produkce (viz ob</w:t>
      </w:r>
      <w:r w:rsidR="003503ED" w:rsidRPr="007E3D67">
        <w:t>r. 30</w:t>
      </w:r>
      <w:r w:rsidRPr="007E3D67">
        <w:t>) se jednalo o odvětví, kde jsou klíčové jiné dovednosti než manuální zručnost.</w:t>
      </w:r>
      <w:r w:rsidR="00B8356F" w:rsidRPr="007E3D67">
        <w:t xml:space="preserve"> Proto b</w:t>
      </w:r>
      <w:r w:rsidRPr="007E3D67">
        <w:t>ylo</w:t>
      </w:r>
      <w:r w:rsidR="00B8356F" w:rsidRPr="007E3D67">
        <w:t xml:space="preserve"> toto opatření výhodné zejména pro specifické skupiny zaměstnanců.</w:t>
      </w:r>
      <w:r w:rsidRPr="007E3D67">
        <w:t xml:space="preserve"> </w:t>
      </w:r>
    </w:p>
    <w:p w:rsidR="00F63C3C" w:rsidRPr="007E3D67" w:rsidRDefault="00F63C3C" w:rsidP="00B8356F"/>
    <w:p w:rsidR="00B8356F" w:rsidRPr="007E3D67" w:rsidRDefault="00B8356F" w:rsidP="00B8356F">
      <w:r w:rsidRPr="007E3D67">
        <w:lastRenderedPageBreak/>
        <w:t>Také podpora vzdělávání a školení zaměstnanců v rámci operačního programu Lidské zdroje a zaměstnanost s cílem pomoci podnikům přečkat období snížených objednávek bez nutnosti masivně propouště</w:t>
      </w:r>
      <w:r w:rsidR="00DF56F1" w:rsidRPr="007E3D67">
        <w:t>t</w:t>
      </w:r>
      <w:r w:rsidRPr="007E3D67">
        <w:t xml:space="preserve"> zaměstnance, přispě</w:t>
      </w:r>
      <w:r w:rsidR="00DF56F1" w:rsidRPr="007E3D67">
        <w:t>lo</w:t>
      </w:r>
      <w:r w:rsidRPr="007E3D67">
        <w:t xml:space="preserve"> krátkodobě k řešení ekonomické situace podniků.</w:t>
      </w:r>
    </w:p>
    <w:p w:rsidR="00B8356F" w:rsidRPr="007E3D67" w:rsidRDefault="00B8356F" w:rsidP="00B8356F"/>
    <w:p w:rsidR="00B8356F" w:rsidRPr="007E3D67" w:rsidRDefault="00B8356F" w:rsidP="00B8356F">
      <w:r w:rsidRPr="007E3D67">
        <w:t xml:space="preserve">Z dlouhodobého pohledu může přispět k rozšíření </w:t>
      </w:r>
      <w:r w:rsidR="00DF56F1" w:rsidRPr="007E3D67">
        <w:t>vše</w:t>
      </w:r>
      <w:r w:rsidRPr="007E3D67">
        <w:t xml:space="preserve">obecných znalostí a dovedností zaměstnanců, </w:t>
      </w:r>
      <w:r w:rsidR="00DF56F1" w:rsidRPr="007E3D67">
        <w:t xml:space="preserve">díky </w:t>
      </w:r>
      <w:r w:rsidRPr="007E3D67">
        <w:t>kter</w:t>
      </w:r>
      <w:r w:rsidR="00DF56F1" w:rsidRPr="007E3D67">
        <w:t>ým</w:t>
      </w:r>
      <w:r w:rsidRPr="007E3D67">
        <w:t xml:space="preserve"> mohou</w:t>
      </w:r>
      <w:r w:rsidR="00DF56F1" w:rsidRPr="007E3D67">
        <w:t xml:space="preserve"> snáze najít další pracovní uplatnění, resp. zvýšit v budoucnu svou cenu na trhu práce</w:t>
      </w:r>
      <w:r w:rsidRPr="007E3D67">
        <w:t xml:space="preserve">. </w:t>
      </w:r>
      <w:r w:rsidR="00DF56F1" w:rsidRPr="007E3D67">
        <w:t>Samozřejmě k</w:t>
      </w:r>
      <w:r w:rsidRPr="007E3D67">
        <w:t>líčov</w:t>
      </w:r>
      <w:r w:rsidR="00DF56F1" w:rsidRPr="007E3D67">
        <w:t>ou roli v tomto procesu hraje fakt jaká školení a kurzy jednotlivé</w:t>
      </w:r>
      <w:r w:rsidRPr="007E3D67">
        <w:t xml:space="preserve"> společnost</w:t>
      </w:r>
      <w:r w:rsidR="00DF56F1" w:rsidRPr="007E3D67">
        <w:t>i</w:t>
      </w:r>
      <w:r w:rsidRPr="007E3D67">
        <w:t xml:space="preserve"> zvol</w:t>
      </w:r>
      <w:r w:rsidR="00DF56F1" w:rsidRPr="007E3D67">
        <w:t>ily</w:t>
      </w:r>
      <w:r w:rsidRPr="007E3D67">
        <w:t xml:space="preserve">. </w:t>
      </w:r>
    </w:p>
    <w:p w:rsidR="00B8356F" w:rsidRPr="007E3D67" w:rsidRDefault="00B8356F" w:rsidP="007C658B">
      <w:pPr>
        <w:rPr>
          <w:b/>
        </w:rPr>
      </w:pPr>
    </w:p>
    <w:p w:rsidR="00F56932" w:rsidRPr="007E3D67" w:rsidRDefault="00F56932" w:rsidP="007C658B">
      <w:pPr>
        <w:rPr>
          <w:b/>
        </w:rPr>
      </w:pPr>
      <w:r w:rsidRPr="007E3D67">
        <w:rPr>
          <w:b/>
        </w:rPr>
        <w:t xml:space="preserve">Další opatření </w:t>
      </w:r>
    </w:p>
    <w:p w:rsidR="00F56932" w:rsidRPr="007E3D67" w:rsidRDefault="00F56932" w:rsidP="007C658B">
      <w:pPr>
        <w:rPr>
          <w:b/>
        </w:rPr>
      </w:pPr>
    </w:p>
    <w:p w:rsidR="002D2CD5" w:rsidRPr="007E3D67" w:rsidRDefault="002D2CD5" w:rsidP="00D06788">
      <w:r w:rsidRPr="007E3D67">
        <w:t xml:space="preserve">Dotační program na snižování energetické náročnosti budov a posílení dotačního programu PANEL, tyto dvě opatření byly zřetelně cílené na stavební sektor. V prvním případě </w:t>
      </w:r>
      <w:r w:rsidR="00D06788" w:rsidRPr="007E3D67">
        <w:t xml:space="preserve">byl program zaměřen jak na obnovitelné zdroje, tak na energetické úspory při rekonstrukcích budov a v novostavbách a byl gesci Státní fondu životního prostředí ČR. Toto opatření podněcovalo především fyzické osoby k započetí výstavby resp. přestavby nemovitosti s cílem na její nízkou energetickou náročnost. </w:t>
      </w:r>
      <w:r w:rsidR="00425F91" w:rsidRPr="007E3D67">
        <w:t>Přineslo tak dva pozitivní efekty, prvním bylo nalití investic do stavebního sektoru, druhým efektem bylo přispění ke snížení energetické náročnosti</w:t>
      </w:r>
      <w:r w:rsidR="000B47B6" w:rsidRPr="007E3D67">
        <w:t xml:space="preserve"> domácností.</w:t>
      </w:r>
      <w:r w:rsidR="00425F91" w:rsidRPr="007E3D67">
        <w:t xml:space="preserve"> </w:t>
      </w:r>
      <w:r w:rsidR="00D06788" w:rsidRPr="007E3D67">
        <w:t xml:space="preserve">Druhý program PANEL byl cílen na financování zateplení panelových domů. </w:t>
      </w:r>
    </w:p>
    <w:p w:rsidR="009211C8" w:rsidRPr="007E3D67" w:rsidRDefault="009211C8" w:rsidP="00D06788"/>
    <w:p w:rsidR="009211C8" w:rsidRDefault="009211C8" w:rsidP="00D06788">
      <w:r w:rsidRPr="007E3D67">
        <w:t xml:space="preserve">V platnost byla také uvedena novela insolventního zákona, podle které firmy v krachu mohly zpětně zaměstnancům vyplácet 3 platy. </w:t>
      </w:r>
      <w:r w:rsidR="004A1812" w:rsidRPr="007E3D67">
        <w:t>Toto opatření výrazně pomohlo bývalým zaměstnancům sklářského průmyslu, mohli tak</w:t>
      </w:r>
      <w:r w:rsidRPr="007E3D67">
        <w:t xml:space="preserve"> získat zpět část mě</w:t>
      </w:r>
      <w:r w:rsidR="004A1812" w:rsidRPr="007E3D67">
        <w:t xml:space="preserve">síčních platů. </w:t>
      </w:r>
      <w:r w:rsidRPr="007E3D67">
        <w:t>Rozšíř</w:t>
      </w:r>
      <w:r w:rsidR="004A1812" w:rsidRPr="007E3D67">
        <w:t>ila</w:t>
      </w:r>
      <w:r w:rsidRPr="007E3D67">
        <w:t xml:space="preserve"> se také doba, kdy moh</w:t>
      </w:r>
      <w:r w:rsidR="004A1812" w:rsidRPr="007E3D67">
        <w:t>li</w:t>
      </w:r>
      <w:r w:rsidRPr="007E3D67">
        <w:t xml:space="preserve"> dostávat mzdu od úřadu místo od krachujícího zaměstnavatele. To pom</w:t>
      </w:r>
      <w:r w:rsidR="004A1812" w:rsidRPr="007E3D67">
        <w:t>ohlo</w:t>
      </w:r>
      <w:r w:rsidRPr="007E3D67">
        <w:t xml:space="preserve"> firmám</w:t>
      </w:r>
      <w:r w:rsidR="004A1812" w:rsidRPr="007E3D67">
        <w:t> s problematickým cash-flow</w:t>
      </w:r>
      <w:r w:rsidRPr="007E3D67">
        <w:t xml:space="preserve">. </w:t>
      </w:r>
      <w:r w:rsidR="004A1812" w:rsidRPr="007E3D67">
        <w:t>Jakmile</w:t>
      </w:r>
      <w:r w:rsidRPr="007E3D67">
        <w:t xml:space="preserve"> jejich zaměstnance dočasně vyplác</w:t>
      </w:r>
      <w:r w:rsidR="004A1812" w:rsidRPr="007E3D67">
        <w:t>el</w:t>
      </w:r>
      <w:r w:rsidRPr="007E3D67">
        <w:t xml:space="preserve"> stát, neb</w:t>
      </w:r>
      <w:r w:rsidR="002E1EB3" w:rsidRPr="007E3D67">
        <w:t>y</w:t>
      </w:r>
      <w:r w:rsidR="004A1812" w:rsidRPr="007E3D67">
        <w:t>li nuceni</w:t>
      </w:r>
      <w:r w:rsidRPr="007E3D67">
        <w:t xml:space="preserve"> hromadně odcházet a krizi podniku ještě prohlubovat. </w:t>
      </w:r>
      <w:r w:rsidR="004A1812" w:rsidRPr="007E3D67">
        <w:t xml:space="preserve">V tomto opatření byly </w:t>
      </w:r>
      <w:r w:rsidRPr="007E3D67">
        <w:t>zmírn</w:t>
      </w:r>
      <w:r w:rsidR="004A1812" w:rsidRPr="007E3D67">
        <w:t>ěny</w:t>
      </w:r>
      <w:r w:rsidRPr="007E3D67">
        <w:t xml:space="preserve"> podmínky tzv. reorganizace, jejímž cílem </w:t>
      </w:r>
      <w:r w:rsidR="004A1812" w:rsidRPr="007E3D67">
        <w:t>bylo</w:t>
      </w:r>
      <w:r w:rsidRPr="007E3D67">
        <w:t xml:space="preserve"> zachovat výrobu a zároveň firmu ozdravit. </w:t>
      </w:r>
    </w:p>
    <w:p w:rsidR="00FC2C3D" w:rsidRPr="007E3D67" w:rsidRDefault="00FC2C3D" w:rsidP="00D06788"/>
    <w:p w:rsidR="00901149" w:rsidRPr="007E3D67" w:rsidRDefault="00DF56F1" w:rsidP="00901149">
      <w:r w:rsidRPr="007E3D67">
        <w:lastRenderedPageBreak/>
        <w:t>Další p</w:t>
      </w:r>
      <w:r w:rsidR="007C658B" w:rsidRPr="007E3D67">
        <w:t>ozitivní dopad na krátkodobý ekonomický vývoj m</w:t>
      </w:r>
      <w:r w:rsidR="00F95059" w:rsidRPr="007E3D67">
        <w:t>ěly</w:t>
      </w:r>
      <w:r w:rsidR="007C658B" w:rsidRPr="007E3D67">
        <w:t xml:space="preserve"> automatické stabilizátory (vyšší sociální a další platby obyvatelstvu, které se automaticky zvyšují při vyšší nezaměstnanosti).</w:t>
      </w:r>
      <w:r w:rsidR="00901149" w:rsidRPr="007E3D67">
        <w:t xml:space="preserve"> Z pohledu dlouhodobého ekonomického vývoje vedly tyto platby v korelaci s vyššími rozpočtovými výdaji (případně nižšími příjmy), plynoucí z NPP k vynuceným úsporám vládních výdajů v jiné oblasti, a tedy celkový dopad protikrizových opatření byl nižší, než se předpokládalo.</w:t>
      </w:r>
    </w:p>
    <w:p w:rsidR="00C44FE2" w:rsidRPr="007E3D67" w:rsidRDefault="00901149" w:rsidP="00901149">
      <w:r w:rsidRPr="007E3D67">
        <w:t xml:space="preserve"> </w:t>
      </w:r>
    </w:p>
    <w:p w:rsidR="005B2AC9" w:rsidRDefault="006517AA" w:rsidP="00D764C8">
      <w:r w:rsidRPr="007E3D67">
        <w:t xml:space="preserve">Nízký efekt by v tomto období přinesl i vládní fiskální stimul do </w:t>
      </w:r>
      <w:r w:rsidR="00C44FE2" w:rsidRPr="007E3D67">
        <w:t xml:space="preserve">ekonomiky. </w:t>
      </w:r>
      <w:r w:rsidR="002E2521" w:rsidRPr="007E3D67">
        <w:t>Vzhledem k relativně vysokým hodnotám hrubé míry úspor domácností v ČR (viz</w:t>
      </w:r>
      <w:r w:rsidR="007E3D67" w:rsidRPr="007E3D67">
        <w:t xml:space="preserve"> Přílohy,</w:t>
      </w:r>
      <w:r w:rsidR="002E2521" w:rsidRPr="007E3D67">
        <w:t xml:space="preserve"> </w:t>
      </w:r>
      <w:r w:rsidR="004478D0" w:rsidRPr="007E3D67">
        <w:t>t</w:t>
      </w:r>
      <w:r w:rsidR="002E2521" w:rsidRPr="007E3D67">
        <w:t>ab</w:t>
      </w:r>
      <w:r w:rsidR="00C261BC">
        <w:t>.</w:t>
      </w:r>
      <w:r w:rsidR="002E2521" w:rsidRPr="007E3D67">
        <w:t xml:space="preserve"> </w:t>
      </w:r>
      <w:r w:rsidR="00C261BC">
        <w:t>3</w:t>
      </w:r>
      <w:r w:rsidR="002E2521" w:rsidRPr="007E3D67">
        <w:t>), je f</w:t>
      </w:r>
      <w:r w:rsidR="00C44FE2" w:rsidRPr="007E3D67">
        <w:t>iskální multiplikátor v ČR dlouhodobě n</w:t>
      </w:r>
      <w:r w:rsidRPr="007E3D67">
        <w:t xml:space="preserve">a relativně nízké úrovni </w:t>
      </w:r>
      <w:r w:rsidR="00C44FE2" w:rsidRPr="007E3D67">
        <w:t xml:space="preserve">(z dodatečné jedné </w:t>
      </w:r>
      <w:r w:rsidR="005904A6" w:rsidRPr="007E3D67">
        <w:t>Kč</w:t>
      </w:r>
      <w:r w:rsidR="00C44FE2" w:rsidRPr="007E3D67">
        <w:t xml:space="preserve"> příjmů průměrný český spotřebitel ušetří větší část, než </w:t>
      </w:r>
      <w:r w:rsidRPr="007E3D67">
        <w:t>spotřebuje</w:t>
      </w:r>
      <w:r w:rsidR="00C44FE2" w:rsidRPr="007E3D67">
        <w:t>, obzvláště je-li neustále pod vlivem negat</w:t>
      </w:r>
      <w:r w:rsidRPr="007E3D67">
        <w:t xml:space="preserve">ivních ekonomických informací). </w:t>
      </w:r>
      <w:r w:rsidR="00C44FE2" w:rsidRPr="007E3D67">
        <w:t xml:space="preserve">Česká ekonomika je také </w:t>
      </w:r>
      <w:r w:rsidRPr="007E3D67">
        <w:t xml:space="preserve">poměrně malá </w:t>
      </w:r>
      <w:r w:rsidR="00C44FE2" w:rsidRPr="007E3D67">
        <w:t xml:space="preserve">a </w:t>
      </w:r>
      <w:r w:rsidRPr="007E3D67">
        <w:t>velmi otevřená. Z toho plyne</w:t>
      </w:r>
      <w:r w:rsidR="00C44FE2" w:rsidRPr="007E3D67">
        <w:t>, že větší část fiskálního impulzu zvyšuje poptávku po dovozech, a tak zhoršuje zahraniční bilanci země.</w:t>
      </w:r>
      <w:r w:rsidRPr="007E3D67">
        <w:t xml:space="preserve"> Nárůst</w:t>
      </w:r>
      <w:r w:rsidR="00C44FE2" w:rsidRPr="007E3D67">
        <w:t xml:space="preserve"> fiskální</w:t>
      </w:r>
      <w:r w:rsidRPr="007E3D67">
        <w:t>ch</w:t>
      </w:r>
      <w:r w:rsidR="00C44FE2" w:rsidRPr="007E3D67">
        <w:t xml:space="preserve"> výdaj</w:t>
      </w:r>
      <w:r w:rsidRPr="007E3D67">
        <w:t>ů</w:t>
      </w:r>
      <w:r w:rsidR="00C44FE2" w:rsidRPr="007E3D67">
        <w:t xml:space="preserve"> by prohloubil deficity s negativním dopadem na agregátní poptávku</w:t>
      </w:r>
      <w:r w:rsidRPr="007E3D67">
        <w:t>. I</w:t>
      </w:r>
      <w:r w:rsidR="00C44FE2" w:rsidRPr="007E3D67">
        <w:t>nformac</w:t>
      </w:r>
      <w:r w:rsidRPr="007E3D67">
        <w:t xml:space="preserve">e </w:t>
      </w:r>
      <w:r w:rsidR="00C44FE2" w:rsidRPr="007E3D67">
        <w:t xml:space="preserve">o vysokých deficitech by </w:t>
      </w:r>
      <w:r w:rsidRPr="007E3D67">
        <w:t xml:space="preserve">způsobily, že </w:t>
      </w:r>
      <w:r w:rsidR="00C44FE2" w:rsidRPr="007E3D67">
        <w:t>domácnosti</w:t>
      </w:r>
      <w:r w:rsidRPr="007E3D67">
        <w:t xml:space="preserve"> by se</w:t>
      </w:r>
      <w:r w:rsidR="00C44FE2" w:rsidRPr="007E3D67">
        <w:t xml:space="preserve"> staly ještě opatrnějšími a rostoucí výdaje vlády by současně vytěsňovaly (alespoň zčásti) soukromé investice.</w:t>
      </w:r>
      <w:r w:rsidR="00D414D4" w:rsidRPr="007E3D67">
        <w:t xml:space="preserve"> </w:t>
      </w:r>
    </w:p>
    <w:p w:rsidR="00726B09" w:rsidRDefault="00FC2C3D" w:rsidP="00D764C8">
      <w:pPr>
        <w:rPr>
          <w:lang w:eastAsia="cs-CZ"/>
        </w:rPr>
      </w:pPr>
      <w:r w:rsidRPr="00FC2C3D">
        <w:rPr>
          <w:lang w:eastAsia="cs-CZ"/>
        </w:rPr>
        <w:t xml:space="preserve">(HLAVNÍ </w:t>
      </w:r>
      <w:r>
        <w:rPr>
          <w:lang w:eastAsia="cs-CZ"/>
        </w:rPr>
        <w:t>MAKRO</w:t>
      </w:r>
      <w:r w:rsidRPr="00FC2C3D">
        <w:rPr>
          <w:lang w:eastAsia="cs-CZ"/>
        </w:rPr>
        <w:t>EKONOMICKÉ UKAZATELE</w:t>
      </w:r>
      <w:r>
        <w:rPr>
          <w:lang w:eastAsia="cs-CZ"/>
        </w:rPr>
        <w:t xml:space="preserve"> 2010</w:t>
      </w:r>
      <w:r w:rsidRPr="00FC2C3D">
        <w:rPr>
          <w:lang w:eastAsia="cs-CZ"/>
        </w:rPr>
        <w:t>)</w:t>
      </w:r>
    </w:p>
    <w:p w:rsidR="00FC2C3D" w:rsidRPr="00FC2C3D" w:rsidRDefault="00FC2C3D" w:rsidP="00D764C8">
      <w:pPr>
        <w:rPr>
          <w:sz w:val="22"/>
        </w:rPr>
      </w:pPr>
    </w:p>
    <w:p w:rsidR="003A0971" w:rsidRPr="007E3D67" w:rsidRDefault="003A0971" w:rsidP="003A0971">
      <w:pPr>
        <w:pStyle w:val="Nadpis2"/>
      </w:pPr>
      <w:bookmarkStart w:id="267" w:name="_Toc278920746"/>
      <w:bookmarkStart w:id="268" w:name="_Toc279696233"/>
      <w:r w:rsidRPr="007E3D67">
        <w:t>Závěrečná zpráva NERV</w:t>
      </w:r>
      <w:bookmarkEnd w:id="267"/>
      <w:bookmarkEnd w:id="268"/>
    </w:p>
    <w:p w:rsidR="003A0971" w:rsidRPr="007E3D67" w:rsidRDefault="003A0971" w:rsidP="003A0971">
      <w:r w:rsidRPr="007E3D67">
        <w:t>Závěrečná zpráva NERV ze září 2009 poukazovala mimo jiné na otázku fiskální udržitelnosti provázanou s potřebou reforem, související jak s příjmovou, tak s výdajovou stranou státního rozpočtu. Tento dokument obsah</w:t>
      </w:r>
      <w:r w:rsidR="00C73348" w:rsidRPr="007E3D67">
        <w:t>oval</w:t>
      </w:r>
      <w:r w:rsidRPr="007E3D67">
        <w:t xml:space="preserve"> také doporučení uvedená v závěrečné části zprávy, čerpající z aktuálního stavu ekonomiky. </w:t>
      </w:r>
    </w:p>
    <w:p w:rsidR="003A0971" w:rsidRPr="007E3D67" w:rsidRDefault="003A0971" w:rsidP="003A0971"/>
    <w:p w:rsidR="003A0971" w:rsidRPr="007E3D67" w:rsidRDefault="003A0971" w:rsidP="003A0971">
      <w:r w:rsidRPr="007E3D67">
        <w:t>Předložená závěrečná zpráva vych</w:t>
      </w:r>
      <w:r w:rsidR="00246A78" w:rsidRPr="007E3D67">
        <w:t>ázela</w:t>
      </w:r>
      <w:r w:rsidRPr="007E3D67">
        <w:t xml:space="preserve"> z krátké analýzy současného stavu české ekonomiky tak, jak </w:t>
      </w:r>
      <w:r w:rsidR="00246A78" w:rsidRPr="007E3D67">
        <w:t>byl</w:t>
      </w:r>
      <w:r w:rsidRPr="007E3D67">
        <w:t xml:space="preserve"> do značné míry předurčen současnou globální finanční a ekonomickou krizí, situací v Eurozóně i specifickými podmínkami regionu střední a východní Evropy.</w:t>
      </w:r>
    </w:p>
    <w:p w:rsidR="003A0971" w:rsidRPr="007E3D67" w:rsidRDefault="003A0971" w:rsidP="003A0971"/>
    <w:p w:rsidR="003A0971" w:rsidRPr="007E3D67" w:rsidRDefault="003A0971" w:rsidP="003A0971">
      <w:r w:rsidRPr="007E3D67">
        <w:lastRenderedPageBreak/>
        <w:t xml:space="preserve">Podle zprávy NERV </w:t>
      </w:r>
      <w:r w:rsidR="00246A78" w:rsidRPr="007E3D67">
        <w:t xml:space="preserve">by byl </w:t>
      </w:r>
      <w:r w:rsidRPr="007E3D67">
        <w:t xml:space="preserve">potenciál české ekonomiky pro překonání jak současné krize, tak krizí budoucích vyšší, </w:t>
      </w:r>
      <w:r w:rsidR="00246A78" w:rsidRPr="007E3D67">
        <w:t xml:space="preserve">pokud by začala </w:t>
      </w:r>
      <w:r w:rsidRPr="007E3D67">
        <w:t>Č</w:t>
      </w:r>
      <w:r w:rsidR="00246A78" w:rsidRPr="007E3D67">
        <w:t>R</w:t>
      </w:r>
      <w:r w:rsidRPr="007E3D67">
        <w:t xml:space="preserve"> řešit vybraný okruh problémů, které možnosti rychlejšího ekonomického růstu omezují a o kterých se </w:t>
      </w:r>
      <w:r w:rsidR="00246A78" w:rsidRPr="007E3D67">
        <w:t>již řadu let diskutuje</w:t>
      </w:r>
      <w:r w:rsidR="00A852E2" w:rsidRPr="007E3D67">
        <w:t>.</w:t>
      </w:r>
    </w:p>
    <w:p w:rsidR="003A0971" w:rsidRPr="007E3D67" w:rsidRDefault="003A0971" w:rsidP="003A0971">
      <w:pPr>
        <w:rPr>
          <w:highlight w:val="yellow"/>
        </w:rPr>
      </w:pPr>
    </w:p>
    <w:p w:rsidR="003A0971" w:rsidRPr="007E3D67" w:rsidRDefault="00A852E2" w:rsidP="003A0971">
      <w:r w:rsidRPr="007E3D67">
        <w:t>Závěrečná zpráva poukazovala na, že p</w:t>
      </w:r>
      <w:r w:rsidR="003A0971" w:rsidRPr="007E3D67">
        <w:t xml:space="preserve">okud </w:t>
      </w:r>
      <w:r w:rsidRPr="007E3D67">
        <w:t xml:space="preserve">by </w:t>
      </w:r>
      <w:r w:rsidR="003A0971" w:rsidRPr="007E3D67">
        <w:t>tyto problémy neb</w:t>
      </w:r>
      <w:r w:rsidRPr="007E3D67">
        <w:t>yly</w:t>
      </w:r>
      <w:r w:rsidR="003A0971" w:rsidRPr="007E3D67">
        <w:t xml:space="preserve"> řešeny, pak globální konkurence na straně jedné a sociální požadavky obyvatelstva a politický cyklus na straně druhé </w:t>
      </w:r>
      <w:r w:rsidRPr="007E3D67">
        <w:t>by mohly</w:t>
      </w:r>
      <w:r w:rsidR="003A0971" w:rsidRPr="007E3D67">
        <w:t xml:space="preserve"> ve středním období, případně při prodloužení či brzkém opakování </w:t>
      </w:r>
      <w:r w:rsidRPr="007E3D67">
        <w:t>aktuální</w:t>
      </w:r>
      <w:r w:rsidR="003A0971" w:rsidRPr="007E3D67">
        <w:t xml:space="preserve"> krize, vést k destabilizaci české ekonomiky. Důsledkem by pak byl nekontrolovaný nárůst zadluženosti, oslabení měny a potřeba následné stabilizační politiky, kter</w:t>
      </w:r>
      <w:r w:rsidRPr="007E3D67">
        <w:t>á by byla vykoupena</w:t>
      </w:r>
      <w:r w:rsidR="003A0971" w:rsidRPr="007E3D67">
        <w:t xml:space="preserve"> </w:t>
      </w:r>
      <w:r w:rsidRPr="007E3D67">
        <w:t xml:space="preserve">jak </w:t>
      </w:r>
      <w:r w:rsidR="003A0971" w:rsidRPr="007E3D67">
        <w:t>pomal</w:t>
      </w:r>
      <w:r w:rsidRPr="007E3D67">
        <w:t>ým</w:t>
      </w:r>
      <w:r w:rsidR="003A0971" w:rsidRPr="007E3D67">
        <w:t xml:space="preserve"> růst</w:t>
      </w:r>
      <w:r w:rsidRPr="007E3D67">
        <w:t>em</w:t>
      </w:r>
      <w:r w:rsidR="003A0971" w:rsidRPr="007E3D67">
        <w:t xml:space="preserve"> ekonomiky i životní úrovně</w:t>
      </w:r>
      <w:r w:rsidRPr="007E3D67">
        <w:t xml:space="preserve"> v budoucích letech</w:t>
      </w:r>
      <w:r w:rsidR="003A0971" w:rsidRPr="007E3D67">
        <w:t>, tak ztrát</w:t>
      </w:r>
      <w:r w:rsidRPr="007E3D67">
        <w:t>ou</w:t>
      </w:r>
      <w:r w:rsidR="003A0971" w:rsidRPr="007E3D67">
        <w:t xml:space="preserve"> konkurenceschopnosti a postavení</w:t>
      </w:r>
      <w:r w:rsidRPr="007E3D67">
        <w:t>m</w:t>
      </w:r>
      <w:r w:rsidR="003A0971" w:rsidRPr="007E3D67">
        <w:t xml:space="preserve"> na světových trzích.</w:t>
      </w:r>
    </w:p>
    <w:p w:rsidR="003A0971" w:rsidRPr="007E3D67" w:rsidRDefault="003A0971" w:rsidP="003A0971">
      <w:pPr>
        <w:rPr>
          <w:highlight w:val="yellow"/>
        </w:rPr>
      </w:pPr>
    </w:p>
    <w:p w:rsidR="003A0971" w:rsidRPr="007E3D67" w:rsidRDefault="003A0971" w:rsidP="003A0971">
      <w:r w:rsidRPr="007E3D67">
        <w:t xml:space="preserve">Závěrečná zpráva poukazuje pouze na vybrané hlavní problémy: otázku fiskální udržitelnosti (provázanou s potřebou reforem a související jak s příjmovou, tak s výdajovou stranou státního rozpočtu), problematiku trhu práce, podnikatelského a institucionálního prostředí české ekonomiky a další. </w:t>
      </w:r>
    </w:p>
    <w:p w:rsidR="00EE0A6B" w:rsidRPr="007E3D67" w:rsidRDefault="00EE0A6B" w:rsidP="003A0971"/>
    <w:p w:rsidR="00475C9C" w:rsidRPr="007E3D67" w:rsidRDefault="00453921" w:rsidP="00453921">
      <w:pPr>
        <w:pStyle w:val="Nadpis2"/>
      </w:pPr>
      <w:bookmarkStart w:id="269" w:name="_Toc278920747"/>
      <w:bookmarkStart w:id="270" w:name="_Toc279696234"/>
      <w:r w:rsidRPr="007E3D67">
        <w:t>Z</w:t>
      </w:r>
      <w:r w:rsidR="008815D9" w:rsidRPr="007E3D67">
        <w:t>ákon o podpoře hospodářského růstu a sociální stability</w:t>
      </w:r>
      <w:r w:rsidRPr="007E3D67">
        <w:t xml:space="preserve"> a jeho potenciální dopady</w:t>
      </w:r>
      <w:bookmarkEnd w:id="269"/>
      <w:bookmarkEnd w:id="270"/>
    </w:p>
    <w:p w:rsidR="0007682D" w:rsidRPr="007E3D67" w:rsidRDefault="002A0F4D" w:rsidP="00475C9C">
      <w:r w:rsidRPr="007E3D67">
        <w:t xml:space="preserve">Tento zákon byl společným projektem vládních stran ODS, KDU-ČSL, Strany zelených a opoziční ČSSD. </w:t>
      </w:r>
      <w:r w:rsidR="0007682D" w:rsidRPr="007E3D67">
        <w:t>Legislativní proces schválení návrhu tohoto zákona byl ukončen až opětovným schválením poslaneckou sněmovnou ČR, když přehlasovala veto prezidenta ČR.</w:t>
      </w:r>
    </w:p>
    <w:p w:rsidR="005F23A4" w:rsidRPr="007E3D67" w:rsidRDefault="005F23A4" w:rsidP="00475C9C"/>
    <w:p w:rsidR="005F23A4" w:rsidRPr="007E3D67" w:rsidRDefault="005F23A4" w:rsidP="00475C9C">
      <w:pPr>
        <w:rPr>
          <w:b/>
        </w:rPr>
      </w:pPr>
      <w:r w:rsidRPr="007E3D67">
        <w:rPr>
          <w:b/>
        </w:rPr>
        <w:t>Nezaměstnanost</w:t>
      </w:r>
    </w:p>
    <w:p w:rsidR="005F23A4" w:rsidRPr="007E3D67" w:rsidRDefault="00FF0633" w:rsidP="00475C9C">
      <w:r w:rsidRPr="007E3D67">
        <w:t>V této oblasti došlo k nejvýraznější změně</w:t>
      </w:r>
      <w:r w:rsidR="0032575E" w:rsidRPr="007E3D67">
        <w:t>,</w:t>
      </w:r>
      <w:r w:rsidRPr="007E3D67">
        <w:t xml:space="preserve"> </w:t>
      </w:r>
      <w:r w:rsidR="005F23A4" w:rsidRPr="007E3D67">
        <w:t>ke zvýšení sazby pro výpočet podpor v</w:t>
      </w:r>
      <w:r w:rsidR="0032575E" w:rsidRPr="007E3D67">
        <w:t> </w:t>
      </w:r>
      <w:r w:rsidR="005F23A4" w:rsidRPr="007E3D67">
        <w:t>nezaměstnanosti</w:t>
      </w:r>
      <w:r w:rsidR="0032575E" w:rsidRPr="007E3D67">
        <w:t>.</w:t>
      </w:r>
      <w:r w:rsidR="005F23A4" w:rsidRPr="007E3D67">
        <w:t xml:space="preserve"> </w:t>
      </w:r>
      <w:r w:rsidR="0032575E" w:rsidRPr="007E3D67">
        <w:t>A</w:t>
      </w:r>
      <w:r w:rsidR="005F23A4" w:rsidRPr="007E3D67">
        <w:t xml:space="preserve"> to na 80 % z předchozí čisté mzdy (podle do té doby platné úpravy činila tato hodnota 65 %) v prvních dvou měsících nezaměstnanosti, a na 55 % ve zbývajících měsících podpůrčí doby (nárůst z původních 50 %). Zvýšila se i sazba pro výpočet podpor v případě účasti v rekvalifikačních kursech, z původních 60 % předchozí čisté mzdy na 85 %.</w:t>
      </w:r>
      <w:r w:rsidR="007E09F8" w:rsidRPr="007E3D67">
        <w:t xml:space="preserve"> </w:t>
      </w:r>
    </w:p>
    <w:p w:rsidR="007E09F8" w:rsidRPr="007E3D67" w:rsidRDefault="007E09F8" w:rsidP="00475C9C"/>
    <w:p w:rsidR="007E09F8" w:rsidRPr="007E3D67" w:rsidRDefault="007E09F8" w:rsidP="00475C9C">
      <w:r w:rsidRPr="007E3D67">
        <w:lastRenderedPageBreak/>
        <w:t>Tato opatření byla cílena na občany, kteří se v důsledku ekonomické krize stali pro své zaměstnavatele nadbyteční, popř. bývalé zaměstnance krachujících podniků.</w:t>
      </w:r>
    </w:p>
    <w:p w:rsidR="00FF0633" w:rsidRPr="007E3D67" w:rsidRDefault="00FF0633" w:rsidP="00475C9C"/>
    <w:p w:rsidR="009C1B94" w:rsidRPr="007E3D67" w:rsidRDefault="00F56932" w:rsidP="0045741D">
      <w:r w:rsidRPr="007E3D67">
        <w:t xml:space="preserve">Sporným bodem tohoto zákona byl především státní příspěvek při vyřazení </w:t>
      </w:r>
      <w:r w:rsidR="009048C8" w:rsidRPr="007E3D67">
        <w:t>autov</w:t>
      </w:r>
      <w:r w:rsidR="002E1EB3" w:rsidRPr="007E3D67">
        <w:t>r</w:t>
      </w:r>
      <w:r w:rsidR="009048C8" w:rsidRPr="007E3D67">
        <w:t>aku, neboli tzv. šrotovné</w:t>
      </w:r>
      <w:r w:rsidRPr="007E3D67">
        <w:t xml:space="preserve">. </w:t>
      </w:r>
      <w:r w:rsidR="009048C8" w:rsidRPr="007E3D67">
        <w:t>Jeho výše byla stanovena na 30 tisíc Kč na pořízení nového automobilu do hodnoty 500 tisíc Kč, za předpokladu, že původní majitel odevzdá  k ekologické likvidaci auto starší deseti let. Tento návrh se inspiroval v Německu, Slovensku a Španělsku, kde byl tento příspěvek v různých výších zaveden.</w:t>
      </w:r>
      <w:r w:rsidR="009C1B94" w:rsidRPr="007E3D67">
        <w:rPr>
          <w:rFonts w:ascii="Trebuchet MS" w:eastAsia="Calibri" w:hAnsi="Trebuchet MS" w:cs="Tahoma"/>
          <w:sz w:val="22"/>
          <w:szCs w:val="22"/>
        </w:rPr>
        <w:t xml:space="preserve"> </w:t>
      </w:r>
      <w:r w:rsidR="009C1B94" w:rsidRPr="007E3D67">
        <w:t>Na upřednostnění momentální výhodné nabídky by však nemusely doplatit pouze automobilky, ale i samotní spotřebitelé. Mnozí nepřemýšlejí v horizontu dlouhého období a úspory vynaložené na nákup nového vozidla poté přirozeně nemohou investovat do vzdělání, výměny spotřebičů, rekonstrukce bydlení. Vyvstává tedy reálná hrozba, že by tento nedostatek úspor spotřebitelé v ČR řešili půjčkami a spotřebitelskými úvěry. To by posílilo zadlužení domácností v Česku.</w:t>
      </w:r>
      <w:r w:rsidR="0045741D" w:rsidRPr="007E3D67">
        <w:t xml:space="preserve"> Česká ekonomika je proexportně orientovaná. Vzhledem k tomu by nemělo domácí zavedení šrotovného, požadovaný vliv na zvýšení HDP. Ve spojitosti s nárůstem nákladů spojených s platbou této dotace by naopak došlo k jeho snížení.</w:t>
      </w:r>
      <w:r w:rsidR="00FF0633" w:rsidRPr="007E3D67">
        <w:t xml:space="preserve"> Tento návrh zákona nakonec vzhledem k intervenci prezidenta republiky a vládní koalice schvalovacím procesem neprošel.</w:t>
      </w:r>
    </w:p>
    <w:p w:rsidR="00FF0633" w:rsidRPr="007E3D67" w:rsidRDefault="00FF0633" w:rsidP="00FF0633"/>
    <w:p w:rsidR="00FF0633" w:rsidRPr="007E3D67" w:rsidRDefault="00FF0633" w:rsidP="00FF0633">
      <w:r w:rsidRPr="007E3D67">
        <w:t>Schválen nebyl také další návrh ČSSD na zavedení 13. starobního důchodu. Toto opatření by podle v té době platných statistik o počtu občanů pobírající tuto sociální dávku a jejich velikostech, navýšilo výdajovou stránku státního rozpočtu o 7 mld. Kč.</w:t>
      </w:r>
    </w:p>
    <w:p w:rsidR="00453921" w:rsidRPr="007E3D67" w:rsidRDefault="00453921" w:rsidP="00FF0633"/>
    <w:p w:rsidR="001E2916" w:rsidRPr="007E3D67" w:rsidRDefault="00453921" w:rsidP="00475C9C">
      <w:r w:rsidRPr="007E3D67">
        <w:t>Oba předchozí návrhy zákonů byly cíleny na výdajovou stránku rozpočtu, resp. její navýšení. V korelaci se závěry NERV</w:t>
      </w:r>
      <w:r w:rsidR="003A0971" w:rsidRPr="007E3D67">
        <w:t xml:space="preserve"> v </w:t>
      </w:r>
      <w:r w:rsidRPr="007E3D67">
        <w:t>předchozí</w:t>
      </w:r>
      <w:r w:rsidR="003A0971" w:rsidRPr="007E3D67">
        <w:t xml:space="preserve"> subkapitole, lze hodnotit jejich neschválení jako pozitivní a s důrazem na globální dopad, hospodářsky nenarušující.</w:t>
      </w:r>
    </w:p>
    <w:p w:rsidR="003A0971" w:rsidRPr="007E3D67" w:rsidRDefault="003A0971" w:rsidP="00475C9C"/>
    <w:p w:rsidR="00FB478C" w:rsidRPr="007E3D67" w:rsidRDefault="00FB478C" w:rsidP="00453921">
      <w:pPr>
        <w:pStyle w:val="Nadpis2"/>
      </w:pPr>
      <w:bookmarkStart w:id="271" w:name="_Toc278920748"/>
      <w:bookmarkStart w:id="272" w:name="_Toc279696235"/>
      <w:r w:rsidRPr="007E3D67">
        <w:t>Janotův úsporný balíček</w:t>
      </w:r>
      <w:bookmarkEnd w:id="271"/>
      <w:bookmarkEnd w:id="272"/>
    </w:p>
    <w:p w:rsidR="00157886" w:rsidRPr="007E3D67" w:rsidRDefault="00FB478C" w:rsidP="00FB478C">
      <w:r w:rsidRPr="007E3D67">
        <w:t xml:space="preserve">Předchozí opatření tvůrců hospodářské politiky byla jednoznačně cílena na zmírnění dopadů ekonomické krize na ČR. Tento tzv. Janotův úsporný balíček neboli </w:t>
      </w:r>
      <w:r w:rsidRPr="007E3D67">
        <w:rPr>
          <w:bCs/>
        </w:rPr>
        <w:t xml:space="preserve"> novela </w:t>
      </w:r>
      <w:r w:rsidR="005904A6" w:rsidRPr="007E3D67">
        <w:rPr>
          <w:bCs/>
        </w:rPr>
        <w:t>z</w:t>
      </w:r>
      <w:r w:rsidRPr="007E3D67">
        <w:rPr>
          <w:bCs/>
        </w:rPr>
        <w:t>ákona o státním rozpočtu ČR</w:t>
      </w:r>
      <w:r w:rsidR="00BA22ED" w:rsidRPr="007E3D67">
        <w:rPr>
          <w:bCs/>
        </w:rPr>
        <w:t xml:space="preserve"> pro rok 2010</w:t>
      </w:r>
      <w:r w:rsidRPr="007E3D67">
        <w:rPr>
          <w:bCs/>
        </w:rPr>
        <w:t>, byla cílena na konsolidaci veřejných financí</w:t>
      </w:r>
      <w:r w:rsidR="00BA22ED" w:rsidRPr="007E3D67">
        <w:rPr>
          <w:bCs/>
        </w:rPr>
        <w:t>.</w:t>
      </w:r>
      <w:r w:rsidRPr="007E3D67">
        <w:rPr>
          <w:bCs/>
        </w:rPr>
        <w:t xml:space="preserve"> Jak je z </w:t>
      </w:r>
      <w:r w:rsidRPr="007E3D67">
        <w:lastRenderedPageBreak/>
        <w:t xml:space="preserve">obr. 34 patrné tato novela byla schválena vládou pod vedením premiéra Jana Fishera a vypracována týmem ministra financí Eduarda Janoty, podle něhož získala i své označení. </w:t>
      </w:r>
    </w:p>
    <w:p w:rsidR="00157886" w:rsidRPr="007E3D67" w:rsidRDefault="00157886" w:rsidP="00FB478C"/>
    <w:p w:rsidR="00AE25E8" w:rsidRPr="007E3D67" w:rsidRDefault="00157886" w:rsidP="00AE25E8">
      <w:r w:rsidRPr="007E3D67">
        <w:t xml:space="preserve">Rozpočet ČR na rok 2010 vznikal na velmi fragmentovaném politickém pozadí, v období stále ještě probíhajícího hospodářského útlumu. To se promítlo do schvalovacího procesu </w:t>
      </w:r>
      <w:r w:rsidR="008B0F16" w:rsidRPr="007E3D67">
        <w:t xml:space="preserve">Janotova balíčku, kdy </w:t>
      </w:r>
      <w:r w:rsidR="00B72BA6" w:rsidRPr="007E3D67">
        <w:t xml:space="preserve">se </w:t>
      </w:r>
      <w:r w:rsidR="008B0F16" w:rsidRPr="007E3D67">
        <w:t>z původn</w:t>
      </w:r>
      <w:r w:rsidR="00B72BA6" w:rsidRPr="007E3D67">
        <w:t>ě</w:t>
      </w:r>
      <w:r w:rsidR="008B0F16" w:rsidRPr="007E3D67">
        <w:t xml:space="preserve"> komplexního a v krátkodobém horizontu efektivního </w:t>
      </w:r>
      <w:r w:rsidR="00B72BA6" w:rsidRPr="007E3D67">
        <w:t>přístupu k veřejným financím</w:t>
      </w:r>
      <w:r w:rsidR="008B0F16" w:rsidRPr="007E3D67">
        <w:t>,</w:t>
      </w:r>
      <w:r w:rsidR="00B72BA6" w:rsidRPr="007E3D67">
        <w:t xml:space="preserve"> stalo</w:t>
      </w:r>
      <w:r w:rsidR="008B0F16" w:rsidRPr="007E3D67">
        <w:t xml:space="preserve"> po několika čteních v poslanecké sněmovně a pozměňovacích návrzích poslanců</w:t>
      </w:r>
      <w:r w:rsidR="006055BF" w:rsidRPr="007E3D67">
        <w:t>,</w:t>
      </w:r>
      <w:r w:rsidR="00B72BA6" w:rsidRPr="007E3D67">
        <w:t xml:space="preserve"> torzo návrhu</w:t>
      </w:r>
      <w:r w:rsidR="0092545F" w:rsidRPr="007E3D67">
        <w:t xml:space="preserve"> původního</w:t>
      </w:r>
      <w:r w:rsidR="008B0F16" w:rsidRPr="007E3D67">
        <w:t>.</w:t>
      </w:r>
      <w:r w:rsidR="00B72BA6" w:rsidRPr="007E3D67">
        <w:t xml:space="preserve"> </w:t>
      </w:r>
      <w:r w:rsidR="006055BF" w:rsidRPr="007E3D67">
        <w:t xml:space="preserve">Původní návrh ministra financí Eduarda Janoty ilustruje tab. </w:t>
      </w:r>
      <w:r w:rsidR="00820226" w:rsidRPr="007E3D67">
        <w:t>9</w:t>
      </w:r>
      <w:r w:rsidR="006055BF" w:rsidRPr="007E3D67">
        <w:t xml:space="preserve">. </w:t>
      </w:r>
    </w:p>
    <w:p w:rsidR="00B72BA6" w:rsidRPr="007E3D67" w:rsidRDefault="00B72BA6" w:rsidP="00AE25E8"/>
    <w:p w:rsidR="00AE25E8" w:rsidRPr="007E3D67" w:rsidRDefault="00AE25E8" w:rsidP="00E7560A">
      <w:pPr>
        <w:pStyle w:val="CaptionIntroductionparagraph"/>
      </w:pPr>
      <w:bookmarkStart w:id="273" w:name="_Toc279307406"/>
      <w:bookmarkStart w:id="274" w:name="_Toc279438733"/>
      <w:bookmarkStart w:id="275" w:name="_Toc279696282"/>
      <w:bookmarkStart w:id="276" w:name="_Toc279696371"/>
      <w:r w:rsidRPr="007E3D67">
        <w:t xml:space="preserve">Tab. </w:t>
      </w:r>
      <w:r w:rsidR="00820226" w:rsidRPr="007E3D67">
        <w:t>9</w:t>
      </w:r>
      <w:r w:rsidRPr="007E3D67">
        <w:t>:</w:t>
      </w:r>
      <w:r w:rsidR="00157886" w:rsidRPr="007E3D67">
        <w:t xml:space="preserve"> Původní opatření </w:t>
      </w:r>
      <w:r w:rsidRPr="007E3D67">
        <w:t xml:space="preserve">v rámci </w:t>
      </w:r>
      <w:r w:rsidR="00FB478C" w:rsidRPr="007E3D67">
        <w:t>J</w:t>
      </w:r>
      <w:r w:rsidRPr="007E3D67">
        <w:t>anotova úsporného balíčku</w:t>
      </w:r>
      <w:r w:rsidR="00157886" w:rsidRPr="007E3D67">
        <w:t xml:space="preserve"> doplněné o odhad jejich dopad na státní rozpočet</w:t>
      </w:r>
      <w:r w:rsidRPr="007E3D67">
        <w:t xml:space="preserve"> (částky v mld. Kč)</w:t>
      </w:r>
      <w:bookmarkEnd w:id="273"/>
      <w:bookmarkEnd w:id="274"/>
      <w:bookmarkEnd w:id="275"/>
      <w:bookmarkEnd w:id="276"/>
    </w:p>
    <w:tbl>
      <w:tblPr>
        <w:tblW w:w="8971" w:type="dxa"/>
        <w:tblInd w:w="55" w:type="dxa"/>
        <w:tblCellMar>
          <w:left w:w="70" w:type="dxa"/>
          <w:right w:w="70" w:type="dxa"/>
        </w:tblCellMar>
        <w:tblLook w:val="04A0"/>
      </w:tblPr>
      <w:tblGrid>
        <w:gridCol w:w="5860"/>
        <w:gridCol w:w="1180"/>
        <w:gridCol w:w="971"/>
        <w:gridCol w:w="960"/>
      </w:tblGrid>
      <w:tr w:rsidR="00AE25E8" w:rsidRPr="007E3D67" w:rsidTr="00C54398">
        <w:trPr>
          <w:trHeight w:val="840"/>
        </w:trPr>
        <w:tc>
          <w:tcPr>
            <w:tcW w:w="5860" w:type="dxa"/>
            <w:tcBorders>
              <w:top w:val="single" w:sz="8" w:space="0" w:color="auto"/>
              <w:left w:val="single" w:sz="8" w:space="0" w:color="auto"/>
              <w:bottom w:val="single" w:sz="4" w:space="0" w:color="auto"/>
              <w:right w:val="single" w:sz="4" w:space="0" w:color="auto"/>
            </w:tcBorders>
            <w:shd w:val="clear" w:color="000000" w:fill="8DB4E3"/>
            <w:noWrap/>
            <w:vAlign w:val="center"/>
            <w:hideMark/>
          </w:tcPr>
          <w:p w:rsidR="00AE25E8" w:rsidRPr="007E3D67" w:rsidRDefault="00AE25E8" w:rsidP="00C54398">
            <w:pPr>
              <w:spacing w:line="240" w:lineRule="auto"/>
              <w:jc w:val="center"/>
              <w:rPr>
                <w:b/>
                <w:bCs/>
                <w:color w:val="FFFFFF"/>
                <w:sz w:val="22"/>
                <w:szCs w:val="22"/>
                <w:lang w:eastAsia="cs-CZ"/>
              </w:rPr>
            </w:pPr>
            <w:r w:rsidRPr="007E3D67">
              <w:rPr>
                <w:b/>
                <w:bCs/>
                <w:color w:val="FFFFFF"/>
                <w:sz w:val="22"/>
                <w:szCs w:val="22"/>
                <w:lang w:eastAsia="cs-CZ"/>
              </w:rPr>
              <w:t>Opatření</w:t>
            </w:r>
          </w:p>
        </w:tc>
        <w:tc>
          <w:tcPr>
            <w:tcW w:w="1180" w:type="dxa"/>
            <w:tcBorders>
              <w:top w:val="single" w:sz="8" w:space="0" w:color="auto"/>
              <w:left w:val="nil"/>
              <w:bottom w:val="single" w:sz="4" w:space="0" w:color="auto"/>
              <w:right w:val="single" w:sz="4" w:space="0" w:color="auto"/>
            </w:tcBorders>
            <w:shd w:val="clear" w:color="000000" w:fill="8DB4E3"/>
            <w:vAlign w:val="bottom"/>
            <w:hideMark/>
          </w:tcPr>
          <w:p w:rsidR="00AE25E8" w:rsidRPr="007E3D67" w:rsidRDefault="00AE25E8" w:rsidP="00AE25E8">
            <w:pPr>
              <w:spacing w:line="240" w:lineRule="auto"/>
              <w:jc w:val="left"/>
              <w:rPr>
                <w:b/>
                <w:bCs/>
                <w:color w:val="FFFFFF"/>
                <w:sz w:val="22"/>
                <w:szCs w:val="22"/>
                <w:lang w:eastAsia="cs-CZ"/>
              </w:rPr>
            </w:pPr>
            <w:r w:rsidRPr="007E3D67">
              <w:rPr>
                <w:b/>
                <w:bCs/>
                <w:color w:val="FFFFFF"/>
                <w:sz w:val="22"/>
                <w:szCs w:val="22"/>
                <w:lang w:eastAsia="cs-CZ"/>
              </w:rPr>
              <w:t>Příjmy státního rozpočtu</w:t>
            </w:r>
          </w:p>
        </w:tc>
        <w:tc>
          <w:tcPr>
            <w:tcW w:w="971" w:type="dxa"/>
            <w:tcBorders>
              <w:top w:val="single" w:sz="8" w:space="0" w:color="auto"/>
              <w:left w:val="nil"/>
              <w:bottom w:val="single" w:sz="4" w:space="0" w:color="auto"/>
              <w:right w:val="single" w:sz="4" w:space="0" w:color="auto"/>
            </w:tcBorders>
            <w:shd w:val="clear" w:color="000000" w:fill="8DB4E3"/>
            <w:vAlign w:val="bottom"/>
            <w:hideMark/>
          </w:tcPr>
          <w:p w:rsidR="00AE25E8" w:rsidRPr="007E3D67" w:rsidRDefault="00AE25E8" w:rsidP="00AE25E8">
            <w:pPr>
              <w:spacing w:line="240" w:lineRule="auto"/>
              <w:jc w:val="left"/>
              <w:rPr>
                <w:b/>
                <w:bCs/>
                <w:color w:val="FFFFFF"/>
                <w:sz w:val="22"/>
                <w:szCs w:val="22"/>
                <w:lang w:eastAsia="cs-CZ"/>
              </w:rPr>
            </w:pPr>
            <w:r w:rsidRPr="007E3D67">
              <w:rPr>
                <w:b/>
                <w:bCs/>
                <w:color w:val="FFFFFF"/>
                <w:sz w:val="22"/>
                <w:szCs w:val="22"/>
                <w:lang w:eastAsia="cs-CZ"/>
              </w:rPr>
              <w:t>Výdaje státního rozpočtu</w:t>
            </w:r>
          </w:p>
        </w:tc>
        <w:tc>
          <w:tcPr>
            <w:tcW w:w="960" w:type="dxa"/>
            <w:tcBorders>
              <w:top w:val="single" w:sz="8" w:space="0" w:color="auto"/>
              <w:left w:val="nil"/>
              <w:bottom w:val="single" w:sz="4" w:space="0" w:color="auto"/>
              <w:right w:val="single" w:sz="8" w:space="0" w:color="auto"/>
            </w:tcBorders>
            <w:shd w:val="clear" w:color="000000" w:fill="8DB4E3"/>
            <w:vAlign w:val="center"/>
            <w:hideMark/>
          </w:tcPr>
          <w:p w:rsidR="00AE25E8" w:rsidRPr="007E3D67" w:rsidRDefault="00AE25E8" w:rsidP="00AE25E8">
            <w:pPr>
              <w:spacing w:line="240" w:lineRule="auto"/>
              <w:jc w:val="left"/>
              <w:rPr>
                <w:b/>
                <w:bCs/>
                <w:color w:val="FFFFFF"/>
                <w:sz w:val="22"/>
                <w:szCs w:val="22"/>
                <w:lang w:eastAsia="cs-CZ"/>
              </w:rPr>
            </w:pPr>
            <w:r w:rsidRPr="007E3D67">
              <w:rPr>
                <w:b/>
                <w:bCs/>
                <w:color w:val="FFFFFF"/>
                <w:sz w:val="22"/>
                <w:szCs w:val="22"/>
                <w:lang w:eastAsia="cs-CZ"/>
              </w:rPr>
              <w:t>Příjmy - Výdaje</w:t>
            </w:r>
          </w:p>
        </w:tc>
      </w:tr>
      <w:tr w:rsidR="00AE25E8" w:rsidRPr="007E3D67" w:rsidTr="00AE25E8">
        <w:trPr>
          <w:trHeight w:val="30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xml:space="preserve">1. Zvýšení sazby DPH na 10 % a 20 % </w:t>
            </w:r>
          </w:p>
        </w:tc>
        <w:tc>
          <w:tcPr>
            <w:tcW w:w="1180"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10,0</w:t>
            </w:r>
          </w:p>
        </w:tc>
        <w:tc>
          <w:tcPr>
            <w:tcW w:w="971"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w:t>
            </w:r>
          </w:p>
        </w:tc>
        <w:tc>
          <w:tcPr>
            <w:tcW w:w="960" w:type="dxa"/>
            <w:tcBorders>
              <w:top w:val="nil"/>
              <w:left w:val="nil"/>
              <w:bottom w:val="single" w:sz="4" w:space="0" w:color="auto"/>
              <w:right w:val="single" w:sz="8"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10,0</w:t>
            </w:r>
          </w:p>
        </w:tc>
      </w:tr>
      <w:tr w:rsidR="00AE25E8" w:rsidRPr="007E3D67" w:rsidTr="00AE25E8">
        <w:trPr>
          <w:trHeight w:val="30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xml:space="preserve">2. Zvýšení spotřební daně </w:t>
            </w:r>
          </w:p>
        </w:tc>
        <w:tc>
          <w:tcPr>
            <w:tcW w:w="1180"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10,6</w:t>
            </w:r>
          </w:p>
        </w:tc>
        <w:tc>
          <w:tcPr>
            <w:tcW w:w="971"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w:t>
            </w:r>
          </w:p>
        </w:tc>
        <w:tc>
          <w:tcPr>
            <w:tcW w:w="960" w:type="dxa"/>
            <w:tcBorders>
              <w:top w:val="nil"/>
              <w:left w:val="nil"/>
              <w:bottom w:val="single" w:sz="4" w:space="0" w:color="auto"/>
              <w:right w:val="single" w:sz="8"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10,6</w:t>
            </w:r>
          </w:p>
        </w:tc>
      </w:tr>
      <w:tr w:rsidR="00AE25E8" w:rsidRPr="007E3D67" w:rsidTr="00AE25E8">
        <w:trPr>
          <w:trHeight w:val="30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xml:space="preserve">3. Zrušení slev na pojistném </w:t>
            </w:r>
          </w:p>
        </w:tc>
        <w:tc>
          <w:tcPr>
            <w:tcW w:w="1180"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w:t>
            </w:r>
          </w:p>
        </w:tc>
        <w:tc>
          <w:tcPr>
            <w:tcW w:w="971"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-16,5</w:t>
            </w:r>
          </w:p>
        </w:tc>
        <w:tc>
          <w:tcPr>
            <w:tcW w:w="960" w:type="dxa"/>
            <w:tcBorders>
              <w:top w:val="nil"/>
              <w:left w:val="nil"/>
              <w:bottom w:val="single" w:sz="4" w:space="0" w:color="auto"/>
              <w:right w:val="single" w:sz="8"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16,5</w:t>
            </w:r>
          </w:p>
        </w:tc>
      </w:tr>
      <w:tr w:rsidR="00AE25E8" w:rsidRPr="007E3D67" w:rsidTr="00AE25E8">
        <w:trPr>
          <w:trHeight w:val="30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xml:space="preserve">4. Zvýšení stropů na odvody na šestinásobek průměrné mzdy </w:t>
            </w:r>
          </w:p>
        </w:tc>
        <w:tc>
          <w:tcPr>
            <w:tcW w:w="1180"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3,1</w:t>
            </w:r>
          </w:p>
        </w:tc>
        <w:tc>
          <w:tcPr>
            <w:tcW w:w="971"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w:t>
            </w:r>
          </w:p>
        </w:tc>
        <w:tc>
          <w:tcPr>
            <w:tcW w:w="960" w:type="dxa"/>
            <w:tcBorders>
              <w:top w:val="nil"/>
              <w:left w:val="nil"/>
              <w:bottom w:val="single" w:sz="4" w:space="0" w:color="auto"/>
              <w:right w:val="single" w:sz="8"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3,1</w:t>
            </w:r>
          </w:p>
        </w:tc>
      </w:tr>
      <w:tr w:rsidR="00AE25E8" w:rsidRPr="007E3D67" w:rsidTr="00AE25E8">
        <w:trPr>
          <w:trHeight w:val="30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xml:space="preserve">5. Zvýšení daně z nemovitosti </w:t>
            </w:r>
          </w:p>
        </w:tc>
        <w:tc>
          <w:tcPr>
            <w:tcW w:w="1180"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4,4</w:t>
            </w:r>
          </w:p>
        </w:tc>
        <w:tc>
          <w:tcPr>
            <w:tcW w:w="971"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w:t>
            </w:r>
          </w:p>
        </w:tc>
        <w:tc>
          <w:tcPr>
            <w:tcW w:w="960" w:type="dxa"/>
            <w:tcBorders>
              <w:top w:val="nil"/>
              <w:left w:val="nil"/>
              <w:bottom w:val="single" w:sz="4" w:space="0" w:color="auto"/>
              <w:right w:val="single" w:sz="8"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4,4</w:t>
            </w:r>
          </w:p>
        </w:tc>
      </w:tr>
      <w:tr w:rsidR="00AE25E8" w:rsidRPr="007E3D67" w:rsidTr="00AE25E8">
        <w:trPr>
          <w:trHeight w:val="30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xml:space="preserve">6. Ponechání současné výše nemocenského pojištění </w:t>
            </w:r>
          </w:p>
        </w:tc>
        <w:tc>
          <w:tcPr>
            <w:tcW w:w="1180"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8,3</w:t>
            </w:r>
          </w:p>
        </w:tc>
        <w:tc>
          <w:tcPr>
            <w:tcW w:w="971"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w:t>
            </w:r>
          </w:p>
        </w:tc>
        <w:tc>
          <w:tcPr>
            <w:tcW w:w="960" w:type="dxa"/>
            <w:tcBorders>
              <w:top w:val="nil"/>
              <w:left w:val="nil"/>
              <w:bottom w:val="single" w:sz="4" w:space="0" w:color="auto"/>
              <w:right w:val="single" w:sz="8"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8,3</w:t>
            </w:r>
          </w:p>
        </w:tc>
      </w:tr>
      <w:tr w:rsidR="00AE25E8" w:rsidRPr="007E3D67" w:rsidTr="00AE25E8">
        <w:trPr>
          <w:trHeight w:val="30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xml:space="preserve">7. Ponechání paušálu pro OSVČ u administrativních náplní </w:t>
            </w:r>
          </w:p>
        </w:tc>
        <w:tc>
          <w:tcPr>
            <w:tcW w:w="1180"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1,0</w:t>
            </w:r>
          </w:p>
        </w:tc>
        <w:tc>
          <w:tcPr>
            <w:tcW w:w="971"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w:t>
            </w:r>
          </w:p>
        </w:tc>
        <w:tc>
          <w:tcPr>
            <w:tcW w:w="960" w:type="dxa"/>
            <w:tcBorders>
              <w:top w:val="nil"/>
              <w:left w:val="nil"/>
              <w:bottom w:val="single" w:sz="4" w:space="0" w:color="auto"/>
              <w:right w:val="single" w:sz="8"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1,0</w:t>
            </w:r>
          </w:p>
        </w:tc>
      </w:tr>
      <w:tr w:rsidR="00AE25E8" w:rsidRPr="007E3D67" w:rsidTr="00AE25E8">
        <w:trPr>
          <w:trHeight w:val="30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xml:space="preserve">8. Snížení platů ve státní sféře o 4 % </w:t>
            </w:r>
          </w:p>
        </w:tc>
        <w:tc>
          <w:tcPr>
            <w:tcW w:w="1180"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w:t>
            </w:r>
          </w:p>
        </w:tc>
        <w:tc>
          <w:tcPr>
            <w:tcW w:w="971"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-7,0</w:t>
            </w:r>
          </w:p>
        </w:tc>
        <w:tc>
          <w:tcPr>
            <w:tcW w:w="960" w:type="dxa"/>
            <w:tcBorders>
              <w:top w:val="nil"/>
              <w:left w:val="nil"/>
              <w:bottom w:val="single" w:sz="4" w:space="0" w:color="auto"/>
              <w:right w:val="single" w:sz="8"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7,0</w:t>
            </w:r>
          </w:p>
        </w:tc>
      </w:tr>
      <w:tr w:rsidR="00AE25E8" w:rsidRPr="007E3D67" w:rsidTr="00AE25E8">
        <w:trPr>
          <w:trHeight w:val="30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xml:space="preserve">9. Zmrazení podpory v nezaměstnanosti </w:t>
            </w:r>
          </w:p>
        </w:tc>
        <w:tc>
          <w:tcPr>
            <w:tcW w:w="1180"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w:t>
            </w:r>
          </w:p>
        </w:tc>
        <w:tc>
          <w:tcPr>
            <w:tcW w:w="971"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-2,7</w:t>
            </w:r>
          </w:p>
        </w:tc>
        <w:tc>
          <w:tcPr>
            <w:tcW w:w="960" w:type="dxa"/>
            <w:tcBorders>
              <w:top w:val="nil"/>
              <w:left w:val="nil"/>
              <w:bottom w:val="single" w:sz="4" w:space="0" w:color="auto"/>
              <w:right w:val="single" w:sz="8"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2,7</w:t>
            </w:r>
          </w:p>
        </w:tc>
      </w:tr>
      <w:tr w:rsidR="00AE25E8" w:rsidRPr="007E3D67" w:rsidTr="00AE25E8">
        <w:trPr>
          <w:trHeight w:val="30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xml:space="preserve">10. Nižší růst plateb za státní pojištěnce </w:t>
            </w:r>
          </w:p>
        </w:tc>
        <w:tc>
          <w:tcPr>
            <w:tcW w:w="1180"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w:t>
            </w:r>
          </w:p>
        </w:tc>
        <w:tc>
          <w:tcPr>
            <w:tcW w:w="971"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-4,5</w:t>
            </w:r>
          </w:p>
        </w:tc>
        <w:tc>
          <w:tcPr>
            <w:tcW w:w="960" w:type="dxa"/>
            <w:tcBorders>
              <w:top w:val="nil"/>
              <w:left w:val="nil"/>
              <w:bottom w:val="single" w:sz="4" w:space="0" w:color="auto"/>
              <w:right w:val="single" w:sz="8"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4,5</w:t>
            </w:r>
          </w:p>
        </w:tc>
      </w:tr>
      <w:tr w:rsidR="00AE25E8" w:rsidRPr="007E3D67" w:rsidTr="00AE25E8">
        <w:trPr>
          <w:trHeight w:val="30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xml:space="preserve">11. Úspora na úrocích ze státního dluhu </w:t>
            </w:r>
          </w:p>
        </w:tc>
        <w:tc>
          <w:tcPr>
            <w:tcW w:w="1180"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w:t>
            </w:r>
          </w:p>
        </w:tc>
        <w:tc>
          <w:tcPr>
            <w:tcW w:w="971"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-3,0</w:t>
            </w:r>
          </w:p>
        </w:tc>
        <w:tc>
          <w:tcPr>
            <w:tcW w:w="960" w:type="dxa"/>
            <w:tcBorders>
              <w:top w:val="nil"/>
              <w:left w:val="nil"/>
              <w:bottom w:val="single" w:sz="4" w:space="0" w:color="auto"/>
              <w:right w:val="single" w:sz="8"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3,0</w:t>
            </w:r>
          </w:p>
        </w:tc>
      </w:tr>
      <w:tr w:rsidR="00AE25E8" w:rsidRPr="007E3D67" w:rsidTr="00AE25E8">
        <w:trPr>
          <w:trHeight w:val="30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xml:space="preserve">12. Snížení příspěvků na sociální služby </w:t>
            </w:r>
          </w:p>
        </w:tc>
        <w:tc>
          <w:tcPr>
            <w:tcW w:w="1180"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w:t>
            </w:r>
          </w:p>
        </w:tc>
        <w:tc>
          <w:tcPr>
            <w:tcW w:w="971"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-0,6</w:t>
            </w:r>
          </w:p>
        </w:tc>
        <w:tc>
          <w:tcPr>
            <w:tcW w:w="960" w:type="dxa"/>
            <w:tcBorders>
              <w:top w:val="nil"/>
              <w:left w:val="nil"/>
              <w:bottom w:val="single" w:sz="4" w:space="0" w:color="auto"/>
              <w:right w:val="single" w:sz="8"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0,6</w:t>
            </w:r>
          </w:p>
        </w:tc>
      </w:tr>
      <w:tr w:rsidR="00AE25E8" w:rsidRPr="007E3D67" w:rsidTr="00AE25E8">
        <w:trPr>
          <w:trHeight w:val="30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xml:space="preserve">13. Ponechání současné výše přídavku na dítě </w:t>
            </w:r>
          </w:p>
        </w:tc>
        <w:tc>
          <w:tcPr>
            <w:tcW w:w="1180"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w:t>
            </w:r>
          </w:p>
        </w:tc>
        <w:tc>
          <w:tcPr>
            <w:tcW w:w="971"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-0,6</w:t>
            </w:r>
          </w:p>
        </w:tc>
        <w:tc>
          <w:tcPr>
            <w:tcW w:w="960" w:type="dxa"/>
            <w:tcBorders>
              <w:top w:val="nil"/>
              <w:left w:val="nil"/>
              <w:bottom w:val="single" w:sz="4" w:space="0" w:color="auto"/>
              <w:right w:val="single" w:sz="8"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0,6</w:t>
            </w:r>
          </w:p>
        </w:tc>
      </w:tr>
      <w:tr w:rsidR="00AE25E8" w:rsidRPr="007E3D67" w:rsidTr="00AE25E8">
        <w:trPr>
          <w:trHeight w:val="300"/>
        </w:trPr>
        <w:tc>
          <w:tcPr>
            <w:tcW w:w="5860" w:type="dxa"/>
            <w:tcBorders>
              <w:top w:val="nil"/>
              <w:left w:val="single" w:sz="8" w:space="0" w:color="auto"/>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xml:space="preserve">14. Úpravy nemocenského pojištění </w:t>
            </w:r>
          </w:p>
        </w:tc>
        <w:tc>
          <w:tcPr>
            <w:tcW w:w="1180"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color w:val="000000"/>
                <w:sz w:val="22"/>
                <w:szCs w:val="22"/>
                <w:lang w:eastAsia="cs-CZ"/>
              </w:rPr>
            </w:pPr>
            <w:r w:rsidRPr="007E3D67">
              <w:rPr>
                <w:color w:val="000000"/>
                <w:sz w:val="22"/>
                <w:szCs w:val="22"/>
                <w:lang w:eastAsia="cs-CZ"/>
              </w:rPr>
              <w:t> </w:t>
            </w:r>
          </w:p>
        </w:tc>
        <w:tc>
          <w:tcPr>
            <w:tcW w:w="971" w:type="dxa"/>
            <w:tcBorders>
              <w:top w:val="nil"/>
              <w:left w:val="nil"/>
              <w:bottom w:val="single" w:sz="4" w:space="0" w:color="auto"/>
              <w:right w:val="single" w:sz="4"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-2,0</w:t>
            </w:r>
          </w:p>
        </w:tc>
        <w:tc>
          <w:tcPr>
            <w:tcW w:w="960" w:type="dxa"/>
            <w:tcBorders>
              <w:top w:val="nil"/>
              <w:left w:val="nil"/>
              <w:bottom w:val="single" w:sz="4" w:space="0" w:color="auto"/>
              <w:right w:val="single" w:sz="8" w:space="0" w:color="auto"/>
            </w:tcBorders>
            <w:shd w:val="clear" w:color="auto" w:fill="auto"/>
            <w:noWrap/>
            <w:vAlign w:val="bottom"/>
            <w:hideMark/>
          </w:tcPr>
          <w:p w:rsidR="00AE25E8" w:rsidRPr="007E3D67" w:rsidRDefault="00AE25E8" w:rsidP="00AE25E8">
            <w:pPr>
              <w:spacing w:line="240" w:lineRule="auto"/>
              <w:jc w:val="right"/>
              <w:rPr>
                <w:color w:val="000000"/>
                <w:sz w:val="22"/>
                <w:szCs w:val="22"/>
                <w:lang w:eastAsia="cs-CZ"/>
              </w:rPr>
            </w:pPr>
            <w:r w:rsidRPr="007E3D67">
              <w:rPr>
                <w:color w:val="000000"/>
                <w:sz w:val="22"/>
                <w:szCs w:val="22"/>
                <w:lang w:eastAsia="cs-CZ"/>
              </w:rPr>
              <w:t>2,0</w:t>
            </w:r>
          </w:p>
        </w:tc>
      </w:tr>
      <w:tr w:rsidR="00AE25E8" w:rsidRPr="007E3D67" w:rsidTr="00AE25E8">
        <w:trPr>
          <w:trHeight w:val="315"/>
        </w:trPr>
        <w:tc>
          <w:tcPr>
            <w:tcW w:w="5860" w:type="dxa"/>
            <w:tcBorders>
              <w:top w:val="nil"/>
              <w:left w:val="single" w:sz="8" w:space="0" w:color="auto"/>
              <w:bottom w:val="single" w:sz="8" w:space="0" w:color="auto"/>
              <w:right w:val="single" w:sz="4" w:space="0" w:color="auto"/>
            </w:tcBorders>
            <w:shd w:val="clear" w:color="auto" w:fill="auto"/>
            <w:noWrap/>
            <w:vAlign w:val="bottom"/>
            <w:hideMark/>
          </w:tcPr>
          <w:p w:rsidR="00AE25E8" w:rsidRPr="007E3D67" w:rsidRDefault="00AE25E8" w:rsidP="00AE25E8">
            <w:pPr>
              <w:spacing w:line="240" w:lineRule="auto"/>
              <w:jc w:val="left"/>
              <w:rPr>
                <w:b/>
                <w:bCs/>
                <w:color w:val="000000"/>
                <w:sz w:val="22"/>
                <w:szCs w:val="22"/>
                <w:lang w:eastAsia="cs-CZ"/>
              </w:rPr>
            </w:pPr>
            <w:r w:rsidRPr="007E3D67">
              <w:rPr>
                <w:b/>
                <w:bCs/>
                <w:color w:val="000000"/>
                <w:sz w:val="22"/>
                <w:szCs w:val="22"/>
                <w:lang w:eastAsia="cs-CZ"/>
              </w:rPr>
              <w:t>Celkem</w:t>
            </w:r>
          </w:p>
        </w:tc>
        <w:tc>
          <w:tcPr>
            <w:tcW w:w="1180" w:type="dxa"/>
            <w:tcBorders>
              <w:top w:val="nil"/>
              <w:left w:val="nil"/>
              <w:bottom w:val="single" w:sz="8" w:space="0" w:color="auto"/>
              <w:right w:val="single" w:sz="4" w:space="0" w:color="auto"/>
            </w:tcBorders>
            <w:shd w:val="clear" w:color="auto" w:fill="auto"/>
            <w:noWrap/>
            <w:vAlign w:val="bottom"/>
            <w:hideMark/>
          </w:tcPr>
          <w:p w:rsidR="00AE25E8" w:rsidRPr="007E3D67" w:rsidRDefault="00AE25E8" w:rsidP="00AE25E8">
            <w:pPr>
              <w:spacing w:line="240" w:lineRule="auto"/>
              <w:jc w:val="right"/>
              <w:rPr>
                <w:b/>
                <w:bCs/>
                <w:color w:val="000000"/>
                <w:sz w:val="22"/>
                <w:szCs w:val="22"/>
                <w:lang w:eastAsia="cs-CZ"/>
              </w:rPr>
            </w:pPr>
            <w:r w:rsidRPr="007E3D67">
              <w:rPr>
                <w:b/>
                <w:bCs/>
                <w:color w:val="000000"/>
                <w:sz w:val="22"/>
                <w:szCs w:val="22"/>
                <w:lang w:eastAsia="cs-CZ"/>
              </w:rPr>
              <w:t>37,4</w:t>
            </w:r>
          </w:p>
        </w:tc>
        <w:tc>
          <w:tcPr>
            <w:tcW w:w="971" w:type="dxa"/>
            <w:tcBorders>
              <w:top w:val="nil"/>
              <w:left w:val="nil"/>
              <w:bottom w:val="single" w:sz="8" w:space="0" w:color="auto"/>
              <w:right w:val="single" w:sz="4" w:space="0" w:color="auto"/>
            </w:tcBorders>
            <w:shd w:val="clear" w:color="auto" w:fill="auto"/>
            <w:noWrap/>
            <w:vAlign w:val="bottom"/>
            <w:hideMark/>
          </w:tcPr>
          <w:p w:rsidR="00AE25E8" w:rsidRPr="007E3D67" w:rsidRDefault="00AE25E8" w:rsidP="00AE25E8">
            <w:pPr>
              <w:spacing w:line="240" w:lineRule="auto"/>
              <w:jc w:val="right"/>
              <w:rPr>
                <w:b/>
                <w:bCs/>
                <w:color w:val="000000"/>
                <w:sz w:val="22"/>
                <w:szCs w:val="22"/>
                <w:lang w:eastAsia="cs-CZ"/>
              </w:rPr>
            </w:pPr>
            <w:r w:rsidRPr="007E3D67">
              <w:rPr>
                <w:b/>
                <w:bCs/>
                <w:color w:val="000000"/>
                <w:sz w:val="22"/>
                <w:szCs w:val="22"/>
                <w:lang w:eastAsia="cs-CZ"/>
              </w:rPr>
              <w:t>-36,9</w:t>
            </w:r>
          </w:p>
        </w:tc>
        <w:tc>
          <w:tcPr>
            <w:tcW w:w="960" w:type="dxa"/>
            <w:tcBorders>
              <w:top w:val="nil"/>
              <w:left w:val="nil"/>
              <w:bottom w:val="single" w:sz="8" w:space="0" w:color="auto"/>
              <w:right w:val="single" w:sz="8" w:space="0" w:color="auto"/>
            </w:tcBorders>
            <w:shd w:val="clear" w:color="auto" w:fill="auto"/>
            <w:noWrap/>
            <w:vAlign w:val="bottom"/>
            <w:hideMark/>
          </w:tcPr>
          <w:p w:rsidR="00AE25E8" w:rsidRPr="007E3D67" w:rsidRDefault="00AE25E8" w:rsidP="00AE25E8">
            <w:pPr>
              <w:spacing w:line="240" w:lineRule="auto"/>
              <w:jc w:val="right"/>
              <w:rPr>
                <w:b/>
                <w:bCs/>
                <w:color w:val="000000"/>
                <w:sz w:val="22"/>
                <w:szCs w:val="22"/>
                <w:lang w:eastAsia="cs-CZ"/>
              </w:rPr>
            </w:pPr>
            <w:r w:rsidRPr="007E3D67">
              <w:rPr>
                <w:b/>
                <w:bCs/>
                <w:color w:val="000000"/>
                <w:sz w:val="22"/>
                <w:szCs w:val="22"/>
                <w:lang w:eastAsia="cs-CZ"/>
              </w:rPr>
              <w:t>74,3</w:t>
            </w:r>
          </w:p>
        </w:tc>
      </w:tr>
    </w:tbl>
    <w:p w:rsidR="002B76AD" w:rsidRPr="007E3D67" w:rsidRDefault="002B76AD" w:rsidP="002B76AD">
      <w:pPr>
        <w:rPr>
          <w:i/>
          <w:sz w:val="20"/>
        </w:rPr>
      </w:pPr>
      <w:r w:rsidRPr="007E3D67">
        <w:rPr>
          <w:i/>
          <w:sz w:val="20"/>
        </w:rPr>
        <w:t>Zdroj: Data –</w:t>
      </w:r>
      <w:r w:rsidRPr="007E3D67">
        <w:t xml:space="preserve"> </w:t>
      </w:r>
      <w:r w:rsidRPr="007E3D67">
        <w:rPr>
          <w:i/>
          <w:sz w:val="20"/>
        </w:rPr>
        <w:t>Parlament</w:t>
      </w:r>
      <w:r w:rsidR="00360359" w:rsidRPr="007E3D67">
        <w:rPr>
          <w:i/>
          <w:sz w:val="20"/>
        </w:rPr>
        <w:t>,</w:t>
      </w:r>
      <w:r w:rsidRPr="007E3D67">
        <w:rPr>
          <w:i/>
          <w:sz w:val="20"/>
        </w:rPr>
        <w:t xml:space="preserve"> vláda</w:t>
      </w:r>
      <w:r w:rsidR="00360359" w:rsidRPr="007E3D67">
        <w:rPr>
          <w:i/>
          <w:sz w:val="20"/>
        </w:rPr>
        <w:t>,</w:t>
      </w:r>
      <w:r w:rsidRPr="007E3D67">
        <w:rPr>
          <w:i/>
          <w:sz w:val="20"/>
        </w:rPr>
        <w:t xml:space="preserve"> samospráva,</w:t>
      </w:r>
      <w:r w:rsidRPr="007E3D67">
        <w:t xml:space="preserve"> </w:t>
      </w:r>
      <w:r w:rsidRPr="007E3D67">
        <w:rPr>
          <w:i/>
          <w:sz w:val="20"/>
        </w:rPr>
        <w:t>http://www.parlament-vlada.cz,</w:t>
      </w:r>
      <w:r w:rsidRPr="007E3D67">
        <w:t xml:space="preserve"> </w:t>
      </w:r>
      <w:r w:rsidRPr="007E3D67">
        <w:rPr>
          <w:i/>
          <w:sz w:val="20"/>
        </w:rPr>
        <w:t>Tabulka: Vlastní konstrukce.</w:t>
      </w:r>
    </w:p>
    <w:p w:rsidR="00AE25E8" w:rsidRPr="007E3D67" w:rsidRDefault="00AE25E8" w:rsidP="00AE25E8"/>
    <w:p w:rsidR="00B72BA6" w:rsidRPr="007E3D67" w:rsidRDefault="00B72BA6" w:rsidP="005904A6">
      <w:r w:rsidRPr="007E3D67">
        <w:t>Změny, které byly na iniciativu ČSSD, v podobě pozměňovacích návrhů, do zákona o státním rozpočtu 2010 nakonec zakomponovány jsou následující:</w:t>
      </w:r>
    </w:p>
    <w:p w:rsidR="00B72BA6" w:rsidRPr="007E3D67" w:rsidRDefault="00B72BA6" w:rsidP="005904A6">
      <w:pPr>
        <w:pStyle w:val="Odstavecseseznamem"/>
        <w:numPr>
          <w:ilvl w:val="0"/>
          <w:numId w:val="37"/>
        </w:numPr>
        <w:spacing w:line="360" w:lineRule="auto"/>
        <w:rPr>
          <w:rFonts w:ascii="Times New Roman" w:hAnsi="Times New Roman" w:cs="Times New Roman"/>
        </w:rPr>
      </w:pPr>
      <w:r w:rsidRPr="007E3D67">
        <w:rPr>
          <w:rFonts w:ascii="Times New Roman" w:hAnsi="Times New Roman" w:cs="Times New Roman"/>
          <w:color w:val="000000"/>
          <w:sz w:val="22"/>
          <w:lang w:eastAsia="cs-CZ"/>
        </w:rPr>
        <w:t xml:space="preserve">Státní příspěvek </w:t>
      </w:r>
      <w:r w:rsidR="00CA76C5" w:rsidRPr="007E3D67">
        <w:rPr>
          <w:rFonts w:ascii="Times New Roman" w:hAnsi="Times New Roman" w:cs="Times New Roman"/>
          <w:color w:val="000000"/>
          <w:sz w:val="22"/>
          <w:lang w:eastAsia="cs-CZ"/>
        </w:rPr>
        <w:t>poskytovatelům sociální péče, v úhrnné hodnotě 3,8 mld. Kč.</w:t>
      </w:r>
    </w:p>
    <w:p w:rsidR="00CA76C5" w:rsidRPr="007E3D67" w:rsidRDefault="00CA76C5" w:rsidP="005904A6">
      <w:pPr>
        <w:pStyle w:val="Odstavecseseznamem"/>
        <w:numPr>
          <w:ilvl w:val="0"/>
          <w:numId w:val="37"/>
        </w:numPr>
        <w:spacing w:line="360" w:lineRule="auto"/>
        <w:rPr>
          <w:rFonts w:ascii="Times New Roman" w:hAnsi="Times New Roman" w:cs="Times New Roman"/>
        </w:rPr>
      </w:pPr>
      <w:r w:rsidRPr="007E3D67">
        <w:rPr>
          <w:rFonts w:ascii="Times New Roman" w:hAnsi="Times New Roman" w:cs="Times New Roman"/>
        </w:rPr>
        <w:t>Dorovnání původního poklesu platů zaměstnanců ve státní sféře o 4</w:t>
      </w:r>
      <w:r w:rsidR="005904A6" w:rsidRPr="007E3D67">
        <w:rPr>
          <w:rFonts w:ascii="Times New Roman" w:hAnsi="Times New Roman" w:cs="Times New Roman"/>
        </w:rPr>
        <w:t xml:space="preserve"> </w:t>
      </w:r>
      <w:r w:rsidRPr="007E3D67">
        <w:rPr>
          <w:rFonts w:ascii="Times New Roman" w:hAnsi="Times New Roman" w:cs="Times New Roman"/>
        </w:rPr>
        <w:t>%. Toto opatření je vyčísleno na 6,8 mld</w:t>
      </w:r>
      <w:r w:rsidR="005904A6" w:rsidRPr="007E3D67">
        <w:rPr>
          <w:rFonts w:ascii="Times New Roman" w:hAnsi="Times New Roman" w:cs="Times New Roman"/>
        </w:rPr>
        <w:t xml:space="preserve"> Kč</w:t>
      </w:r>
      <w:r w:rsidRPr="007E3D67">
        <w:rPr>
          <w:rFonts w:ascii="Times New Roman" w:hAnsi="Times New Roman" w:cs="Times New Roman"/>
        </w:rPr>
        <w:t>.</w:t>
      </w:r>
    </w:p>
    <w:p w:rsidR="00CA76C5" w:rsidRDefault="00CA76C5" w:rsidP="005904A6">
      <w:pPr>
        <w:pStyle w:val="Odstavecseseznamem"/>
        <w:numPr>
          <w:ilvl w:val="0"/>
          <w:numId w:val="37"/>
        </w:numPr>
        <w:spacing w:line="360" w:lineRule="auto"/>
        <w:rPr>
          <w:rFonts w:ascii="Times New Roman" w:hAnsi="Times New Roman" w:cs="Times New Roman"/>
        </w:rPr>
      </w:pPr>
      <w:r w:rsidRPr="007E3D67">
        <w:rPr>
          <w:rFonts w:ascii="Times New Roman" w:hAnsi="Times New Roman" w:cs="Times New Roman"/>
        </w:rPr>
        <w:lastRenderedPageBreak/>
        <w:t xml:space="preserve">Navýšení přímých plateb pro zemědělce o 1,5 mld. </w:t>
      </w:r>
      <w:r w:rsidR="005904A6" w:rsidRPr="007E3D67">
        <w:rPr>
          <w:rFonts w:ascii="Times New Roman" w:hAnsi="Times New Roman" w:cs="Times New Roman"/>
        </w:rPr>
        <w:t>Kč</w:t>
      </w:r>
      <w:r w:rsidRPr="007E3D67">
        <w:rPr>
          <w:rFonts w:ascii="Times New Roman" w:hAnsi="Times New Roman" w:cs="Times New Roman"/>
        </w:rPr>
        <w:t xml:space="preserve">. </w:t>
      </w:r>
    </w:p>
    <w:p w:rsidR="00401E85" w:rsidRPr="007E3D67" w:rsidRDefault="00401E85" w:rsidP="00401E85">
      <w:pPr>
        <w:pStyle w:val="Odstavecseseznamem"/>
        <w:spacing w:line="360" w:lineRule="auto"/>
        <w:rPr>
          <w:rFonts w:ascii="Times New Roman" w:hAnsi="Times New Roman" w:cs="Times New Roman"/>
        </w:rPr>
      </w:pPr>
    </w:p>
    <w:p w:rsidR="00F41C4E" w:rsidRPr="007E3D67" w:rsidRDefault="00245D79" w:rsidP="00CA76C5">
      <w:r w:rsidRPr="007E3D67">
        <w:t>Celkový dopad těchto opatření na státní rozpočet bylo navýšení výdajové stránky o 12,1 mld. Kč. Tyto pozměňovací návrhy neměly</w:t>
      </w:r>
      <w:r w:rsidR="00F41C4E" w:rsidRPr="007E3D67">
        <w:t xml:space="preserve"> v korelaci s konsolidací veřejného rozpočtu</w:t>
      </w:r>
      <w:r w:rsidRPr="007E3D67">
        <w:t xml:space="preserve"> ekonomické opodstatnění a z tohoto pohledu je nelze hodnotit jinak, než jako populistické. V souvislosti s pomalu končícím mandátem současné vlády, kdy parlamentní volby byly za 7 měsíců, jsou tyto kroky některých politických stran pochopitelné, ovšem ne racionálně hospodářsky opodstatněné. </w:t>
      </w:r>
    </w:p>
    <w:p w:rsidR="00F41C4E" w:rsidRPr="007E3D67" w:rsidRDefault="00F41C4E" w:rsidP="00CA76C5"/>
    <w:p w:rsidR="00310D0B" w:rsidRPr="007E3D67" w:rsidRDefault="00310D0B" w:rsidP="00310D0B">
      <w:pPr>
        <w:rPr>
          <w:b/>
        </w:rPr>
      </w:pPr>
      <w:r w:rsidRPr="007E3D67">
        <w:rPr>
          <w:b/>
        </w:rPr>
        <w:t>Daň z přidané hodnoty</w:t>
      </w:r>
    </w:p>
    <w:p w:rsidR="00310D0B" w:rsidRPr="007E3D67" w:rsidRDefault="00310D0B" w:rsidP="00310D0B">
      <w:pPr>
        <w:rPr>
          <w:b/>
        </w:rPr>
      </w:pPr>
    </w:p>
    <w:p w:rsidR="00310D0B" w:rsidRPr="007E3D67" w:rsidRDefault="00310D0B" w:rsidP="00310D0B">
      <w:r w:rsidRPr="007E3D67">
        <w:t xml:space="preserve">U DPH došlo ke zvýšení o 1 % u základní i snížené sazby, tedy na </w:t>
      </w:r>
      <w:r w:rsidR="00EC363D" w:rsidRPr="007E3D67">
        <w:t>10 %, resp.</w:t>
      </w:r>
      <w:r w:rsidRPr="007E3D67">
        <w:t xml:space="preserve"> 20 %.</w:t>
      </w:r>
    </w:p>
    <w:p w:rsidR="00310D0B" w:rsidRPr="007E3D67" w:rsidRDefault="00310D0B" w:rsidP="00AE25E8"/>
    <w:p w:rsidR="002B76AD" w:rsidRPr="007E3D67" w:rsidRDefault="00F56932" w:rsidP="00AE25E8">
      <w:pPr>
        <w:rPr>
          <w:b/>
        </w:rPr>
      </w:pPr>
      <w:r w:rsidRPr="007E3D67">
        <w:rPr>
          <w:b/>
        </w:rPr>
        <w:t>Daň z příjmu</w:t>
      </w:r>
    </w:p>
    <w:p w:rsidR="00A406EA" w:rsidRPr="007E3D67" w:rsidRDefault="00A406EA" w:rsidP="00F56932"/>
    <w:p w:rsidR="002B76AD" w:rsidRPr="007E3D67" w:rsidRDefault="00F56932" w:rsidP="00F56932">
      <w:r w:rsidRPr="007E3D67">
        <w:t xml:space="preserve">Vyšší paušální výdaje, </w:t>
      </w:r>
      <w:r w:rsidR="00A406EA" w:rsidRPr="007E3D67">
        <w:t>z</w:t>
      </w:r>
      <w:r w:rsidRPr="007E3D67">
        <w:t>výš</w:t>
      </w:r>
      <w:r w:rsidR="00A406EA" w:rsidRPr="007E3D67">
        <w:t xml:space="preserve">ené </w:t>
      </w:r>
      <w:r w:rsidRPr="007E3D67">
        <w:t xml:space="preserve"> pro svobodná povolání a autory kles</w:t>
      </w:r>
      <w:r w:rsidR="00F870A9" w:rsidRPr="007E3D67">
        <w:t>ly</w:t>
      </w:r>
      <w:r w:rsidRPr="007E3D67">
        <w:t xml:space="preserve"> ze 60</w:t>
      </w:r>
      <w:r w:rsidR="00F870A9" w:rsidRPr="007E3D67">
        <w:t xml:space="preserve"> %</w:t>
      </w:r>
      <w:r w:rsidRPr="007E3D67">
        <w:t xml:space="preserve"> na 40 %.</w:t>
      </w:r>
      <w:r w:rsidR="00F870A9" w:rsidRPr="007E3D67">
        <w:t xml:space="preserve"> Změny se dočkalo i </w:t>
      </w:r>
      <w:r w:rsidRPr="007E3D67">
        <w:t xml:space="preserve">daňové zvýhodnění na dítě ze </w:t>
      </w:r>
      <w:r w:rsidR="00F870A9" w:rsidRPr="007E3D67">
        <w:t>předešlých</w:t>
      </w:r>
      <w:r w:rsidRPr="007E3D67">
        <w:t xml:space="preserve"> 890 Kč měsíčně na 967 Kč. Sníž</w:t>
      </w:r>
      <w:r w:rsidR="00F870A9" w:rsidRPr="007E3D67">
        <w:t>ila</w:t>
      </w:r>
      <w:r w:rsidRPr="007E3D67">
        <w:t xml:space="preserve"> se tak daňová povinnost těch, kteří pečují o dítě</w:t>
      </w:r>
      <w:r w:rsidR="00F870A9" w:rsidRPr="007E3D67">
        <w:t>.</w:t>
      </w:r>
    </w:p>
    <w:p w:rsidR="00F870A9" w:rsidRPr="007E3D67" w:rsidRDefault="00F870A9" w:rsidP="00F56932"/>
    <w:p w:rsidR="00F870A9" w:rsidRPr="007E3D67" w:rsidRDefault="00F870A9" w:rsidP="00F56932">
      <w:pPr>
        <w:rPr>
          <w:b/>
        </w:rPr>
      </w:pPr>
      <w:r w:rsidRPr="007E3D67">
        <w:rPr>
          <w:b/>
        </w:rPr>
        <w:t>Daň z nemovitosti</w:t>
      </w:r>
    </w:p>
    <w:p w:rsidR="001D104E" w:rsidRPr="007E3D67" w:rsidRDefault="00F870A9" w:rsidP="00F870A9">
      <w:r w:rsidRPr="007E3D67">
        <w:t>U pozemků a staveb</w:t>
      </w:r>
      <w:r w:rsidR="00D55261" w:rsidRPr="007E3D67">
        <w:t xml:space="preserve"> uvedených v tab. </w:t>
      </w:r>
      <w:r w:rsidR="00820226" w:rsidRPr="007E3D67">
        <w:t>10</w:t>
      </w:r>
      <w:r w:rsidR="00D20D49" w:rsidRPr="007E3D67">
        <w:t xml:space="preserve"> </w:t>
      </w:r>
      <w:r w:rsidR="00D55261" w:rsidRPr="007E3D67">
        <w:t>došlo</w:t>
      </w:r>
      <w:r w:rsidRPr="007E3D67">
        <w:t xml:space="preserve"> ke zvýšení</w:t>
      </w:r>
      <w:r w:rsidR="00D55261" w:rsidRPr="007E3D67">
        <w:t xml:space="preserve"> daně z nemovitosti</w:t>
      </w:r>
      <w:r w:rsidRPr="007E3D67">
        <w:t xml:space="preserve"> o 100 %.</w:t>
      </w:r>
    </w:p>
    <w:p w:rsidR="00D55261" w:rsidRPr="007E3D67" w:rsidRDefault="00D55261" w:rsidP="00F870A9"/>
    <w:p w:rsidR="004076FB" w:rsidRPr="007E3D67" w:rsidRDefault="004076FB">
      <w:pPr>
        <w:spacing w:line="240" w:lineRule="auto"/>
        <w:jc w:val="left"/>
      </w:pPr>
      <w:bookmarkStart w:id="277" w:name="_Toc279307407"/>
      <w:r w:rsidRPr="007E3D67">
        <w:br w:type="page"/>
      </w:r>
    </w:p>
    <w:p w:rsidR="00D91B4A" w:rsidRPr="007E3D67" w:rsidRDefault="001D104E" w:rsidP="00E7560A">
      <w:pPr>
        <w:pStyle w:val="CaptionIntroductionparagraph"/>
      </w:pPr>
      <w:bookmarkStart w:id="278" w:name="_Toc279438734"/>
      <w:bookmarkStart w:id="279" w:name="_Toc279696283"/>
      <w:bookmarkStart w:id="280" w:name="_Toc279696372"/>
      <w:r w:rsidRPr="007E3D67">
        <w:lastRenderedPageBreak/>
        <w:t xml:space="preserve">Tab. </w:t>
      </w:r>
      <w:r w:rsidR="00820226" w:rsidRPr="007E3D67">
        <w:t>10</w:t>
      </w:r>
      <w:r w:rsidRPr="007E3D67">
        <w:t>: Sazby daní z nemovitostí</w:t>
      </w:r>
      <w:bookmarkEnd w:id="277"/>
      <w:bookmarkEnd w:id="278"/>
      <w:bookmarkEnd w:id="279"/>
      <w:bookmarkEnd w:id="280"/>
      <w:r w:rsidRPr="007E3D67">
        <w:t xml:space="preserve"> </w:t>
      </w:r>
    </w:p>
    <w:tbl>
      <w:tblPr>
        <w:tblW w:w="8456" w:type="dxa"/>
        <w:tblInd w:w="55" w:type="dxa"/>
        <w:tblCellMar>
          <w:left w:w="70" w:type="dxa"/>
          <w:right w:w="70" w:type="dxa"/>
        </w:tblCellMar>
        <w:tblLook w:val="04A0"/>
      </w:tblPr>
      <w:tblGrid>
        <w:gridCol w:w="5077"/>
        <w:gridCol w:w="1579"/>
        <w:gridCol w:w="1800"/>
      </w:tblGrid>
      <w:tr w:rsidR="00D91B4A" w:rsidRPr="007E3D67" w:rsidTr="00D91B4A">
        <w:trPr>
          <w:trHeight w:val="320"/>
        </w:trPr>
        <w:tc>
          <w:tcPr>
            <w:tcW w:w="5077" w:type="dxa"/>
            <w:tcBorders>
              <w:top w:val="single" w:sz="8" w:space="0" w:color="auto"/>
              <w:left w:val="single" w:sz="8" w:space="0" w:color="auto"/>
              <w:bottom w:val="single" w:sz="4" w:space="0" w:color="auto"/>
              <w:right w:val="single" w:sz="4" w:space="0" w:color="auto"/>
            </w:tcBorders>
            <w:shd w:val="clear" w:color="000000" w:fill="8DB4E3"/>
            <w:noWrap/>
            <w:vAlign w:val="bottom"/>
            <w:hideMark/>
          </w:tcPr>
          <w:p w:rsidR="00D91B4A" w:rsidRPr="007E3D67" w:rsidRDefault="00D91B4A" w:rsidP="001D104E">
            <w:pPr>
              <w:spacing w:line="240" w:lineRule="auto"/>
              <w:jc w:val="center"/>
              <w:rPr>
                <w:b/>
                <w:bCs/>
                <w:color w:val="FFFFFF"/>
                <w:sz w:val="22"/>
                <w:szCs w:val="22"/>
                <w:lang w:eastAsia="cs-CZ"/>
              </w:rPr>
            </w:pPr>
            <w:r w:rsidRPr="007E3D67">
              <w:rPr>
                <w:b/>
                <w:bCs/>
                <w:color w:val="FFFFFF"/>
                <w:sz w:val="22"/>
                <w:szCs w:val="22"/>
                <w:lang w:eastAsia="cs-CZ"/>
              </w:rPr>
              <w:t>Sazba daně za každý 1m² v Kč</w:t>
            </w:r>
          </w:p>
        </w:tc>
        <w:tc>
          <w:tcPr>
            <w:tcW w:w="1579" w:type="dxa"/>
            <w:tcBorders>
              <w:top w:val="single" w:sz="8" w:space="0" w:color="auto"/>
              <w:left w:val="nil"/>
              <w:bottom w:val="single" w:sz="4" w:space="0" w:color="auto"/>
              <w:right w:val="single" w:sz="4" w:space="0" w:color="auto"/>
            </w:tcBorders>
            <w:shd w:val="clear" w:color="000000" w:fill="8DB4E3"/>
            <w:noWrap/>
            <w:vAlign w:val="bottom"/>
            <w:hideMark/>
          </w:tcPr>
          <w:p w:rsidR="00D91B4A" w:rsidRPr="007E3D67" w:rsidRDefault="00C53596" w:rsidP="001D104E">
            <w:pPr>
              <w:spacing w:line="240" w:lineRule="auto"/>
              <w:jc w:val="center"/>
              <w:rPr>
                <w:b/>
                <w:bCs/>
                <w:color w:val="FFFFFF"/>
                <w:sz w:val="22"/>
                <w:szCs w:val="22"/>
                <w:lang w:eastAsia="cs-CZ"/>
              </w:rPr>
            </w:pPr>
            <w:r w:rsidRPr="007E3D67">
              <w:rPr>
                <w:b/>
                <w:bCs/>
                <w:color w:val="FFFFFF"/>
                <w:sz w:val="22"/>
                <w:szCs w:val="22"/>
                <w:lang w:eastAsia="cs-CZ"/>
              </w:rPr>
              <w:t>P</w:t>
            </w:r>
            <w:r w:rsidR="00D91B4A" w:rsidRPr="007E3D67">
              <w:rPr>
                <w:b/>
                <w:bCs/>
                <w:color w:val="FFFFFF"/>
                <w:sz w:val="22"/>
                <w:szCs w:val="22"/>
                <w:lang w:eastAsia="cs-CZ"/>
              </w:rPr>
              <w:t>řed novelou</w:t>
            </w:r>
          </w:p>
        </w:tc>
        <w:tc>
          <w:tcPr>
            <w:tcW w:w="1800" w:type="dxa"/>
            <w:tcBorders>
              <w:top w:val="single" w:sz="8" w:space="0" w:color="auto"/>
              <w:left w:val="nil"/>
              <w:bottom w:val="single" w:sz="4" w:space="0" w:color="auto"/>
              <w:right w:val="single" w:sz="8" w:space="0" w:color="auto"/>
            </w:tcBorders>
            <w:shd w:val="clear" w:color="000000" w:fill="8DB4E3"/>
            <w:noWrap/>
            <w:vAlign w:val="bottom"/>
            <w:hideMark/>
          </w:tcPr>
          <w:p w:rsidR="00D91B4A" w:rsidRPr="007E3D67" w:rsidRDefault="00C53596" w:rsidP="001D104E">
            <w:pPr>
              <w:spacing w:line="240" w:lineRule="auto"/>
              <w:jc w:val="center"/>
              <w:rPr>
                <w:b/>
                <w:bCs/>
                <w:color w:val="FFFFFF"/>
                <w:sz w:val="22"/>
                <w:szCs w:val="22"/>
                <w:lang w:eastAsia="cs-CZ"/>
              </w:rPr>
            </w:pPr>
            <w:r w:rsidRPr="007E3D67">
              <w:rPr>
                <w:b/>
                <w:bCs/>
                <w:color w:val="FFFFFF"/>
                <w:sz w:val="22"/>
                <w:szCs w:val="22"/>
                <w:lang w:eastAsia="cs-CZ"/>
              </w:rPr>
              <w:t>P</w:t>
            </w:r>
            <w:r w:rsidR="00D91B4A" w:rsidRPr="007E3D67">
              <w:rPr>
                <w:b/>
                <w:bCs/>
                <w:color w:val="FFFFFF"/>
                <w:sz w:val="22"/>
                <w:szCs w:val="22"/>
                <w:lang w:eastAsia="cs-CZ"/>
              </w:rPr>
              <w:t>o novele</w:t>
            </w:r>
          </w:p>
        </w:tc>
      </w:tr>
      <w:tr w:rsidR="00D91B4A" w:rsidRPr="007E3D67" w:rsidTr="00D91B4A">
        <w:trPr>
          <w:trHeight w:val="320"/>
        </w:trPr>
        <w:tc>
          <w:tcPr>
            <w:tcW w:w="5077" w:type="dxa"/>
            <w:tcBorders>
              <w:top w:val="nil"/>
              <w:left w:val="single" w:sz="8" w:space="0" w:color="auto"/>
              <w:bottom w:val="single" w:sz="4" w:space="0" w:color="auto"/>
              <w:right w:val="single" w:sz="4" w:space="0" w:color="auto"/>
            </w:tcBorders>
            <w:shd w:val="clear" w:color="auto" w:fill="auto"/>
            <w:noWrap/>
            <w:vAlign w:val="bottom"/>
            <w:hideMark/>
          </w:tcPr>
          <w:p w:rsidR="00D91B4A" w:rsidRPr="007E3D67" w:rsidRDefault="00D91B4A" w:rsidP="00D91B4A">
            <w:pPr>
              <w:spacing w:line="240" w:lineRule="auto"/>
              <w:jc w:val="left"/>
              <w:rPr>
                <w:color w:val="000000"/>
                <w:sz w:val="22"/>
                <w:szCs w:val="22"/>
                <w:lang w:eastAsia="cs-CZ"/>
              </w:rPr>
            </w:pPr>
            <w:r w:rsidRPr="007E3D67">
              <w:rPr>
                <w:color w:val="000000"/>
                <w:sz w:val="22"/>
                <w:szCs w:val="22"/>
                <w:lang w:eastAsia="cs-CZ"/>
              </w:rPr>
              <w:t>Zastavěné plochy a nádvoří</w:t>
            </w:r>
          </w:p>
        </w:tc>
        <w:tc>
          <w:tcPr>
            <w:tcW w:w="1579" w:type="dxa"/>
            <w:tcBorders>
              <w:top w:val="nil"/>
              <w:left w:val="nil"/>
              <w:bottom w:val="single" w:sz="4" w:space="0" w:color="auto"/>
              <w:right w:val="single" w:sz="4" w:space="0" w:color="auto"/>
            </w:tcBorders>
            <w:shd w:val="clear" w:color="auto" w:fill="auto"/>
            <w:noWrap/>
            <w:vAlign w:val="bottom"/>
            <w:hideMark/>
          </w:tcPr>
          <w:p w:rsidR="00D91B4A" w:rsidRPr="007E3D67" w:rsidRDefault="00D91B4A" w:rsidP="00D91B4A">
            <w:pPr>
              <w:spacing w:line="240" w:lineRule="auto"/>
              <w:jc w:val="right"/>
              <w:rPr>
                <w:color w:val="000000"/>
                <w:sz w:val="22"/>
                <w:szCs w:val="22"/>
                <w:lang w:eastAsia="cs-CZ"/>
              </w:rPr>
            </w:pPr>
            <w:r w:rsidRPr="007E3D67">
              <w:rPr>
                <w:color w:val="000000"/>
                <w:sz w:val="22"/>
                <w:szCs w:val="22"/>
                <w:lang w:eastAsia="cs-CZ"/>
              </w:rPr>
              <w:t>0,1</w:t>
            </w:r>
          </w:p>
        </w:tc>
        <w:tc>
          <w:tcPr>
            <w:tcW w:w="1800" w:type="dxa"/>
            <w:tcBorders>
              <w:top w:val="nil"/>
              <w:left w:val="nil"/>
              <w:bottom w:val="single" w:sz="4" w:space="0" w:color="auto"/>
              <w:right w:val="single" w:sz="8" w:space="0" w:color="auto"/>
            </w:tcBorders>
            <w:shd w:val="clear" w:color="auto" w:fill="auto"/>
            <w:noWrap/>
            <w:vAlign w:val="bottom"/>
            <w:hideMark/>
          </w:tcPr>
          <w:p w:rsidR="00D91B4A" w:rsidRPr="007E3D67" w:rsidRDefault="00D91B4A" w:rsidP="00D91B4A">
            <w:pPr>
              <w:spacing w:line="240" w:lineRule="auto"/>
              <w:jc w:val="right"/>
              <w:rPr>
                <w:color w:val="000000"/>
                <w:sz w:val="22"/>
                <w:szCs w:val="22"/>
                <w:lang w:eastAsia="cs-CZ"/>
              </w:rPr>
            </w:pPr>
            <w:r w:rsidRPr="007E3D67">
              <w:rPr>
                <w:color w:val="000000"/>
                <w:sz w:val="22"/>
                <w:szCs w:val="22"/>
                <w:lang w:eastAsia="cs-CZ"/>
              </w:rPr>
              <w:t>0,2</w:t>
            </w:r>
          </w:p>
        </w:tc>
      </w:tr>
      <w:tr w:rsidR="00D91B4A" w:rsidRPr="007E3D67" w:rsidTr="00D91B4A">
        <w:trPr>
          <w:trHeight w:val="320"/>
        </w:trPr>
        <w:tc>
          <w:tcPr>
            <w:tcW w:w="5077" w:type="dxa"/>
            <w:tcBorders>
              <w:top w:val="nil"/>
              <w:left w:val="single" w:sz="8" w:space="0" w:color="auto"/>
              <w:bottom w:val="single" w:sz="4" w:space="0" w:color="auto"/>
              <w:right w:val="single" w:sz="4" w:space="0" w:color="auto"/>
            </w:tcBorders>
            <w:shd w:val="clear" w:color="auto" w:fill="auto"/>
            <w:noWrap/>
            <w:vAlign w:val="bottom"/>
            <w:hideMark/>
          </w:tcPr>
          <w:p w:rsidR="00D91B4A" w:rsidRPr="007E3D67" w:rsidRDefault="00D91B4A" w:rsidP="00D91B4A">
            <w:pPr>
              <w:spacing w:line="240" w:lineRule="auto"/>
              <w:jc w:val="left"/>
              <w:rPr>
                <w:color w:val="000000"/>
                <w:sz w:val="22"/>
                <w:szCs w:val="22"/>
                <w:lang w:eastAsia="cs-CZ"/>
              </w:rPr>
            </w:pPr>
            <w:r w:rsidRPr="007E3D67">
              <w:rPr>
                <w:color w:val="000000"/>
                <w:sz w:val="22"/>
                <w:szCs w:val="22"/>
                <w:lang w:eastAsia="cs-CZ"/>
              </w:rPr>
              <w:t>Stavební pozemky</w:t>
            </w:r>
          </w:p>
        </w:tc>
        <w:tc>
          <w:tcPr>
            <w:tcW w:w="1579" w:type="dxa"/>
            <w:tcBorders>
              <w:top w:val="nil"/>
              <w:left w:val="nil"/>
              <w:bottom w:val="single" w:sz="4" w:space="0" w:color="auto"/>
              <w:right w:val="single" w:sz="4" w:space="0" w:color="auto"/>
            </w:tcBorders>
            <w:shd w:val="clear" w:color="auto" w:fill="auto"/>
            <w:noWrap/>
            <w:vAlign w:val="bottom"/>
            <w:hideMark/>
          </w:tcPr>
          <w:p w:rsidR="00D91B4A" w:rsidRPr="007E3D67" w:rsidRDefault="00D91B4A" w:rsidP="00D91B4A">
            <w:pPr>
              <w:spacing w:line="240" w:lineRule="auto"/>
              <w:jc w:val="right"/>
              <w:rPr>
                <w:color w:val="000000"/>
                <w:sz w:val="22"/>
                <w:szCs w:val="22"/>
                <w:lang w:eastAsia="cs-CZ"/>
              </w:rPr>
            </w:pPr>
            <w:r w:rsidRPr="007E3D67">
              <w:rPr>
                <w:color w:val="000000"/>
                <w:sz w:val="22"/>
                <w:szCs w:val="22"/>
                <w:lang w:eastAsia="cs-CZ"/>
              </w:rPr>
              <w:t>1</w:t>
            </w:r>
            <w:r w:rsidR="00C53596" w:rsidRPr="007E3D67">
              <w:rPr>
                <w:color w:val="000000"/>
                <w:sz w:val="22"/>
                <w:szCs w:val="22"/>
                <w:lang w:eastAsia="cs-CZ"/>
              </w:rPr>
              <w:t>,0</w:t>
            </w:r>
          </w:p>
        </w:tc>
        <w:tc>
          <w:tcPr>
            <w:tcW w:w="1800" w:type="dxa"/>
            <w:tcBorders>
              <w:top w:val="nil"/>
              <w:left w:val="nil"/>
              <w:bottom w:val="single" w:sz="4" w:space="0" w:color="auto"/>
              <w:right w:val="single" w:sz="8" w:space="0" w:color="auto"/>
            </w:tcBorders>
            <w:shd w:val="clear" w:color="auto" w:fill="auto"/>
            <w:noWrap/>
            <w:vAlign w:val="bottom"/>
            <w:hideMark/>
          </w:tcPr>
          <w:p w:rsidR="00D91B4A" w:rsidRPr="007E3D67" w:rsidRDefault="00D91B4A" w:rsidP="00D91B4A">
            <w:pPr>
              <w:spacing w:line="240" w:lineRule="auto"/>
              <w:jc w:val="right"/>
              <w:rPr>
                <w:color w:val="000000"/>
                <w:sz w:val="22"/>
                <w:szCs w:val="22"/>
                <w:lang w:eastAsia="cs-CZ"/>
              </w:rPr>
            </w:pPr>
            <w:r w:rsidRPr="007E3D67">
              <w:rPr>
                <w:color w:val="000000"/>
                <w:sz w:val="22"/>
                <w:szCs w:val="22"/>
                <w:lang w:eastAsia="cs-CZ"/>
              </w:rPr>
              <w:t>2</w:t>
            </w:r>
            <w:r w:rsidR="00C53596" w:rsidRPr="007E3D67">
              <w:rPr>
                <w:color w:val="000000"/>
                <w:sz w:val="22"/>
                <w:szCs w:val="22"/>
                <w:lang w:eastAsia="cs-CZ"/>
              </w:rPr>
              <w:t>,0</w:t>
            </w:r>
          </w:p>
        </w:tc>
      </w:tr>
      <w:tr w:rsidR="00D91B4A" w:rsidRPr="007E3D67" w:rsidTr="00D91B4A">
        <w:trPr>
          <w:trHeight w:val="320"/>
        </w:trPr>
        <w:tc>
          <w:tcPr>
            <w:tcW w:w="5077" w:type="dxa"/>
            <w:tcBorders>
              <w:top w:val="nil"/>
              <w:left w:val="single" w:sz="8" w:space="0" w:color="auto"/>
              <w:bottom w:val="single" w:sz="4" w:space="0" w:color="auto"/>
              <w:right w:val="single" w:sz="4" w:space="0" w:color="auto"/>
            </w:tcBorders>
            <w:shd w:val="clear" w:color="auto" w:fill="auto"/>
            <w:noWrap/>
            <w:vAlign w:val="bottom"/>
            <w:hideMark/>
          </w:tcPr>
          <w:p w:rsidR="00D91B4A" w:rsidRPr="007E3D67" w:rsidRDefault="00D91B4A" w:rsidP="00D91B4A">
            <w:pPr>
              <w:spacing w:line="240" w:lineRule="auto"/>
              <w:jc w:val="left"/>
              <w:rPr>
                <w:color w:val="000000"/>
                <w:sz w:val="22"/>
                <w:szCs w:val="22"/>
                <w:lang w:eastAsia="cs-CZ"/>
              </w:rPr>
            </w:pPr>
            <w:r w:rsidRPr="007E3D67">
              <w:rPr>
                <w:color w:val="000000"/>
                <w:sz w:val="22"/>
                <w:szCs w:val="22"/>
                <w:lang w:eastAsia="cs-CZ"/>
              </w:rPr>
              <w:t>Ostatní plochy, pokud jsou předmětem daně</w:t>
            </w:r>
          </w:p>
        </w:tc>
        <w:tc>
          <w:tcPr>
            <w:tcW w:w="1579" w:type="dxa"/>
            <w:tcBorders>
              <w:top w:val="nil"/>
              <w:left w:val="nil"/>
              <w:bottom w:val="single" w:sz="4" w:space="0" w:color="auto"/>
              <w:right w:val="single" w:sz="4" w:space="0" w:color="auto"/>
            </w:tcBorders>
            <w:shd w:val="clear" w:color="auto" w:fill="auto"/>
            <w:noWrap/>
            <w:vAlign w:val="bottom"/>
            <w:hideMark/>
          </w:tcPr>
          <w:p w:rsidR="00D91B4A" w:rsidRPr="007E3D67" w:rsidRDefault="00D91B4A" w:rsidP="00D91B4A">
            <w:pPr>
              <w:spacing w:line="240" w:lineRule="auto"/>
              <w:jc w:val="right"/>
              <w:rPr>
                <w:color w:val="000000"/>
                <w:sz w:val="22"/>
                <w:szCs w:val="22"/>
                <w:lang w:eastAsia="cs-CZ"/>
              </w:rPr>
            </w:pPr>
            <w:r w:rsidRPr="007E3D67">
              <w:rPr>
                <w:color w:val="000000"/>
                <w:sz w:val="22"/>
                <w:szCs w:val="22"/>
                <w:lang w:eastAsia="cs-CZ"/>
              </w:rPr>
              <w:t>0,1</w:t>
            </w:r>
          </w:p>
        </w:tc>
        <w:tc>
          <w:tcPr>
            <w:tcW w:w="1800" w:type="dxa"/>
            <w:tcBorders>
              <w:top w:val="nil"/>
              <w:left w:val="nil"/>
              <w:bottom w:val="single" w:sz="4" w:space="0" w:color="auto"/>
              <w:right w:val="single" w:sz="8" w:space="0" w:color="auto"/>
            </w:tcBorders>
            <w:shd w:val="clear" w:color="auto" w:fill="auto"/>
            <w:noWrap/>
            <w:vAlign w:val="bottom"/>
            <w:hideMark/>
          </w:tcPr>
          <w:p w:rsidR="00D91B4A" w:rsidRPr="007E3D67" w:rsidRDefault="00D91B4A" w:rsidP="00D91B4A">
            <w:pPr>
              <w:spacing w:line="240" w:lineRule="auto"/>
              <w:jc w:val="right"/>
              <w:rPr>
                <w:color w:val="000000"/>
                <w:sz w:val="22"/>
                <w:szCs w:val="22"/>
                <w:lang w:eastAsia="cs-CZ"/>
              </w:rPr>
            </w:pPr>
            <w:r w:rsidRPr="007E3D67">
              <w:rPr>
                <w:color w:val="000000"/>
                <w:sz w:val="22"/>
                <w:szCs w:val="22"/>
                <w:lang w:eastAsia="cs-CZ"/>
              </w:rPr>
              <w:t>0,2</w:t>
            </w:r>
          </w:p>
        </w:tc>
      </w:tr>
      <w:tr w:rsidR="00D91B4A" w:rsidRPr="007E3D67" w:rsidTr="00D91B4A">
        <w:trPr>
          <w:trHeight w:val="320"/>
        </w:trPr>
        <w:tc>
          <w:tcPr>
            <w:tcW w:w="5077" w:type="dxa"/>
            <w:tcBorders>
              <w:top w:val="nil"/>
              <w:left w:val="single" w:sz="8" w:space="0" w:color="auto"/>
              <w:bottom w:val="single" w:sz="4" w:space="0" w:color="auto"/>
              <w:right w:val="single" w:sz="4" w:space="0" w:color="auto"/>
            </w:tcBorders>
            <w:shd w:val="clear" w:color="000000" w:fill="8DB4E3"/>
            <w:noWrap/>
            <w:vAlign w:val="bottom"/>
            <w:hideMark/>
          </w:tcPr>
          <w:p w:rsidR="00D91B4A" w:rsidRPr="007E3D67" w:rsidRDefault="00D91B4A" w:rsidP="001D104E">
            <w:pPr>
              <w:spacing w:line="240" w:lineRule="auto"/>
              <w:jc w:val="center"/>
              <w:rPr>
                <w:b/>
                <w:bCs/>
                <w:color w:val="FFFFFF"/>
                <w:sz w:val="22"/>
                <w:szCs w:val="22"/>
                <w:lang w:eastAsia="cs-CZ"/>
              </w:rPr>
            </w:pPr>
            <w:r w:rsidRPr="007E3D67">
              <w:rPr>
                <w:b/>
                <w:bCs/>
                <w:color w:val="FFFFFF"/>
                <w:sz w:val="22"/>
                <w:szCs w:val="22"/>
                <w:lang w:eastAsia="cs-CZ"/>
              </w:rPr>
              <w:t>Stavba, zastavěná plocha určená pro</w:t>
            </w:r>
          </w:p>
        </w:tc>
        <w:tc>
          <w:tcPr>
            <w:tcW w:w="1579" w:type="dxa"/>
            <w:tcBorders>
              <w:top w:val="nil"/>
              <w:left w:val="nil"/>
              <w:bottom w:val="single" w:sz="4" w:space="0" w:color="auto"/>
              <w:right w:val="single" w:sz="4" w:space="0" w:color="auto"/>
            </w:tcBorders>
            <w:shd w:val="clear" w:color="000000" w:fill="8DB4E3"/>
            <w:noWrap/>
            <w:vAlign w:val="bottom"/>
            <w:hideMark/>
          </w:tcPr>
          <w:p w:rsidR="00D91B4A" w:rsidRPr="007E3D67" w:rsidRDefault="00C53596" w:rsidP="001D104E">
            <w:pPr>
              <w:spacing w:line="240" w:lineRule="auto"/>
              <w:jc w:val="center"/>
              <w:rPr>
                <w:b/>
                <w:bCs/>
                <w:color w:val="FFFFFF"/>
                <w:sz w:val="22"/>
                <w:szCs w:val="22"/>
                <w:lang w:eastAsia="cs-CZ"/>
              </w:rPr>
            </w:pPr>
            <w:r w:rsidRPr="007E3D67">
              <w:rPr>
                <w:b/>
                <w:bCs/>
                <w:color w:val="FFFFFF"/>
                <w:sz w:val="22"/>
                <w:szCs w:val="22"/>
                <w:lang w:eastAsia="cs-CZ"/>
              </w:rPr>
              <w:t>P</w:t>
            </w:r>
            <w:r w:rsidR="00D91B4A" w:rsidRPr="007E3D67">
              <w:rPr>
                <w:b/>
                <w:bCs/>
                <w:color w:val="FFFFFF"/>
                <w:sz w:val="22"/>
                <w:szCs w:val="22"/>
                <w:lang w:eastAsia="cs-CZ"/>
              </w:rPr>
              <w:t>řed novelou</w:t>
            </w:r>
          </w:p>
        </w:tc>
        <w:tc>
          <w:tcPr>
            <w:tcW w:w="1800" w:type="dxa"/>
            <w:tcBorders>
              <w:top w:val="nil"/>
              <w:left w:val="nil"/>
              <w:bottom w:val="single" w:sz="4" w:space="0" w:color="auto"/>
              <w:right w:val="single" w:sz="8" w:space="0" w:color="auto"/>
            </w:tcBorders>
            <w:shd w:val="clear" w:color="000000" w:fill="8DB4E3"/>
            <w:noWrap/>
            <w:vAlign w:val="bottom"/>
            <w:hideMark/>
          </w:tcPr>
          <w:p w:rsidR="00D91B4A" w:rsidRPr="007E3D67" w:rsidRDefault="00C53596" w:rsidP="001D104E">
            <w:pPr>
              <w:spacing w:line="240" w:lineRule="auto"/>
              <w:jc w:val="center"/>
              <w:rPr>
                <w:b/>
                <w:bCs/>
                <w:color w:val="FFFFFF"/>
                <w:sz w:val="22"/>
                <w:szCs w:val="22"/>
                <w:lang w:eastAsia="cs-CZ"/>
              </w:rPr>
            </w:pPr>
            <w:r w:rsidRPr="007E3D67">
              <w:rPr>
                <w:b/>
                <w:bCs/>
                <w:color w:val="FFFFFF"/>
                <w:sz w:val="22"/>
                <w:szCs w:val="22"/>
                <w:lang w:eastAsia="cs-CZ"/>
              </w:rPr>
              <w:t>P</w:t>
            </w:r>
            <w:r w:rsidR="00D91B4A" w:rsidRPr="007E3D67">
              <w:rPr>
                <w:b/>
                <w:bCs/>
                <w:color w:val="FFFFFF"/>
                <w:sz w:val="22"/>
                <w:szCs w:val="22"/>
                <w:lang w:eastAsia="cs-CZ"/>
              </w:rPr>
              <w:t>o novele</w:t>
            </w:r>
          </w:p>
        </w:tc>
      </w:tr>
      <w:tr w:rsidR="00D91B4A" w:rsidRPr="007E3D67" w:rsidTr="00D91B4A">
        <w:trPr>
          <w:trHeight w:val="320"/>
        </w:trPr>
        <w:tc>
          <w:tcPr>
            <w:tcW w:w="5077" w:type="dxa"/>
            <w:tcBorders>
              <w:top w:val="nil"/>
              <w:left w:val="single" w:sz="8" w:space="0" w:color="auto"/>
              <w:bottom w:val="single" w:sz="4" w:space="0" w:color="auto"/>
              <w:right w:val="single" w:sz="4" w:space="0" w:color="auto"/>
            </w:tcBorders>
            <w:shd w:val="clear" w:color="auto" w:fill="auto"/>
            <w:noWrap/>
            <w:vAlign w:val="bottom"/>
            <w:hideMark/>
          </w:tcPr>
          <w:p w:rsidR="00D91B4A" w:rsidRPr="007E3D67" w:rsidRDefault="00D91B4A" w:rsidP="00D91B4A">
            <w:pPr>
              <w:spacing w:line="240" w:lineRule="atLeast"/>
              <w:jc w:val="left"/>
              <w:rPr>
                <w:color w:val="000000"/>
                <w:sz w:val="22"/>
                <w:szCs w:val="22"/>
                <w:lang w:eastAsia="cs-CZ"/>
              </w:rPr>
            </w:pPr>
            <w:r w:rsidRPr="007E3D67">
              <w:rPr>
                <w:color w:val="000000"/>
                <w:sz w:val="22"/>
                <w:szCs w:val="22"/>
                <w:lang w:eastAsia="cs-CZ"/>
              </w:rPr>
              <w:t>Obytný dům</w:t>
            </w:r>
          </w:p>
        </w:tc>
        <w:tc>
          <w:tcPr>
            <w:tcW w:w="1579" w:type="dxa"/>
            <w:tcBorders>
              <w:top w:val="nil"/>
              <w:left w:val="nil"/>
              <w:bottom w:val="single" w:sz="4" w:space="0" w:color="auto"/>
              <w:right w:val="single" w:sz="4" w:space="0" w:color="auto"/>
            </w:tcBorders>
            <w:shd w:val="clear" w:color="auto" w:fill="auto"/>
            <w:noWrap/>
            <w:vAlign w:val="bottom"/>
            <w:hideMark/>
          </w:tcPr>
          <w:p w:rsidR="00D91B4A" w:rsidRPr="007E3D67" w:rsidRDefault="00D91B4A" w:rsidP="00D91B4A">
            <w:pPr>
              <w:spacing w:line="240" w:lineRule="atLeast"/>
              <w:jc w:val="left"/>
              <w:rPr>
                <w:color w:val="000000"/>
                <w:sz w:val="22"/>
                <w:szCs w:val="22"/>
                <w:lang w:eastAsia="cs-CZ"/>
              </w:rPr>
            </w:pPr>
            <w:r w:rsidRPr="007E3D67">
              <w:rPr>
                <w:color w:val="000000"/>
                <w:sz w:val="22"/>
                <w:szCs w:val="22"/>
                <w:lang w:eastAsia="cs-CZ"/>
              </w:rPr>
              <w:t>1</w:t>
            </w:r>
            <w:r w:rsidR="00C53596" w:rsidRPr="007E3D67">
              <w:rPr>
                <w:color w:val="000000"/>
                <w:sz w:val="22"/>
                <w:szCs w:val="22"/>
                <w:lang w:eastAsia="cs-CZ"/>
              </w:rPr>
              <w:t>,0</w:t>
            </w:r>
            <w:r w:rsidRPr="007E3D67">
              <w:rPr>
                <w:color w:val="000000"/>
                <w:sz w:val="22"/>
                <w:szCs w:val="22"/>
                <w:lang w:eastAsia="cs-CZ"/>
              </w:rPr>
              <w:t xml:space="preserve"> Kč / m² zp</w:t>
            </w:r>
          </w:p>
        </w:tc>
        <w:tc>
          <w:tcPr>
            <w:tcW w:w="1800" w:type="dxa"/>
            <w:tcBorders>
              <w:top w:val="nil"/>
              <w:left w:val="nil"/>
              <w:bottom w:val="single" w:sz="4" w:space="0" w:color="auto"/>
              <w:right w:val="single" w:sz="8" w:space="0" w:color="auto"/>
            </w:tcBorders>
            <w:shd w:val="clear" w:color="auto" w:fill="auto"/>
            <w:noWrap/>
            <w:vAlign w:val="bottom"/>
            <w:hideMark/>
          </w:tcPr>
          <w:p w:rsidR="00D91B4A" w:rsidRPr="007E3D67" w:rsidRDefault="00D91B4A" w:rsidP="00D91B4A">
            <w:pPr>
              <w:spacing w:line="240" w:lineRule="atLeast"/>
              <w:jc w:val="left"/>
              <w:rPr>
                <w:color w:val="000000"/>
                <w:sz w:val="22"/>
                <w:szCs w:val="22"/>
                <w:lang w:eastAsia="cs-CZ"/>
              </w:rPr>
            </w:pPr>
            <w:r w:rsidRPr="007E3D67">
              <w:rPr>
                <w:color w:val="000000"/>
                <w:sz w:val="22"/>
                <w:szCs w:val="22"/>
                <w:lang w:eastAsia="cs-CZ"/>
              </w:rPr>
              <w:t>2</w:t>
            </w:r>
            <w:r w:rsidR="00C53596" w:rsidRPr="007E3D67">
              <w:rPr>
                <w:color w:val="000000"/>
                <w:sz w:val="22"/>
                <w:szCs w:val="22"/>
                <w:lang w:eastAsia="cs-CZ"/>
              </w:rPr>
              <w:t>,0</w:t>
            </w:r>
            <w:r w:rsidRPr="007E3D67">
              <w:rPr>
                <w:color w:val="000000"/>
                <w:sz w:val="22"/>
                <w:szCs w:val="22"/>
                <w:lang w:eastAsia="cs-CZ"/>
              </w:rPr>
              <w:t xml:space="preserve"> Kč / m² zp</w:t>
            </w:r>
          </w:p>
        </w:tc>
      </w:tr>
      <w:tr w:rsidR="00D91B4A" w:rsidRPr="007E3D67" w:rsidTr="00D91B4A">
        <w:trPr>
          <w:trHeight w:val="320"/>
        </w:trPr>
        <w:tc>
          <w:tcPr>
            <w:tcW w:w="5077" w:type="dxa"/>
            <w:tcBorders>
              <w:top w:val="nil"/>
              <w:left w:val="single" w:sz="8" w:space="0" w:color="auto"/>
              <w:bottom w:val="single" w:sz="4" w:space="0" w:color="auto"/>
              <w:right w:val="single" w:sz="4" w:space="0" w:color="auto"/>
            </w:tcBorders>
            <w:shd w:val="clear" w:color="auto" w:fill="auto"/>
            <w:noWrap/>
            <w:vAlign w:val="bottom"/>
            <w:hideMark/>
          </w:tcPr>
          <w:p w:rsidR="00D91B4A" w:rsidRPr="007E3D67" w:rsidRDefault="00D91B4A" w:rsidP="00D91B4A">
            <w:pPr>
              <w:spacing w:line="240" w:lineRule="atLeast"/>
              <w:jc w:val="left"/>
              <w:rPr>
                <w:color w:val="000000"/>
                <w:sz w:val="22"/>
                <w:szCs w:val="22"/>
                <w:lang w:eastAsia="cs-CZ"/>
              </w:rPr>
            </w:pPr>
            <w:r w:rsidRPr="007E3D67">
              <w:rPr>
                <w:color w:val="000000"/>
                <w:sz w:val="22"/>
                <w:szCs w:val="22"/>
                <w:lang w:eastAsia="cs-CZ"/>
              </w:rPr>
              <w:t>Stavby pro individuální rekreaci a rodinné domy</w:t>
            </w:r>
          </w:p>
        </w:tc>
        <w:tc>
          <w:tcPr>
            <w:tcW w:w="1579" w:type="dxa"/>
            <w:tcBorders>
              <w:top w:val="nil"/>
              <w:left w:val="single" w:sz="8" w:space="0" w:color="auto"/>
              <w:bottom w:val="single" w:sz="4" w:space="0" w:color="auto"/>
              <w:right w:val="single" w:sz="4" w:space="0" w:color="auto"/>
            </w:tcBorders>
            <w:shd w:val="clear" w:color="auto" w:fill="auto"/>
            <w:noWrap/>
            <w:vAlign w:val="bottom"/>
            <w:hideMark/>
          </w:tcPr>
          <w:p w:rsidR="00D91B4A" w:rsidRPr="007E3D67" w:rsidRDefault="00D91B4A" w:rsidP="00D91B4A">
            <w:pPr>
              <w:spacing w:line="240" w:lineRule="atLeast"/>
              <w:jc w:val="left"/>
              <w:rPr>
                <w:color w:val="000000"/>
                <w:sz w:val="22"/>
                <w:szCs w:val="22"/>
                <w:lang w:eastAsia="cs-CZ"/>
              </w:rPr>
            </w:pPr>
            <w:r w:rsidRPr="007E3D67">
              <w:rPr>
                <w:color w:val="000000"/>
                <w:sz w:val="22"/>
                <w:szCs w:val="22"/>
                <w:lang w:eastAsia="cs-CZ"/>
              </w:rPr>
              <w:t>3</w:t>
            </w:r>
            <w:r w:rsidR="00C53596" w:rsidRPr="007E3D67">
              <w:rPr>
                <w:color w:val="000000"/>
                <w:sz w:val="22"/>
                <w:szCs w:val="22"/>
                <w:lang w:eastAsia="cs-CZ"/>
              </w:rPr>
              <w:t>,0</w:t>
            </w:r>
            <w:r w:rsidRPr="007E3D67">
              <w:rPr>
                <w:color w:val="000000"/>
                <w:sz w:val="22"/>
                <w:szCs w:val="22"/>
                <w:lang w:eastAsia="cs-CZ"/>
              </w:rPr>
              <w:t xml:space="preserve"> Kč / m² zp</w:t>
            </w:r>
          </w:p>
        </w:tc>
        <w:tc>
          <w:tcPr>
            <w:tcW w:w="1800" w:type="dxa"/>
            <w:tcBorders>
              <w:top w:val="nil"/>
              <w:left w:val="single" w:sz="8" w:space="0" w:color="auto"/>
              <w:bottom w:val="single" w:sz="4" w:space="0" w:color="auto"/>
              <w:right w:val="single" w:sz="8" w:space="0" w:color="auto"/>
            </w:tcBorders>
            <w:shd w:val="clear" w:color="auto" w:fill="auto"/>
            <w:noWrap/>
            <w:vAlign w:val="bottom"/>
            <w:hideMark/>
          </w:tcPr>
          <w:p w:rsidR="00D91B4A" w:rsidRPr="007E3D67" w:rsidRDefault="00D91B4A" w:rsidP="00D91B4A">
            <w:pPr>
              <w:spacing w:line="240" w:lineRule="atLeast"/>
              <w:jc w:val="left"/>
              <w:rPr>
                <w:color w:val="000000"/>
                <w:sz w:val="22"/>
                <w:szCs w:val="22"/>
                <w:lang w:eastAsia="cs-CZ"/>
              </w:rPr>
            </w:pPr>
            <w:r w:rsidRPr="007E3D67">
              <w:rPr>
                <w:color w:val="000000"/>
                <w:sz w:val="22"/>
                <w:szCs w:val="22"/>
                <w:lang w:eastAsia="cs-CZ"/>
              </w:rPr>
              <w:t>6</w:t>
            </w:r>
            <w:r w:rsidR="00C53596" w:rsidRPr="007E3D67">
              <w:rPr>
                <w:color w:val="000000"/>
                <w:sz w:val="22"/>
                <w:szCs w:val="22"/>
                <w:lang w:eastAsia="cs-CZ"/>
              </w:rPr>
              <w:t>,0</w:t>
            </w:r>
            <w:r w:rsidRPr="007E3D67">
              <w:rPr>
                <w:color w:val="000000"/>
                <w:sz w:val="22"/>
                <w:szCs w:val="22"/>
                <w:lang w:eastAsia="cs-CZ"/>
              </w:rPr>
              <w:t xml:space="preserve"> Kč / m² zp</w:t>
            </w:r>
          </w:p>
        </w:tc>
      </w:tr>
      <w:tr w:rsidR="00D91B4A" w:rsidRPr="007E3D67" w:rsidTr="00D91B4A">
        <w:trPr>
          <w:trHeight w:val="655"/>
        </w:trPr>
        <w:tc>
          <w:tcPr>
            <w:tcW w:w="5077" w:type="dxa"/>
            <w:tcBorders>
              <w:top w:val="nil"/>
              <w:left w:val="single" w:sz="8" w:space="0" w:color="auto"/>
              <w:bottom w:val="single" w:sz="4" w:space="0" w:color="auto"/>
              <w:right w:val="single" w:sz="4" w:space="0" w:color="auto"/>
            </w:tcBorders>
            <w:shd w:val="clear" w:color="auto" w:fill="auto"/>
            <w:vAlign w:val="bottom"/>
            <w:hideMark/>
          </w:tcPr>
          <w:p w:rsidR="00D91B4A" w:rsidRPr="007E3D67" w:rsidRDefault="00D91B4A" w:rsidP="00D91B4A">
            <w:pPr>
              <w:spacing w:line="240" w:lineRule="atLeast"/>
              <w:jc w:val="left"/>
              <w:rPr>
                <w:color w:val="000000"/>
                <w:sz w:val="22"/>
                <w:szCs w:val="22"/>
                <w:lang w:eastAsia="cs-CZ"/>
              </w:rPr>
            </w:pPr>
            <w:r w:rsidRPr="007E3D67">
              <w:rPr>
                <w:color w:val="000000"/>
                <w:sz w:val="22"/>
                <w:szCs w:val="22"/>
                <w:lang w:eastAsia="cs-CZ"/>
              </w:rPr>
              <w:t>Garáže vystavěné odděleně od obytných domů a u samostatných nebytových prostorů užívaných jako garáže</w:t>
            </w:r>
          </w:p>
        </w:tc>
        <w:tc>
          <w:tcPr>
            <w:tcW w:w="1579" w:type="dxa"/>
            <w:tcBorders>
              <w:top w:val="nil"/>
              <w:left w:val="nil"/>
              <w:bottom w:val="single" w:sz="4" w:space="0" w:color="auto"/>
              <w:right w:val="single" w:sz="4" w:space="0" w:color="auto"/>
            </w:tcBorders>
            <w:shd w:val="clear" w:color="auto" w:fill="auto"/>
            <w:noWrap/>
            <w:vAlign w:val="bottom"/>
            <w:hideMark/>
          </w:tcPr>
          <w:p w:rsidR="00D91B4A" w:rsidRPr="007E3D67" w:rsidRDefault="00D91B4A" w:rsidP="00D91B4A">
            <w:pPr>
              <w:spacing w:line="240" w:lineRule="atLeast"/>
              <w:jc w:val="left"/>
              <w:rPr>
                <w:color w:val="000000"/>
                <w:sz w:val="22"/>
                <w:szCs w:val="22"/>
                <w:lang w:eastAsia="cs-CZ"/>
              </w:rPr>
            </w:pPr>
            <w:r w:rsidRPr="007E3D67">
              <w:rPr>
                <w:color w:val="000000"/>
                <w:sz w:val="22"/>
                <w:szCs w:val="22"/>
                <w:lang w:eastAsia="cs-CZ"/>
              </w:rPr>
              <w:t>4</w:t>
            </w:r>
            <w:r w:rsidR="00C53596" w:rsidRPr="007E3D67">
              <w:rPr>
                <w:color w:val="000000"/>
                <w:sz w:val="22"/>
                <w:szCs w:val="22"/>
                <w:lang w:eastAsia="cs-CZ"/>
              </w:rPr>
              <w:t>,0</w:t>
            </w:r>
            <w:r w:rsidRPr="007E3D67">
              <w:rPr>
                <w:color w:val="000000"/>
                <w:sz w:val="22"/>
                <w:szCs w:val="22"/>
                <w:lang w:eastAsia="cs-CZ"/>
              </w:rPr>
              <w:t xml:space="preserve"> Kč / m² zp nebo upp</w:t>
            </w:r>
          </w:p>
        </w:tc>
        <w:tc>
          <w:tcPr>
            <w:tcW w:w="1800" w:type="dxa"/>
            <w:tcBorders>
              <w:top w:val="nil"/>
              <w:left w:val="nil"/>
              <w:bottom w:val="single" w:sz="4" w:space="0" w:color="auto"/>
              <w:right w:val="single" w:sz="8" w:space="0" w:color="auto"/>
            </w:tcBorders>
            <w:shd w:val="clear" w:color="auto" w:fill="auto"/>
            <w:noWrap/>
            <w:vAlign w:val="bottom"/>
            <w:hideMark/>
          </w:tcPr>
          <w:p w:rsidR="00D91B4A" w:rsidRPr="007E3D67" w:rsidRDefault="00D91B4A" w:rsidP="00D91B4A">
            <w:pPr>
              <w:spacing w:line="240" w:lineRule="atLeast"/>
              <w:jc w:val="left"/>
              <w:rPr>
                <w:color w:val="000000"/>
                <w:sz w:val="22"/>
                <w:szCs w:val="22"/>
                <w:lang w:eastAsia="cs-CZ"/>
              </w:rPr>
            </w:pPr>
            <w:r w:rsidRPr="007E3D67">
              <w:rPr>
                <w:color w:val="000000"/>
                <w:sz w:val="22"/>
                <w:szCs w:val="22"/>
                <w:lang w:eastAsia="cs-CZ"/>
              </w:rPr>
              <w:t>8</w:t>
            </w:r>
            <w:r w:rsidR="00C53596" w:rsidRPr="007E3D67">
              <w:rPr>
                <w:color w:val="000000"/>
                <w:sz w:val="22"/>
                <w:szCs w:val="22"/>
                <w:lang w:eastAsia="cs-CZ"/>
              </w:rPr>
              <w:t>,0</w:t>
            </w:r>
            <w:r w:rsidRPr="007E3D67">
              <w:rPr>
                <w:color w:val="000000"/>
                <w:sz w:val="22"/>
                <w:szCs w:val="22"/>
                <w:lang w:eastAsia="cs-CZ"/>
              </w:rPr>
              <w:t xml:space="preserve"> Kč / m² zp nebo upp</w:t>
            </w:r>
          </w:p>
        </w:tc>
      </w:tr>
      <w:tr w:rsidR="00D91B4A" w:rsidRPr="007E3D67" w:rsidTr="00D91B4A">
        <w:trPr>
          <w:trHeight w:val="320"/>
        </w:trPr>
        <w:tc>
          <w:tcPr>
            <w:tcW w:w="5077" w:type="dxa"/>
            <w:tcBorders>
              <w:top w:val="nil"/>
              <w:left w:val="single" w:sz="8" w:space="0" w:color="auto"/>
              <w:bottom w:val="single" w:sz="4" w:space="0" w:color="auto"/>
              <w:right w:val="single" w:sz="4" w:space="0" w:color="auto"/>
            </w:tcBorders>
            <w:shd w:val="clear" w:color="auto" w:fill="auto"/>
            <w:vAlign w:val="bottom"/>
            <w:hideMark/>
          </w:tcPr>
          <w:p w:rsidR="00D91B4A" w:rsidRPr="007E3D67" w:rsidRDefault="00D91B4A" w:rsidP="00D91B4A">
            <w:pPr>
              <w:spacing w:line="240" w:lineRule="atLeast"/>
              <w:jc w:val="left"/>
              <w:rPr>
                <w:color w:val="000000"/>
                <w:sz w:val="22"/>
                <w:szCs w:val="22"/>
                <w:lang w:eastAsia="cs-CZ"/>
              </w:rPr>
            </w:pPr>
            <w:r w:rsidRPr="007E3D67">
              <w:rPr>
                <w:color w:val="000000"/>
                <w:sz w:val="22"/>
                <w:szCs w:val="22"/>
                <w:lang w:eastAsia="cs-CZ"/>
              </w:rPr>
              <w:t>Stavby sloužící pro zemědělskou prvovýrobu, lesní a vodní hospodářství</w:t>
            </w:r>
          </w:p>
        </w:tc>
        <w:tc>
          <w:tcPr>
            <w:tcW w:w="1579" w:type="dxa"/>
            <w:tcBorders>
              <w:top w:val="nil"/>
              <w:left w:val="nil"/>
              <w:bottom w:val="single" w:sz="4" w:space="0" w:color="auto"/>
              <w:right w:val="single" w:sz="4" w:space="0" w:color="auto"/>
            </w:tcBorders>
            <w:shd w:val="clear" w:color="auto" w:fill="auto"/>
            <w:noWrap/>
            <w:vAlign w:val="bottom"/>
            <w:hideMark/>
          </w:tcPr>
          <w:p w:rsidR="00D91B4A" w:rsidRPr="007E3D67" w:rsidRDefault="00D91B4A" w:rsidP="00D91B4A">
            <w:pPr>
              <w:spacing w:line="240" w:lineRule="atLeast"/>
              <w:jc w:val="left"/>
              <w:rPr>
                <w:color w:val="000000"/>
                <w:sz w:val="22"/>
                <w:szCs w:val="22"/>
                <w:lang w:eastAsia="cs-CZ"/>
              </w:rPr>
            </w:pPr>
            <w:r w:rsidRPr="007E3D67">
              <w:rPr>
                <w:color w:val="000000"/>
                <w:sz w:val="22"/>
                <w:szCs w:val="22"/>
                <w:lang w:eastAsia="cs-CZ"/>
              </w:rPr>
              <w:t>1</w:t>
            </w:r>
            <w:r w:rsidR="00C53596" w:rsidRPr="007E3D67">
              <w:rPr>
                <w:color w:val="000000"/>
                <w:sz w:val="22"/>
                <w:szCs w:val="22"/>
                <w:lang w:eastAsia="cs-CZ"/>
              </w:rPr>
              <w:t>,0</w:t>
            </w:r>
            <w:r w:rsidRPr="007E3D67">
              <w:rPr>
                <w:color w:val="000000"/>
                <w:sz w:val="22"/>
                <w:szCs w:val="22"/>
                <w:lang w:eastAsia="cs-CZ"/>
              </w:rPr>
              <w:t xml:space="preserve"> Kč / m² zp nebo upp</w:t>
            </w:r>
          </w:p>
        </w:tc>
        <w:tc>
          <w:tcPr>
            <w:tcW w:w="1800" w:type="dxa"/>
            <w:tcBorders>
              <w:top w:val="nil"/>
              <w:left w:val="nil"/>
              <w:bottom w:val="single" w:sz="4" w:space="0" w:color="auto"/>
              <w:right w:val="single" w:sz="8" w:space="0" w:color="auto"/>
            </w:tcBorders>
            <w:shd w:val="clear" w:color="auto" w:fill="auto"/>
            <w:noWrap/>
            <w:vAlign w:val="bottom"/>
            <w:hideMark/>
          </w:tcPr>
          <w:p w:rsidR="00D91B4A" w:rsidRPr="007E3D67" w:rsidRDefault="00D91B4A" w:rsidP="00C53596">
            <w:pPr>
              <w:spacing w:line="240" w:lineRule="atLeast"/>
              <w:jc w:val="left"/>
              <w:rPr>
                <w:color w:val="000000"/>
                <w:sz w:val="22"/>
                <w:szCs w:val="22"/>
                <w:lang w:eastAsia="cs-CZ"/>
              </w:rPr>
            </w:pPr>
            <w:r w:rsidRPr="007E3D67">
              <w:rPr>
                <w:color w:val="000000"/>
                <w:sz w:val="22"/>
                <w:szCs w:val="22"/>
                <w:lang w:eastAsia="cs-CZ"/>
              </w:rPr>
              <w:t>2</w:t>
            </w:r>
            <w:r w:rsidR="00C53596" w:rsidRPr="007E3D67">
              <w:rPr>
                <w:color w:val="000000"/>
                <w:sz w:val="22"/>
                <w:szCs w:val="22"/>
                <w:lang w:eastAsia="cs-CZ"/>
              </w:rPr>
              <w:t>,0</w:t>
            </w:r>
            <w:r w:rsidRPr="007E3D67">
              <w:rPr>
                <w:color w:val="000000"/>
                <w:sz w:val="22"/>
                <w:szCs w:val="22"/>
                <w:lang w:eastAsia="cs-CZ"/>
              </w:rPr>
              <w:t xml:space="preserve"> Kč / m² zp nebo upp</w:t>
            </w:r>
          </w:p>
        </w:tc>
      </w:tr>
      <w:tr w:rsidR="00D91B4A" w:rsidRPr="007E3D67" w:rsidTr="00D91B4A">
        <w:trPr>
          <w:trHeight w:val="639"/>
        </w:trPr>
        <w:tc>
          <w:tcPr>
            <w:tcW w:w="5077" w:type="dxa"/>
            <w:tcBorders>
              <w:top w:val="nil"/>
              <w:left w:val="single" w:sz="8" w:space="0" w:color="auto"/>
              <w:bottom w:val="single" w:sz="4" w:space="0" w:color="auto"/>
              <w:right w:val="single" w:sz="4" w:space="0" w:color="auto"/>
            </w:tcBorders>
            <w:shd w:val="clear" w:color="auto" w:fill="auto"/>
            <w:vAlign w:val="bottom"/>
            <w:hideMark/>
          </w:tcPr>
          <w:p w:rsidR="00D91B4A" w:rsidRPr="007E3D67" w:rsidRDefault="00D91B4A" w:rsidP="00D91B4A">
            <w:pPr>
              <w:spacing w:line="240" w:lineRule="atLeast"/>
              <w:jc w:val="left"/>
              <w:rPr>
                <w:color w:val="000000"/>
                <w:sz w:val="22"/>
                <w:szCs w:val="22"/>
                <w:lang w:eastAsia="cs-CZ"/>
              </w:rPr>
            </w:pPr>
            <w:r w:rsidRPr="007E3D67">
              <w:rPr>
                <w:color w:val="000000"/>
                <w:sz w:val="22"/>
                <w:szCs w:val="22"/>
                <w:lang w:eastAsia="cs-CZ"/>
              </w:rPr>
              <w:t>Stavby sloužící pro průmysl, stavebnictví, dopravu, energetiku a ostatní zemědělskou výrobu</w:t>
            </w:r>
          </w:p>
        </w:tc>
        <w:tc>
          <w:tcPr>
            <w:tcW w:w="1579" w:type="dxa"/>
            <w:tcBorders>
              <w:top w:val="nil"/>
              <w:left w:val="nil"/>
              <w:bottom w:val="single" w:sz="4" w:space="0" w:color="auto"/>
              <w:right w:val="single" w:sz="4" w:space="0" w:color="auto"/>
            </w:tcBorders>
            <w:shd w:val="clear" w:color="auto" w:fill="auto"/>
            <w:noWrap/>
            <w:vAlign w:val="bottom"/>
            <w:hideMark/>
          </w:tcPr>
          <w:p w:rsidR="00D91B4A" w:rsidRPr="007E3D67" w:rsidRDefault="00D91B4A" w:rsidP="00D91B4A">
            <w:pPr>
              <w:spacing w:line="240" w:lineRule="atLeast"/>
              <w:jc w:val="left"/>
              <w:rPr>
                <w:color w:val="000000"/>
                <w:sz w:val="22"/>
                <w:szCs w:val="22"/>
                <w:lang w:eastAsia="cs-CZ"/>
              </w:rPr>
            </w:pPr>
            <w:r w:rsidRPr="007E3D67">
              <w:rPr>
                <w:color w:val="000000"/>
                <w:sz w:val="22"/>
                <w:szCs w:val="22"/>
                <w:lang w:eastAsia="cs-CZ"/>
              </w:rPr>
              <w:t>5</w:t>
            </w:r>
            <w:r w:rsidR="00C53596" w:rsidRPr="007E3D67">
              <w:rPr>
                <w:color w:val="000000"/>
                <w:sz w:val="22"/>
                <w:szCs w:val="22"/>
                <w:lang w:eastAsia="cs-CZ"/>
              </w:rPr>
              <w:t>,0</w:t>
            </w:r>
            <w:r w:rsidRPr="007E3D67">
              <w:rPr>
                <w:color w:val="000000"/>
                <w:sz w:val="22"/>
                <w:szCs w:val="22"/>
                <w:lang w:eastAsia="cs-CZ"/>
              </w:rPr>
              <w:t xml:space="preserve"> Kč / m² zp nebo upp</w:t>
            </w:r>
          </w:p>
        </w:tc>
        <w:tc>
          <w:tcPr>
            <w:tcW w:w="1800" w:type="dxa"/>
            <w:tcBorders>
              <w:top w:val="nil"/>
              <w:left w:val="nil"/>
              <w:bottom w:val="single" w:sz="4" w:space="0" w:color="auto"/>
              <w:right w:val="single" w:sz="8" w:space="0" w:color="auto"/>
            </w:tcBorders>
            <w:shd w:val="clear" w:color="auto" w:fill="auto"/>
            <w:noWrap/>
            <w:vAlign w:val="bottom"/>
            <w:hideMark/>
          </w:tcPr>
          <w:p w:rsidR="00D91B4A" w:rsidRPr="007E3D67" w:rsidRDefault="00D91B4A" w:rsidP="00D91B4A">
            <w:pPr>
              <w:spacing w:line="240" w:lineRule="atLeast"/>
              <w:jc w:val="left"/>
              <w:rPr>
                <w:color w:val="000000"/>
                <w:sz w:val="22"/>
                <w:szCs w:val="22"/>
                <w:lang w:eastAsia="cs-CZ"/>
              </w:rPr>
            </w:pPr>
            <w:r w:rsidRPr="007E3D67">
              <w:rPr>
                <w:color w:val="000000"/>
                <w:sz w:val="22"/>
                <w:szCs w:val="22"/>
                <w:lang w:eastAsia="cs-CZ"/>
              </w:rPr>
              <w:t>10</w:t>
            </w:r>
            <w:r w:rsidR="00C53596" w:rsidRPr="007E3D67">
              <w:rPr>
                <w:color w:val="000000"/>
                <w:sz w:val="22"/>
                <w:szCs w:val="22"/>
                <w:lang w:eastAsia="cs-CZ"/>
              </w:rPr>
              <w:t>,0</w:t>
            </w:r>
            <w:r w:rsidRPr="007E3D67">
              <w:rPr>
                <w:color w:val="000000"/>
                <w:sz w:val="22"/>
                <w:szCs w:val="22"/>
                <w:lang w:eastAsia="cs-CZ"/>
              </w:rPr>
              <w:t xml:space="preserve"> Kč / m² zp nebo upp</w:t>
            </w:r>
          </w:p>
        </w:tc>
      </w:tr>
      <w:tr w:rsidR="00D91B4A" w:rsidRPr="007E3D67" w:rsidTr="00D91B4A">
        <w:trPr>
          <w:trHeight w:val="320"/>
        </w:trPr>
        <w:tc>
          <w:tcPr>
            <w:tcW w:w="5077" w:type="dxa"/>
            <w:tcBorders>
              <w:top w:val="nil"/>
              <w:left w:val="single" w:sz="8" w:space="0" w:color="auto"/>
              <w:bottom w:val="single" w:sz="4" w:space="0" w:color="auto"/>
              <w:right w:val="single" w:sz="4" w:space="0" w:color="auto"/>
            </w:tcBorders>
            <w:shd w:val="clear" w:color="auto" w:fill="auto"/>
            <w:noWrap/>
            <w:vAlign w:val="bottom"/>
            <w:hideMark/>
          </w:tcPr>
          <w:p w:rsidR="00D91B4A" w:rsidRPr="007E3D67" w:rsidRDefault="00D91B4A" w:rsidP="00D91B4A">
            <w:pPr>
              <w:spacing w:line="240" w:lineRule="atLeast"/>
              <w:jc w:val="left"/>
              <w:rPr>
                <w:color w:val="000000"/>
                <w:sz w:val="22"/>
                <w:szCs w:val="22"/>
                <w:lang w:eastAsia="cs-CZ"/>
              </w:rPr>
            </w:pPr>
            <w:r w:rsidRPr="007E3D67">
              <w:rPr>
                <w:color w:val="000000"/>
                <w:sz w:val="22"/>
                <w:szCs w:val="22"/>
                <w:lang w:eastAsia="cs-CZ"/>
              </w:rPr>
              <w:t>Ostatní stavby</w:t>
            </w:r>
          </w:p>
        </w:tc>
        <w:tc>
          <w:tcPr>
            <w:tcW w:w="1579" w:type="dxa"/>
            <w:tcBorders>
              <w:top w:val="nil"/>
              <w:left w:val="nil"/>
              <w:bottom w:val="single" w:sz="4" w:space="0" w:color="auto"/>
              <w:right w:val="single" w:sz="4" w:space="0" w:color="auto"/>
            </w:tcBorders>
            <w:shd w:val="clear" w:color="auto" w:fill="auto"/>
            <w:noWrap/>
            <w:vAlign w:val="bottom"/>
            <w:hideMark/>
          </w:tcPr>
          <w:p w:rsidR="00D91B4A" w:rsidRPr="007E3D67" w:rsidRDefault="00D91B4A" w:rsidP="00D91B4A">
            <w:pPr>
              <w:spacing w:line="240" w:lineRule="atLeast"/>
              <w:jc w:val="left"/>
              <w:rPr>
                <w:color w:val="000000"/>
                <w:sz w:val="22"/>
                <w:szCs w:val="22"/>
                <w:lang w:eastAsia="cs-CZ"/>
              </w:rPr>
            </w:pPr>
            <w:r w:rsidRPr="007E3D67">
              <w:rPr>
                <w:color w:val="000000"/>
                <w:sz w:val="22"/>
                <w:szCs w:val="22"/>
                <w:lang w:eastAsia="cs-CZ"/>
              </w:rPr>
              <w:t>3</w:t>
            </w:r>
            <w:r w:rsidR="00C53596" w:rsidRPr="007E3D67">
              <w:rPr>
                <w:color w:val="000000"/>
                <w:sz w:val="22"/>
                <w:szCs w:val="22"/>
                <w:lang w:eastAsia="cs-CZ"/>
              </w:rPr>
              <w:t>,0</w:t>
            </w:r>
            <w:r w:rsidRPr="007E3D67">
              <w:rPr>
                <w:color w:val="000000"/>
                <w:sz w:val="22"/>
                <w:szCs w:val="22"/>
                <w:lang w:eastAsia="cs-CZ"/>
              </w:rPr>
              <w:t xml:space="preserve"> Kč/ m²</w:t>
            </w:r>
          </w:p>
        </w:tc>
        <w:tc>
          <w:tcPr>
            <w:tcW w:w="1800" w:type="dxa"/>
            <w:tcBorders>
              <w:top w:val="nil"/>
              <w:left w:val="nil"/>
              <w:bottom w:val="single" w:sz="4" w:space="0" w:color="auto"/>
              <w:right w:val="single" w:sz="8" w:space="0" w:color="auto"/>
            </w:tcBorders>
            <w:shd w:val="clear" w:color="auto" w:fill="auto"/>
            <w:noWrap/>
            <w:vAlign w:val="bottom"/>
            <w:hideMark/>
          </w:tcPr>
          <w:p w:rsidR="00D91B4A" w:rsidRPr="007E3D67" w:rsidRDefault="00D91B4A" w:rsidP="00D91B4A">
            <w:pPr>
              <w:spacing w:line="240" w:lineRule="atLeast"/>
              <w:jc w:val="left"/>
              <w:rPr>
                <w:color w:val="000000"/>
                <w:sz w:val="22"/>
                <w:szCs w:val="22"/>
                <w:lang w:eastAsia="cs-CZ"/>
              </w:rPr>
            </w:pPr>
            <w:r w:rsidRPr="007E3D67">
              <w:rPr>
                <w:color w:val="000000"/>
                <w:sz w:val="22"/>
                <w:szCs w:val="22"/>
                <w:lang w:eastAsia="cs-CZ"/>
              </w:rPr>
              <w:t>6</w:t>
            </w:r>
            <w:r w:rsidR="00C53596" w:rsidRPr="007E3D67">
              <w:rPr>
                <w:color w:val="000000"/>
                <w:sz w:val="22"/>
                <w:szCs w:val="22"/>
                <w:lang w:eastAsia="cs-CZ"/>
              </w:rPr>
              <w:t>,0</w:t>
            </w:r>
            <w:r w:rsidRPr="007E3D67">
              <w:rPr>
                <w:color w:val="000000"/>
                <w:sz w:val="22"/>
                <w:szCs w:val="22"/>
                <w:lang w:eastAsia="cs-CZ"/>
              </w:rPr>
              <w:t xml:space="preserve"> Kč/ m²</w:t>
            </w:r>
          </w:p>
        </w:tc>
      </w:tr>
      <w:tr w:rsidR="00D91B4A" w:rsidRPr="007E3D67" w:rsidTr="00D91B4A">
        <w:trPr>
          <w:trHeight w:val="336"/>
        </w:trPr>
        <w:tc>
          <w:tcPr>
            <w:tcW w:w="5077" w:type="dxa"/>
            <w:tcBorders>
              <w:top w:val="nil"/>
              <w:left w:val="single" w:sz="8" w:space="0" w:color="auto"/>
              <w:bottom w:val="single" w:sz="8" w:space="0" w:color="auto"/>
              <w:right w:val="single" w:sz="4" w:space="0" w:color="auto"/>
            </w:tcBorders>
            <w:shd w:val="clear" w:color="auto" w:fill="auto"/>
            <w:noWrap/>
            <w:vAlign w:val="bottom"/>
            <w:hideMark/>
          </w:tcPr>
          <w:p w:rsidR="00D91B4A" w:rsidRPr="007E3D67" w:rsidRDefault="00D91B4A" w:rsidP="00D91B4A">
            <w:pPr>
              <w:spacing w:line="240" w:lineRule="atLeast"/>
              <w:jc w:val="left"/>
              <w:rPr>
                <w:color w:val="000000"/>
                <w:sz w:val="22"/>
                <w:szCs w:val="22"/>
                <w:lang w:eastAsia="cs-CZ"/>
              </w:rPr>
            </w:pPr>
            <w:r w:rsidRPr="007E3D67">
              <w:rPr>
                <w:color w:val="000000"/>
                <w:sz w:val="22"/>
                <w:szCs w:val="22"/>
                <w:lang w:eastAsia="cs-CZ"/>
              </w:rPr>
              <w:t>Byty a ostatní samostatné nebytové prostory</w:t>
            </w:r>
          </w:p>
        </w:tc>
        <w:tc>
          <w:tcPr>
            <w:tcW w:w="1579" w:type="dxa"/>
            <w:tcBorders>
              <w:top w:val="nil"/>
              <w:left w:val="nil"/>
              <w:bottom w:val="single" w:sz="8" w:space="0" w:color="auto"/>
              <w:right w:val="single" w:sz="4" w:space="0" w:color="auto"/>
            </w:tcBorders>
            <w:shd w:val="clear" w:color="auto" w:fill="auto"/>
            <w:noWrap/>
            <w:vAlign w:val="bottom"/>
            <w:hideMark/>
          </w:tcPr>
          <w:p w:rsidR="00D91B4A" w:rsidRPr="007E3D67" w:rsidRDefault="00D91B4A" w:rsidP="00D91B4A">
            <w:pPr>
              <w:spacing w:line="240" w:lineRule="atLeast"/>
              <w:jc w:val="left"/>
              <w:rPr>
                <w:color w:val="000000"/>
                <w:sz w:val="22"/>
                <w:szCs w:val="22"/>
                <w:lang w:eastAsia="cs-CZ"/>
              </w:rPr>
            </w:pPr>
            <w:r w:rsidRPr="007E3D67">
              <w:rPr>
                <w:color w:val="000000"/>
                <w:sz w:val="22"/>
                <w:szCs w:val="22"/>
                <w:lang w:eastAsia="cs-CZ"/>
              </w:rPr>
              <w:t>1</w:t>
            </w:r>
            <w:r w:rsidR="00C53596" w:rsidRPr="007E3D67">
              <w:rPr>
                <w:color w:val="000000"/>
                <w:sz w:val="22"/>
                <w:szCs w:val="22"/>
                <w:lang w:eastAsia="cs-CZ"/>
              </w:rPr>
              <w:t>,0</w:t>
            </w:r>
            <w:r w:rsidRPr="007E3D67">
              <w:rPr>
                <w:color w:val="000000"/>
                <w:sz w:val="22"/>
                <w:szCs w:val="22"/>
                <w:lang w:eastAsia="cs-CZ"/>
              </w:rPr>
              <w:t xml:space="preserve"> Kč / m² upp</w:t>
            </w:r>
          </w:p>
        </w:tc>
        <w:tc>
          <w:tcPr>
            <w:tcW w:w="1800" w:type="dxa"/>
            <w:tcBorders>
              <w:top w:val="nil"/>
              <w:left w:val="nil"/>
              <w:bottom w:val="single" w:sz="8" w:space="0" w:color="auto"/>
              <w:right w:val="single" w:sz="8" w:space="0" w:color="auto"/>
            </w:tcBorders>
            <w:shd w:val="clear" w:color="auto" w:fill="auto"/>
            <w:noWrap/>
            <w:vAlign w:val="bottom"/>
            <w:hideMark/>
          </w:tcPr>
          <w:p w:rsidR="00D91B4A" w:rsidRPr="007E3D67" w:rsidRDefault="00D91B4A" w:rsidP="00D91B4A">
            <w:pPr>
              <w:spacing w:line="240" w:lineRule="atLeast"/>
              <w:jc w:val="left"/>
              <w:rPr>
                <w:color w:val="000000"/>
                <w:sz w:val="22"/>
                <w:szCs w:val="22"/>
                <w:lang w:eastAsia="cs-CZ"/>
              </w:rPr>
            </w:pPr>
            <w:r w:rsidRPr="007E3D67">
              <w:rPr>
                <w:color w:val="000000"/>
                <w:sz w:val="22"/>
                <w:szCs w:val="22"/>
                <w:lang w:eastAsia="cs-CZ"/>
              </w:rPr>
              <w:t>2</w:t>
            </w:r>
            <w:r w:rsidR="00C53596" w:rsidRPr="007E3D67">
              <w:rPr>
                <w:color w:val="000000"/>
                <w:sz w:val="22"/>
                <w:szCs w:val="22"/>
                <w:lang w:eastAsia="cs-CZ"/>
              </w:rPr>
              <w:t>,0</w:t>
            </w:r>
            <w:r w:rsidRPr="007E3D67">
              <w:rPr>
                <w:color w:val="000000"/>
                <w:sz w:val="22"/>
                <w:szCs w:val="22"/>
                <w:lang w:eastAsia="cs-CZ"/>
              </w:rPr>
              <w:t xml:space="preserve"> Kč / m² upp</w:t>
            </w:r>
          </w:p>
        </w:tc>
      </w:tr>
    </w:tbl>
    <w:p w:rsidR="00053092" w:rsidRPr="007E3D67" w:rsidRDefault="001D104E" w:rsidP="00053092">
      <w:pPr>
        <w:rPr>
          <w:i/>
          <w:sz w:val="20"/>
        </w:rPr>
      </w:pPr>
      <w:r w:rsidRPr="007E3D67">
        <w:rPr>
          <w:i/>
          <w:sz w:val="20"/>
        </w:rPr>
        <w:t>Zdroj: Data –</w:t>
      </w:r>
      <w:r w:rsidRPr="007E3D67">
        <w:t xml:space="preserve"> </w:t>
      </w:r>
      <w:r w:rsidR="00DB4017" w:rsidRPr="007E3D67">
        <w:rPr>
          <w:i/>
          <w:sz w:val="20"/>
        </w:rPr>
        <w:t>Businessinfo</w:t>
      </w:r>
      <w:r w:rsidRPr="007E3D67">
        <w:rPr>
          <w:i/>
          <w:sz w:val="20"/>
        </w:rPr>
        <w:t>,</w:t>
      </w:r>
      <w:r w:rsidRPr="007E3D67">
        <w:t xml:space="preserve"> </w:t>
      </w:r>
      <w:r w:rsidR="00DB4017" w:rsidRPr="007E3D67">
        <w:rPr>
          <w:i/>
          <w:sz w:val="20"/>
        </w:rPr>
        <w:t>www.businessinfo.cz</w:t>
      </w:r>
      <w:r w:rsidRPr="007E3D67">
        <w:rPr>
          <w:i/>
          <w:sz w:val="20"/>
        </w:rPr>
        <w:t>,</w:t>
      </w:r>
      <w:r w:rsidRPr="007E3D67">
        <w:t xml:space="preserve"> </w:t>
      </w:r>
      <w:r w:rsidRPr="007E3D67">
        <w:rPr>
          <w:i/>
          <w:sz w:val="20"/>
        </w:rPr>
        <w:t>Tabulka: Vlastní konstrukce.</w:t>
      </w:r>
    </w:p>
    <w:p w:rsidR="00053092" w:rsidRPr="007E3D67" w:rsidRDefault="00053092" w:rsidP="00053092">
      <w:pPr>
        <w:rPr>
          <w:i/>
          <w:sz w:val="20"/>
        </w:rPr>
      </w:pPr>
      <w:r w:rsidRPr="007E3D67">
        <w:rPr>
          <w:i/>
          <w:sz w:val="20"/>
        </w:rPr>
        <w:t>Poznámka: zp = zastavěná plocha, upp = upravená podlahová polocha</w:t>
      </w:r>
    </w:p>
    <w:p w:rsidR="00D91B4A" w:rsidRPr="007E3D67" w:rsidRDefault="00D91B4A" w:rsidP="00F870A9"/>
    <w:p w:rsidR="001D104E" w:rsidRPr="007E3D67" w:rsidRDefault="00B6043E" w:rsidP="00F870A9">
      <w:pPr>
        <w:rPr>
          <w:b/>
        </w:rPr>
      </w:pPr>
      <w:r w:rsidRPr="007E3D67">
        <w:rPr>
          <w:b/>
        </w:rPr>
        <w:t>Spotřební daně</w:t>
      </w:r>
    </w:p>
    <w:p w:rsidR="00310D0B" w:rsidRPr="007E3D67" w:rsidRDefault="00E7560A" w:rsidP="00F870A9">
      <w:r w:rsidRPr="007E3D67">
        <w:t>Následující tabulka</w:t>
      </w:r>
      <w:r w:rsidR="00310D0B" w:rsidRPr="007E3D67">
        <w:t xml:space="preserve"> ilustruje změny v</w:t>
      </w:r>
      <w:r w:rsidR="00B6043E" w:rsidRPr="007E3D67">
        <w:t> oblasti spotřební daně</w:t>
      </w:r>
      <w:r w:rsidR="00310D0B" w:rsidRPr="007E3D67">
        <w:t xml:space="preserve">. </w:t>
      </w:r>
    </w:p>
    <w:p w:rsidR="00E7560A" w:rsidRPr="007E3D67" w:rsidRDefault="00E7560A" w:rsidP="00F870A9"/>
    <w:p w:rsidR="009A0967" w:rsidRPr="007E3D67" w:rsidRDefault="009A0967" w:rsidP="00E7560A">
      <w:pPr>
        <w:pStyle w:val="CaptionIntroductionparagraph"/>
      </w:pPr>
      <w:bookmarkStart w:id="281" w:name="_Toc279307408"/>
      <w:bookmarkStart w:id="282" w:name="_Toc279438735"/>
      <w:bookmarkStart w:id="283" w:name="_Toc279696284"/>
      <w:bookmarkStart w:id="284" w:name="_Toc279696373"/>
      <w:r w:rsidRPr="007E3D67">
        <w:t>Tab. 1</w:t>
      </w:r>
      <w:r w:rsidR="00820226" w:rsidRPr="007E3D67">
        <w:t>1</w:t>
      </w:r>
      <w:r w:rsidRPr="007E3D67">
        <w:t>: Změna spotřební daně pro rok 2010</w:t>
      </w:r>
      <w:bookmarkEnd w:id="281"/>
      <w:bookmarkEnd w:id="282"/>
      <w:bookmarkEnd w:id="283"/>
      <w:bookmarkEnd w:id="284"/>
    </w:p>
    <w:tbl>
      <w:tblPr>
        <w:tblW w:w="4120" w:type="dxa"/>
        <w:tblInd w:w="55" w:type="dxa"/>
        <w:tblCellMar>
          <w:left w:w="70" w:type="dxa"/>
          <w:right w:w="70" w:type="dxa"/>
        </w:tblCellMar>
        <w:tblLook w:val="04A0"/>
      </w:tblPr>
      <w:tblGrid>
        <w:gridCol w:w="2740"/>
        <w:gridCol w:w="1380"/>
      </w:tblGrid>
      <w:tr w:rsidR="00310D0B" w:rsidRPr="007E3D67" w:rsidTr="00310D0B">
        <w:trPr>
          <w:trHeight w:val="300"/>
        </w:trPr>
        <w:tc>
          <w:tcPr>
            <w:tcW w:w="2740" w:type="dxa"/>
            <w:tcBorders>
              <w:top w:val="single" w:sz="8" w:space="0" w:color="auto"/>
              <w:left w:val="single" w:sz="8" w:space="0" w:color="auto"/>
              <w:bottom w:val="single" w:sz="4" w:space="0" w:color="auto"/>
              <w:right w:val="single" w:sz="4" w:space="0" w:color="auto"/>
            </w:tcBorders>
            <w:shd w:val="clear" w:color="000000" w:fill="8DB4E3"/>
            <w:noWrap/>
            <w:vAlign w:val="bottom"/>
            <w:hideMark/>
          </w:tcPr>
          <w:p w:rsidR="00310D0B" w:rsidRPr="007E3D67" w:rsidRDefault="00310D0B" w:rsidP="00A241D6">
            <w:pPr>
              <w:spacing w:line="240" w:lineRule="auto"/>
              <w:jc w:val="center"/>
              <w:rPr>
                <w:b/>
                <w:bCs/>
                <w:color w:val="FFFFFF"/>
                <w:sz w:val="22"/>
                <w:szCs w:val="22"/>
                <w:lang w:eastAsia="cs-CZ"/>
              </w:rPr>
            </w:pPr>
            <w:r w:rsidRPr="007E3D67">
              <w:rPr>
                <w:b/>
                <w:bCs/>
                <w:color w:val="FFFFFF"/>
                <w:sz w:val="22"/>
                <w:szCs w:val="22"/>
                <w:lang w:eastAsia="cs-CZ"/>
              </w:rPr>
              <w:t>Druh zboží</w:t>
            </w:r>
          </w:p>
        </w:tc>
        <w:tc>
          <w:tcPr>
            <w:tcW w:w="1380" w:type="dxa"/>
            <w:tcBorders>
              <w:top w:val="single" w:sz="8" w:space="0" w:color="auto"/>
              <w:left w:val="nil"/>
              <w:bottom w:val="single" w:sz="4" w:space="0" w:color="auto"/>
              <w:right w:val="single" w:sz="8" w:space="0" w:color="auto"/>
            </w:tcBorders>
            <w:shd w:val="clear" w:color="000000" w:fill="8DB4E3"/>
            <w:noWrap/>
            <w:vAlign w:val="bottom"/>
            <w:hideMark/>
          </w:tcPr>
          <w:p w:rsidR="00310D0B" w:rsidRPr="007E3D67" w:rsidRDefault="00310D0B" w:rsidP="00A241D6">
            <w:pPr>
              <w:spacing w:line="240" w:lineRule="auto"/>
              <w:jc w:val="center"/>
              <w:rPr>
                <w:b/>
                <w:bCs/>
                <w:color w:val="FFFFFF"/>
                <w:sz w:val="22"/>
                <w:szCs w:val="22"/>
                <w:lang w:eastAsia="cs-CZ"/>
              </w:rPr>
            </w:pPr>
            <w:r w:rsidRPr="007E3D67">
              <w:rPr>
                <w:b/>
                <w:bCs/>
                <w:color w:val="FFFFFF"/>
                <w:sz w:val="22"/>
                <w:szCs w:val="22"/>
                <w:lang w:eastAsia="cs-CZ"/>
              </w:rPr>
              <w:t>Nárůst sazby</w:t>
            </w:r>
          </w:p>
        </w:tc>
      </w:tr>
      <w:tr w:rsidR="00310D0B" w:rsidRPr="007E3D67" w:rsidTr="00310D0B">
        <w:trPr>
          <w:trHeight w:val="300"/>
        </w:trPr>
        <w:tc>
          <w:tcPr>
            <w:tcW w:w="2740" w:type="dxa"/>
            <w:tcBorders>
              <w:top w:val="nil"/>
              <w:left w:val="single" w:sz="8" w:space="0" w:color="auto"/>
              <w:bottom w:val="single" w:sz="4" w:space="0" w:color="auto"/>
              <w:right w:val="single" w:sz="4" w:space="0" w:color="auto"/>
            </w:tcBorders>
            <w:shd w:val="clear" w:color="auto" w:fill="auto"/>
            <w:noWrap/>
            <w:vAlign w:val="bottom"/>
            <w:hideMark/>
          </w:tcPr>
          <w:p w:rsidR="00310D0B" w:rsidRPr="007E3D67" w:rsidRDefault="00310D0B" w:rsidP="00310D0B">
            <w:pPr>
              <w:spacing w:line="240" w:lineRule="auto"/>
              <w:jc w:val="left"/>
              <w:rPr>
                <w:color w:val="000000"/>
                <w:sz w:val="22"/>
                <w:szCs w:val="22"/>
                <w:lang w:eastAsia="cs-CZ"/>
              </w:rPr>
            </w:pPr>
            <w:r w:rsidRPr="007E3D67">
              <w:rPr>
                <w:color w:val="000000"/>
                <w:sz w:val="22"/>
                <w:szCs w:val="22"/>
                <w:lang w:eastAsia="cs-CZ"/>
              </w:rPr>
              <w:t>Motorové benziny</w:t>
            </w:r>
          </w:p>
        </w:tc>
        <w:tc>
          <w:tcPr>
            <w:tcW w:w="1380" w:type="dxa"/>
            <w:tcBorders>
              <w:top w:val="nil"/>
              <w:left w:val="nil"/>
              <w:bottom w:val="single" w:sz="4" w:space="0" w:color="auto"/>
              <w:right w:val="single" w:sz="8" w:space="0" w:color="auto"/>
            </w:tcBorders>
            <w:shd w:val="clear" w:color="auto" w:fill="auto"/>
            <w:noWrap/>
            <w:vAlign w:val="bottom"/>
            <w:hideMark/>
          </w:tcPr>
          <w:p w:rsidR="00310D0B" w:rsidRPr="007E3D67" w:rsidRDefault="00310D0B" w:rsidP="00310D0B">
            <w:pPr>
              <w:spacing w:line="240" w:lineRule="auto"/>
              <w:jc w:val="left"/>
              <w:rPr>
                <w:color w:val="000000"/>
                <w:sz w:val="22"/>
                <w:szCs w:val="22"/>
                <w:lang w:eastAsia="cs-CZ"/>
              </w:rPr>
            </w:pPr>
            <w:r w:rsidRPr="007E3D67">
              <w:rPr>
                <w:color w:val="000000"/>
                <w:sz w:val="22"/>
                <w:szCs w:val="22"/>
                <w:lang w:eastAsia="cs-CZ"/>
              </w:rPr>
              <w:t>1 Kč/ l</w:t>
            </w:r>
          </w:p>
        </w:tc>
      </w:tr>
      <w:tr w:rsidR="00310D0B" w:rsidRPr="007E3D67" w:rsidTr="00310D0B">
        <w:trPr>
          <w:trHeight w:val="300"/>
        </w:trPr>
        <w:tc>
          <w:tcPr>
            <w:tcW w:w="2740" w:type="dxa"/>
            <w:tcBorders>
              <w:top w:val="nil"/>
              <w:left w:val="single" w:sz="8" w:space="0" w:color="auto"/>
              <w:bottom w:val="single" w:sz="4" w:space="0" w:color="auto"/>
              <w:right w:val="single" w:sz="4" w:space="0" w:color="auto"/>
            </w:tcBorders>
            <w:shd w:val="clear" w:color="auto" w:fill="auto"/>
            <w:noWrap/>
            <w:vAlign w:val="bottom"/>
            <w:hideMark/>
          </w:tcPr>
          <w:p w:rsidR="00310D0B" w:rsidRPr="007E3D67" w:rsidRDefault="00310D0B" w:rsidP="00310D0B">
            <w:pPr>
              <w:spacing w:line="240" w:lineRule="auto"/>
              <w:jc w:val="left"/>
              <w:rPr>
                <w:color w:val="000000"/>
                <w:sz w:val="22"/>
                <w:szCs w:val="22"/>
                <w:lang w:eastAsia="cs-CZ"/>
              </w:rPr>
            </w:pPr>
            <w:r w:rsidRPr="007E3D67">
              <w:rPr>
                <w:color w:val="000000"/>
                <w:sz w:val="22"/>
                <w:szCs w:val="22"/>
                <w:lang w:eastAsia="cs-CZ"/>
              </w:rPr>
              <w:t>Spotřební daň z lihu</w:t>
            </w:r>
          </w:p>
        </w:tc>
        <w:tc>
          <w:tcPr>
            <w:tcW w:w="1380" w:type="dxa"/>
            <w:tcBorders>
              <w:top w:val="nil"/>
              <w:left w:val="nil"/>
              <w:bottom w:val="single" w:sz="4" w:space="0" w:color="auto"/>
              <w:right w:val="single" w:sz="8" w:space="0" w:color="auto"/>
            </w:tcBorders>
            <w:shd w:val="clear" w:color="auto" w:fill="auto"/>
            <w:noWrap/>
            <w:vAlign w:val="bottom"/>
            <w:hideMark/>
          </w:tcPr>
          <w:p w:rsidR="00310D0B" w:rsidRPr="007E3D67" w:rsidRDefault="00310D0B" w:rsidP="00310D0B">
            <w:pPr>
              <w:spacing w:line="240" w:lineRule="auto"/>
              <w:jc w:val="left"/>
              <w:rPr>
                <w:color w:val="000000"/>
                <w:sz w:val="22"/>
                <w:szCs w:val="22"/>
                <w:lang w:eastAsia="cs-CZ"/>
              </w:rPr>
            </w:pPr>
            <w:r w:rsidRPr="007E3D67">
              <w:rPr>
                <w:color w:val="000000"/>
                <w:sz w:val="22"/>
                <w:szCs w:val="22"/>
                <w:lang w:eastAsia="cs-CZ"/>
              </w:rPr>
              <w:t>20 Kč/ l</w:t>
            </w:r>
          </w:p>
        </w:tc>
      </w:tr>
      <w:tr w:rsidR="00310D0B" w:rsidRPr="007E3D67" w:rsidTr="00310D0B">
        <w:trPr>
          <w:trHeight w:val="300"/>
        </w:trPr>
        <w:tc>
          <w:tcPr>
            <w:tcW w:w="2740" w:type="dxa"/>
            <w:tcBorders>
              <w:top w:val="nil"/>
              <w:left w:val="single" w:sz="8" w:space="0" w:color="auto"/>
              <w:bottom w:val="single" w:sz="4" w:space="0" w:color="auto"/>
              <w:right w:val="single" w:sz="4" w:space="0" w:color="auto"/>
            </w:tcBorders>
            <w:shd w:val="clear" w:color="auto" w:fill="auto"/>
            <w:noWrap/>
            <w:vAlign w:val="bottom"/>
            <w:hideMark/>
          </w:tcPr>
          <w:p w:rsidR="00310D0B" w:rsidRPr="007E3D67" w:rsidRDefault="00310D0B" w:rsidP="00310D0B">
            <w:pPr>
              <w:spacing w:line="240" w:lineRule="auto"/>
              <w:jc w:val="left"/>
              <w:rPr>
                <w:color w:val="000000"/>
                <w:sz w:val="22"/>
                <w:szCs w:val="22"/>
                <w:lang w:eastAsia="cs-CZ"/>
              </w:rPr>
            </w:pPr>
            <w:r w:rsidRPr="007E3D67">
              <w:rPr>
                <w:color w:val="000000"/>
                <w:sz w:val="22"/>
                <w:szCs w:val="22"/>
                <w:lang w:eastAsia="cs-CZ"/>
              </w:rPr>
              <w:t>Sazba daně z piva</w:t>
            </w:r>
          </w:p>
        </w:tc>
        <w:tc>
          <w:tcPr>
            <w:tcW w:w="1380" w:type="dxa"/>
            <w:tcBorders>
              <w:top w:val="nil"/>
              <w:left w:val="nil"/>
              <w:bottom w:val="single" w:sz="4" w:space="0" w:color="auto"/>
              <w:right w:val="single" w:sz="8" w:space="0" w:color="auto"/>
            </w:tcBorders>
            <w:shd w:val="clear" w:color="auto" w:fill="auto"/>
            <w:noWrap/>
            <w:vAlign w:val="bottom"/>
            <w:hideMark/>
          </w:tcPr>
          <w:p w:rsidR="00310D0B" w:rsidRPr="007E3D67" w:rsidRDefault="00310D0B" w:rsidP="00310D0B">
            <w:pPr>
              <w:spacing w:line="240" w:lineRule="auto"/>
              <w:jc w:val="left"/>
              <w:rPr>
                <w:color w:val="000000"/>
                <w:sz w:val="22"/>
                <w:szCs w:val="22"/>
                <w:lang w:eastAsia="cs-CZ"/>
              </w:rPr>
            </w:pPr>
            <w:r w:rsidRPr="007E3D67">
              <w:rPr>
                <w:color w:val="000000"/>
                <w:sz w:val="22"/>
                <w:szCs w:val="22"/>
                <w:lang w:eastAsia="cs-CZ"/>
              </w:rPr>
              <w:t>8 Kč/ hl</w:t>
            </w:r>
          </w:p>
        </w:tc>
      </w:tr>
      <w:tr w:rsidR="00310D0B" w:rsidRPr="007E3D67" w:rsidTr="00310D0B">
        <w:trPr>
          <w:trHeight w:val="300"/>
        </w:trPr>
        <w:tc>
          <w:tcPr>
            <w:tcW w:w="2740" w:type="dxa"/>
            <w:tcBorders>
              <w:top w:val="nil"/>
              <w:left w:val="single" w:sz="8" w:space="0" w:color="auto"/>
              <w:bottom w:val="single" w:sz="4" w:space="0" w:color="auto"/>
              <w:right w:val="single" w:sz="4" w:space="0" w:color="auto"/>
            </w:tcBorders>
            <w:shd w:val="clear" w:color="auto" w:fill="auto"/>
            <w:noWrap/>
            <w:vAlign w:val="bottom"/>
            <w:hideMark/>
          </w:tcPr>
          <w:p w:rsidR="00310D0B" w:rsidRPr="007E3D67" w:rsidRDefault="00310D0B" w:rsidP="00310D0B">
            <w:pPr>
              <w:spacing w:line="240" w:lineRule="auto"/>
              <w:jc w:val="left"/>
              <w:rPr>
                <w:color w:val="000000"/>
                <w:sz w:val="22"/>
                <w:szCs w:val="22"/>
                <w:lang w:eastAsia="cs-CZ"/>
              </w:rPr>
            </w:pPr>
            <w:r w:rsidRPr="007E3D67">
              <w:rPr>
                <w:color w:val="000000"/>
                <w:sz w:val="22"/>
                <w:szCs w:val="22"/>
                <w:lang w:eastAsia="cs-CZ"/>
              </w:rPr>
              <w:t>Pevná část daně z cigaret</w:t>
            </w:r>
          </w:p>
        </w:tc>
        <w:tc>
          <w:tcPr>
            <w:tcW w:w="1380" w:type="dxa"/>
            <w:tcBorders>
              <w:top w:val="nil"/>
              <w:left w:val="nil"/>
              <w:bottom w:val="single" w:sz="4" w:space="0" w:color="auto"/>
              <w:right w:val="single" w:sz="8" w:space="0" w:color="auto"/>
            </w:tcBorders>
            <w:shd w:val="clear" w:color="auto" w:fill="auto"/>
            <w:noWrap/>
            <w:vAlign w:val="bottom"/>
            <w:hideMark/>
          </w:tcPr>
          <w:p w:rsidR="00310D0B" w:rsidRPr="007E3D67" w:rsidRDefault="00310D0B" w:rsidP="00310D0B">
            <w:pPr>
              <w:spacing w:line="240" w:lineRule="auto"/>
              <w:jc w:val="left"/>
              <w:rPr>
                <w:color w:val="000000"/>
                <w:sz w:val="22"/>
                <w:szCs w:val="22"/>
                <w:lang w:eastAsia="cs-CZ"/>
              </w:rPr>
            </w:pPr>
            <w:r w:rsidRPr="007E3D67">
              <w:rPr>
                <w:color w:val="000000"/>
                <w:sz w:val="22"/>
                <w:szCs w:val="22"/>
                <w:lang w:eastAsia="cs-CZ"/>
              </w:rPr>
              <w:t>0,04 Kč/ ks</w:t>
            </w:r>
          </w:p>
        </w:tc>
      </w:tr>
      <w:tr w:rsidR="00310D0B" w:rsidRPr="007E3D67" w:rsidTr="00310D0B">
        <w:trPr>
          <w:trHeight w:val="315"/>
        </w:trPr>
        <w:tc>
          <w:tcPr>
            <w:tcW w:w="2740" w:type="dxa"/>
            <w:tcBorders>
              <w:top w:val="nil"/>
              <w:left w:val="single" w:sz="8" w:space="0" w:color="auto"/>
              <w:bottom w:val="single" w:sz="8" w:space="0" w:color="auto"/>
              <w:right w:val="single" w:sz="4" w:space="0" w:color="auto"/>
            </w:tcBorders>
            <w:shd w:val="clear" w:color="auto" w:fill="auto"/>
            <w:noWrap/>
            <w:vAlign w:val="bottom"/>
            <w:hideMark/>
          </w:tcPr>
          <w:p w:rsidR="00310D0B" w:rsidRPr="007E3D67" w:rsidRDefault="00310D0B" w:rsidP="00310D0B">
            <w:pPr>
              <w:spacing w:line="240" w:lineRule="auto"/>
              <w:jc w:val="left"/>
              <w:rPr>
                <w:color w:val="000000"/>
                <w:sz w:val="22"/>
                <w:szCs w:val="22"/>
                <w:lang w:eastAsia="cs-CZ"/>
              </w:rPr>
            </w:pPr>
            <w:r w:rsidRPr="007E3D67">
              <w:rPr>
                <w:color w:val="000000"/>
                <w:sz w:val="22"/>
                <w:szCs w:val="22"/>
                <w:lang w:eastAsia="cs-CZ"/>
              </w:rPr>
              <w:t>Tabák ke kouření</w:t>
            </w:r>
          </w:p>
        </w:tc>
        <w:tc>
          <w:tcPr>
            <w:tcW w:w="1380" w:type="dxa"/>
            <w:tcBorders>
              <w:top w:val="nil"/>
              <w:left w:val="nil"/>
              <w:bottom w:val="single" w:sz="8" w:space="0" w:color="auto"/>
              <w:right w:val="single" w:sz="8" w:space="0" w:color="auto"/>
            </w:tcBorders>
            <w:shd w:val="clear" w:color="auto" w:fill="auto"/>
            <w:noWrap/>
            <w:vAlign w:val="bottom"/>
            <w:hideMark/>
          </w:tcPr>
          <w:p w:rsidR="00310D0B" w:rsidRPr="007E3D67" w:rsidRDefault="00310D0B" w:rsidP="00310D0B">
            <w:pPr>
              <w:spacing w:line="240" w:lineRule="auto"/>
              <w:jc w:val="left"/>
              <w:rPr>
                <w:color w:val="000000"/>
                <w:sz w:val="22"/>
                <w:szCs w:val="22"/>
                <w:lang w:eastAsia="cs-CZ"/>
              </w:rPr>
            </w:pPr>
            <w:r w:rsidRPr="007E3D67">
              <w:rPr>
                <w:color w:val="000000"/>
                <w:sz w:val="22"/>
                <w:szCs w:val="22"/>
                <w:lang w:eastAsia="cs-CZ"/>
              </w:rPr>
              <w:t>60 Kč/ kg</w:t>
            </w:r>
          </w:p>
        </w:tc>
      </w:tr>
    </w:tbl>
    <w:p w:rsidR="00310D0B" w:rsidRPr="007E3D67" w:rsidRDefault="00310D0B" w:rsidP="00310D0B">
      <w:pPr>
        <w:rPr>
          <w:i/>
          <w:sz w:val="20"/>
        </w:rPr>
      </w:pPr>
      <w:r w:rsidRPr="007E3D67">
        <w:rPr>
          <w:i/>
          <w:sz w:val="20"/>
        </w:rPr>
        <w:t>Zdroj: Data –</w:t>
      </w:r>
      <w:r w:rsidRPr="007E3D67">
        <w:t xml:space="preserve"> </w:t>
      </w:r>
      <w:r w:rsidRPr="007E3D67">
        <w:rPr>
          <w:i/>
          <w:sz w:val="20"/>
        </w:rPr>
        <w:t>Businessinfo,</w:t>
      </w:r>
      <w:r w:rsidRPr="007E3D67">
        <w:t xml:space="preserve"> </w:t>
      </w:r>
      <w:r w:rsidRPr="007E3D67">
        <w:rPr>
          <w:i/>
          <w:sz w:val="20"/>
        </w:rPr>
        <w:t>www.businessinfo.cz,</w:t>
      </w:r>
      <w:r w:rsidRPr="007E3D67">
        <w:t xml:space="preserve"> </w:t>
      </w:r>
      <w:r w:rsidRPr="007E3D67">
        <w:rPr>
          <w:i/>
          <w:sz w:val="20"/>
        </w:rPr>
        <w:t>Tabulka: Vlastní konstrukce.</w:t>
      </w:r>
    </w:p>
    <w:p w:rsidR="00310D0B" w:rsidRPr="007E3D67" w:rsidRDefault="00310D0B" w:rsidP="00F870A9"/>
    <w:p w:rsidR="00C64D5B" w:rsidRPr="007E3D67" w:rsidRDefault="00C64D5B" w:rsidP="00F870A9">
      <w:pPr>
        <w:rPr>
          <w:b/>
        </w:rPr>
      </w:pPr>
      <w:r w:rsidRPr="007E3D67">
        <w:rPr>
          <w:b/>
        </w:rPr>
        <w:t>Sociální a zdravotní pojištění</w:t>
      </w:r>
    </w:p>
    <w:p w:rsidR="00C64D5B" w:rsidRPr="007E3D67" w:rsidRDefault="00C64D5B" w:rsidP="00F870A9"/>
    <w:p w:rsidR="00C64D5B" w:rsidRPr="007E3D67" w:rsidRDefault="00EF0AB8" w:rsidP="00EF0AB8">
      <w:r w:rsidRPr="007E3D67">
        <w:t xml:space="preserve">Další podstatnou změnou bylo zvýšení stropu pro odvod sociálního pojištění z původního </w:t>
      </w:r>
      <w:r w:rsidR="00D77103" w:rsidRPr="007E3D67">
        <w:t>čtyř</w:t>
      </w:r>
      <w:r w:rsidRPr="007E3D67">
        <w:t>násobku průměrné měsíční mzdy</w:t>
      </w:r>
      <w:r w:rsidR="00CC36B4" w:rsidRPr="007E3D67">
        <w:t>,</w:t>
      </w:r>
      <w:r w:rsidRPr="007E3D67">
        <w:t xml:space="preserve"> na </w:t>
      </w:r>
      <w:r w:rsidR="00D77103" w:rsidRPr="007E3D67">
        <w:t>šesti</w:t>
      </w:r>
      <w:r w:rsidRPr="007E3D67">
        <w:t>násobek pro období od 1. ledna 2010 do 31. prosince 2010.</w:t>
      </w:r>
      <w:r w:rsidR="0071503E" w:rsidRPr="007E3D67">
        <w:t xml:space="preserve"> </w:t>
      </w:r>
      <w:r w:rsidRPr="007E3D67">
        <w:t>Maximální vyměřovací základ se zv</w:t>
      </w:r>
      <w:r w:rsidR="0071503E" w:rsidRPr="007E3D67">
        <w:t>ýšil</w:t>
      </w:r>
      <w:r w:rsidRPr="007E3D67">
        <w:t xml:space="preserve"> i u zdravotního pojištění a to </w:t>
      </w:r>
      <w:r w:rsidRPr="007E3D67">
        <w:lastRenderedPageBreak/>
        <w:t xml:space="preserve">stejnou měrou. Vyměřovací základ pro pojistné hrazené státem za osobu, za kterou je plátcem pojistného stát, se </w:t>
      </w:r>
      <w:r w:rsidR="0071503E" w:rsidRPr="007E3D67">
        <w:t>zafixovala</w:t>
      </w:r>
      <w:r w:rsidRPr="007E3D67">
        <w:t xml:space="preserve"> na výši 5 35</w:t>
      </w:r>
      <w:r w:rsidR="005904A6" w:rsidRPr="007E3D67">
        <w:t>5 Kč z</w:t>
      </w:r>
      <w:r w:rsidRPr="007E3D67">
        <w:t>a kalendářní měsíc.</w:t>
      </w:r>
    </w:p>
    <w:p w:rsidR="00C64D5B" w:rsidRPr="007E3D67" w:rsidRDefault="00C64D5B" w:rsidP="00F870A9">
      <w:pPr>
        <w:rPr>
          <w:b/>
        </w:rPr>
      </w:pPr>
    </w:p>
    <w:p w:rsidR="005904A6" w:rsidRPr="007E3D67" w:rsidRDefault="00453921" w:rsidP="00453921">
      <w:pPr>
        <w:pStyle w:val="Nadpis3"/>
      </w:pPr>
      <w:bookmarkStart w:id="285" w:name="_Toc278920749"/>
      <w:bookmarkStart w:id="286" w:name="_Toc279696236"/>
      <w:r w:rsidRPr="007E3D67">
        <w:t>Analýza úsporných opatření v rámci státního rozpočtu na rok 2010</w:t>
      </w:r>
      <w:bookmarkEnd w:id="285"/>
      <w:bookmarkEnd w:id="286"/>
    </w:p>
    <w:p w:rsidR="00EC363D" w:rsidRPr="007E3D67" w:rsidRDefault="00EC363D" w:rsidP="00F870A9">
      <w:r w:rsidRPr="007E3D67">
        <w:t>Jak již bylo uvedeno v úvodu, tato práce se svým datováním vymezuje do poloviny roku 2010. Z tohoto důvodu budou i projevy opatření, popsaných</w:t>
      </w:r>
      <w:r w:rsidR="00C711E9">
        <w:t xml:space="preserve"> výše, hodnoceny k tomuto datu. </w:t>
      </w:r>
    </w:p>
    <w:p w:rsidR="00EC363D" w:rsidRPr="007E3D67" w:rsidRDefault="00EC363D" w:rsidP="00F870A9"/>
    <w:p w:rsidR="00EC363D" w:rsidRPr="007E3D67" w:rsidRDefault="00C711E9" w:rsidP="00EC363D">
      <w:r>
        <w:t>Jak je uvedeno v materiálech vlády (POKLADNÍ PLNĚNÍ STÁTNÍHO ROZPOČTU ČR ZA LEDEN AŽ ČERVENEC 2010), b</w:t>
      </w:r>
      <w:r w:rsidR="005A2333" w:rsidRPr="007E3D67">
        <w:t>ěhem</w:t>
      </w:r>
      <w:r w:rsidR="00EC363D" w:rsidRPr="007E3D67">
        <w:t xml:space="preserve"> prvních sedm</w:t>
      </w:r>
      <w:r w:rsidR="005A2333" w:rsidRPr="007E3D67">
        <w:t>i</w:t>
      </w:r>
      <w:r w:rsidR="00EC363D" w:rsidRPr="007E3D67">
        <w:t xml:space="preserve"> měsíců roku 2010</w:t>
      </w:r>
      <w:r w:rsidR="005A2333" w:rsidRPr="007E3D67">
        <w:t xml:space="preserve"> byl schodek státního rozpočtu ČR</w:t>
      </w:r>
      <w:r w:rsidR="00EC363D" w:rsidRPr="007E3D67">
        <w:t> </w:t>
      </w:r>
      <w:r w:rsidR="005A2333" w:rsidRPr="007E3D67">
        <w:t>ve výši</w:t>
      </w:r>
      <w:r w:rsidR="00EC363D" w:rsidRPr="007E3D67">
        <w:t xml:space="preserve"> 69 mld. Kč. V </w:t>
      </w:r>
      <w:r w:rsidR="00EC363D" w:rsidRPr="00C23397">
        <w:t xml:space="preserve">porovnání se stejným obdobím roku 2009 došlo k jeho </w:t>
      </w:r>
      <w:r w:rsidR="005A2333" w:rsidRPr="00C23397">
        <w:t xml:space="preserve">poklesu </w:t>
      </w:r>
      <w:r w:rsidR="00EC363D" w:rsidRPr="00C23397">
        <w:t>o 7,2 mld. Kč (</w:t>
      </w:r>
      <w:r w:rsidR="00CC1789">
        <w:t>viz</w:t>
      </w:r>
      <w:r w:rsidR="00C23397" w:rsidRPr="00C23397">
        <w:t xml:space="preserve"> Přílohy,</w:t>
      </w:r>
      <w:r w:rsidR="00EC363D" w:rsidRPr="00C23397">
        <w:t xml:space="preserve"> </w:t>
      </w:r>
      <w:r w:rsidR="00984D12" w:rsidRPr="00C23397">
        <w:t>tab</w:t>
      </w:r>
      <w:r w:rsidR="00C23397" w:rsidRPr="00C23397">
        <w:t xml:space="preserve">. </w:t>
      </w:r>
      <w:r w:rsidR="00C261BC">
        <w:t>1</w:t>
      </w:r>
      <w:r w:rsidR="00EC363D" w:rsidRPr="00C23397">
        <w:t>). Tento</w:t>
      </w:r>
      <w:r w:rsidR="00EC363D" w:rsidRPr="007E3D67">
        <w:t xml:space="preserve"> pozitivní trend má původ v oživení hospodářské situace (v roce 2009 česká ekonomika klesla o 4,1 %, v roce 20</w:t>
      </w:r>
      <w:r w:rsidR="00C23397">
        <w:t>10</w:t>
      </w:r>
      <w:r w:rsidR="00EC363D" w:rsidRPr="007E3D67">
        <w:t xml:space="preserve"> rostla o více než 1 %</w:t>
      </w:r>
      <w:r w:rsidR="005A2333" w:rsidRPr="007E3D67">
        <w:t xml:space="preserve">, </w:t>
      </w:r>
      <w:r w:rsidR="00CC1789">
        <w:t xml:space="preserve">viz </w:t>
      </w:r>
      <w:r w:rsidR="00C23397" w:rsidRPr="00EE5063">
        <w:t>Přílohy,</w:t>
      </w:r>
      <w:r w:rsidR="005A2333" w:rsidRPr="00EE5063">
        <w:t xml:space="preserve"> obr.</w:t>
      </w:r>
      <w:r w:rsidR="00C23397" w:rsidRPr="00EE5063">
        <w:t xml:space="preserve"> 1</w:t>
      </w:r>
      <w:r w:rsidR="00EC363D" w:rsidRPr="00EE5063">
        <w:t>)</w:t>
      </w:r>
      <w:r w:rsidR="005A2333" w:rsidRPr="00EE5063">
        <w:t xml:space="preserve">, ale nezanedbatelný podíl na něm měla </w:t>
      </w:r>
      <w:r w:rsidR="00EC363D" w:rsidRPr="00EE5063">
        <w:t>také úsporná opatření znám</w:t>
      </w:r>
      <w:r w:rsidR="00EC363D" w:rsidRPr="007E3D67">
        <w:t xml:space="preserve">á jako Janotův balíček. I když byly původní </w:t>
      </w:r>
      <w:r w:rsidR="005A2333" w:rsidRPr="007E3D67">
        <w:t xml:space="preserve">ministerské záměry pozměněny </w:t>
      </w:r>
      <w:r w:rsidR="00EC363D" w:rsidRPr="007E3D67">
        <w:t xml:space="preserve">požadavky politických stran, </w:t>
      </w:r>
      <w:r w:rsidR="005904A6" w:rsidRPr="007E3D67">
        <w:t>byla</w:t>
      </w:r>
      <w:r w:rsidR="00EC363D" w:rsidRPr="007E3D67">
        <w:t xml:space="preserve"> stopa těchto opatření v </w:t>
      </w:r>
      <w:r w:rsidR="005904A6" w:rsidRPr="007E3D67">
        <w:t>aktuálním</w:t>
      </w:r>
      <w:r w:rsidR="00EC363D" w:rsidRPr="007E3D67">
        <w:t xml:space="preserve"> vývoji rozpočtu patrná.</w:t>
      </w:r>
    </w:p>
    <w:p w:rsidR="005A2333" w:rsidRPr="007E3D67" w:rsidRDefault="005A2333" w:rsidP="00EC363D"/>
    <w:p w:rsidR="00606093" w:rsidRPr="007E3D67" w:rsidRDefault="00606093" w:rsidP="00EC363D">
      <w:r w:rsidRPr="007E3D67">
        <w:t>Na druhou stranu porovnání právě roků 2009 a 2010 by mohlo</w:t>
      </w:r>
      <w:r w:rsidR="00784359" w:rsidRPr="007E3D67">
        <w:t xml:space="preserve"> být</w:t>
      </w:r>
      <w:r w:rsidRPr="007E3D67">
        <w:t xml:space="preserve"> při milné interpretaci zavádějící. Vzhledem k rozpuštění rezerv jednotlivých ministerstev do státního rozpočtu v roce 2009, ubírá tak toto srovnání na viditelnosti efektu zlepšení v roce 2010. Se záměrem snížit vysoký státní schodek</w:t>
      </w:r>
      <w:r w:rsidR="00784359" w:rsidRPr="007E3D67">
        <w:t>,</w:t>
      </w:r>
      <w:r w:rsidRPr="007E3D67">
        <w:t xml:space="preserve"> k tomu </w:t>
      </w:r>
      <w:r w:rsidR="00784359" w:rsidRPr="007E3D67">
        <w:t xml:space="preserve">kroku </w:t>
      </w:r>
      <w:r w:rsidRPr="007E3D67">
        <w:t>došlo v únoru 2009, a rozpočet tak byl zkreslen o 32 m</w:t>
      </w:r>
      <w:r w:rsidR="00784359" w:rsidRPr="007E3D67">
        <w:t>ld. Kč</w:t>
      </w:r>
      <w:r w:rsidRPr="007E3D67">
        <w:t>, které ministerstva ušetřila v minulých letech.</w:t>
      </w:r>
    </w:p>
    <w:p w:rsidR="00606093" w:rsidRPr="007E3D67" w:rsidRDefault="00606093" w:rsidP="00EC363D"/>
    <w:p w:rsidR="00EC363D" w:rsidRPr="007E3D67" w:rsidRDefault="00984D12" w:rsidP="00F870A9">
      <w:r w:rsidRPr="007E3D67">
        <w:t>Po</w:t>
      </w:r>
      <w:r w:rsidR="00EC363D" w:rsidRPr="007E3D67">
        <w:t xml:space="preserve"> </w:t>
      </w:r>
      <w:r w:rsidRPr="007E3D67">
        <w:t xml:space="preserve">bližším porovnání </w:t>
      </w:r>
      <w:r w:rsidR="00EC363D" w:rsidRPr="007E3D67">
        <w:t>rozpočt</w:t>
      </w:r>
      <w:r w:rsidRPr="007E3D67">
        <w:t>u ČR</w:t>
      </w:r>
      <w:r w:rsidR="00EC363D" w:rsidRPr="007E3D67">
        <w:t xml:space="preserve"> v prvních sedmi měsících let 2009 a 2010, </w:t>
      </w:r>
      <w:r w:rsidRPr="007E3D67">
        <w:t>je patrné</w:t>
      </w:r>
      <w:r w:rsidR="00F83A51" w:rsidRPr="007E3D67">
        <w:t>, že důvodem tohoto pozitivního trendu jsou především omezení na výdajové stránce.</w:t>
      </w:r>
      <w:r w:rsidR="00EC363D" w:rsidRPr="007E3D67">
        <w:t xml:space="preserve"> Ty se totiž o 7,38 m</w:t>
      </w:r>
      <w:r w:rsidR="00DE402B" w:rsidRPr="007E3D67">
        <w:t>ld.</w:t>
      </w:r>
      <w:r w:rsidR="005904A6" w:rsidRPr="007E3D67">
        <w:t xml:space="preserve"> Kč</w:t>
      </w:r>
      <w:r w:rsidR="00EC363D" w:rsidRPr="007E3D67">
        <w:t xml:space="preserve"> snížily, zatímco příjmy ve sledovaném období klesly o 0,2 m</w:t>
      </w:r>
      <w:r w:rsidR="00DE402B" w:rsidRPr="007E3D67">
        <w:t xml:space="preserve">ld. </w:t>
      </w:r>
      <w:r w:rsidR="005904A6" w:rsidRPr="007E3D67">
        <w:t xml:space="preserve">Kč. </w:t>
      </w:r>
      <w:r w:rsidR="00DE402B" w:rsidRPr="007E3D67">
        <w:t>U příjmů se</w:t>
      </w:r>
      <w:r w:rsidR="00784359" w:rsidRPr="007E3D67">
        <w:t xml:space="preserve"> bude</w:t>
      </w:r>
      <w:r w:rsidR="00DE402B" w:rsidRPr="007E3D67">
        <w:t xml:space="preserve"> nadále projevovat jejich reálný růst, který „není patrný“ v důsledku zmíněného rozpuštění rezerv v roce 2009.</w:t>
      </w:r>
    </w:p>
    <w:p w:rsidR="00DE402B" w:rsidRPr="007E3D67" w:rsidRDefault="00DE402B" w:rsidP="00F870A9"/>
    <w:p w:rsidR="00DE402B" w:rsidRPr="007E3D67" w:rsidRDefault="00DE402B" w:rsidP="00DE402B">
      <w:r w:rsidRPr="007E3D67">
        <w:lastRenderedPageBreak/>
        <w:t xml:space="preserve">Růst </w:t>
      </w:r>
      <w:r w:rsidR="004447ED" w:rsidRPr="007E3D67">
        <w:t>na příjmové straně státního rozpočtu</w:t>
      </w:r>
      <w:r w:rsidRPr="007E3D67">
        <w:t xml:space="preserve"> je patrný, </w:t>
      </w:r>
      <w:r w:rsidR="004447ED" w:rsidRPr="007E3D67">
        <w:t>po koncentraci na</w:t>
      </w:r>
      <w:r w:rsidRPr="007E3D67">
        <w:t xml:space="preserve"> odlišn</w:t>
      </w:r>
      <w:r w:rsidR="004447ED" w:rsidRPr="007E3D67">
        <w:t>ý</w:t>
      </w:r>
      <w:r w:rsidRPr="007E3D67">
        <w:t xml:space="preserve"> vývoj v</w:t>
      </w:r>
      <w:r w:rsidR="004447ED" w:rsidRPr="007E3D67">
        <w:t xml:space="preserve"> příjmech</w:t>
      </w:r>
      <w:r w:rsidRPr="007E3D67">
        <w:t xml:space="preserve"> daňových a nedaňových. Daňové příjmy (do kterých se nepromítají rozpuštěné rezervy) za prvních sedm měsíců roku 2009 činily 492,39 m</w:t>
      </w:r>
      <w:r w:rsidR="00B67D6C" w:rsidRPr="007E3D67">
        <w:t>ld. Kč</w:t>
      </w:r>
      <w:r w:rsidRPr="007E3D67">
        <w:t xml:space="preserve">, letos vzrostly o 10,46 </w:t>
      </w:r>
      <w:r w:rsidR="00B67D6C" w:rsidRPr="007E3D67">
        <w:t>mld.</w:t>
      </w:r>
      <w:r w:rsidRPr="007E3D67">
        <w:t xml:space="preserve"> na 502,85 </w:t>
      </w:r>
      <w:r w:rsidR="00B67D6C" w:rsidRPr="007E3D67">
        <w:t>mld. Kč</w:t>
      </w:r>
      <w:r w:rsidRPr="007E3D67">
        <w:t xml:space="preserve">. </w:t>
      </w:r>
      <w:r w:rsidR="00B67D6C" w:rsidRPr="007E3D67">
        <w:t>V tomto sumárním vyjádření není z</w:t>
      </w:r>
      <w:r w:rsidRPr="007E3D67">
        <w:t>apočítá</w:t>
      </w:r>
      <w:r w:rsidR="00B67D6C" w:rsidRPr="007E3D67">
        <w:t>no</w:t>
      </w:r>
      <w:r w:rsidRPr="007E3D67">
        <w:t xml:space="preserve"> vybrané pojistné na sociální zabezpečení, které se v souladu s vývojem nezaměstnanosti (leden až červen 2009 6,8 % – 8 %; leden až červen 2010 9,8 % – 8,5 %) snížilo z 209,87 </w:t>
      </w:r>
      <w:r w:rsidR="00B67D6C" w:rsidRPr="007E3D67">
        <w:t>mld. Kč</w:t>
      </w:r>
      <w:r w:rsidR="005904A6" w:rsidRPr="007E3D67">
        <w:t xml:space="preserve"> v roce 2009 na </w:t>
      </w:r>
      <w:r w:rsidRPr="007E3D67">
        <w:t xml:space="preserve">204,06 </w:t>
      </w:r>
      <w:r w:rsidR="00B67D6C" w:rsidRPr="007E3D67">
        <w:t>mld. Kč</w:t>
      </w:r>
      <w:r w:rsidR="005904A6" w:rsidRPr="007E3D67">
        <w:t xml:space="preserve"> v roce </w:t>
      </w:r>
      <w:r w:rsidR="005904A6" w:rsidRPr="00CC1789">
        <w:t>2010</w:t>
      </w:r>
      <w:r w:rsidR="0036184C" w:rsidRPr="00CC1789">
        <w:t xml:space="preserve"> (</w:t>
      </w:r>
      <w:r w:rsidR="00CC1789" w:rsidRPr="00CC1789">
        <w:t xml:space="preserve">viz Přílohy, tab. </w:t>
      </w:r>
      <w:r w:rsidR="00C261BC">
        <w:t>2</w:t>
      </w:r>
      <w:r w:rsidR="0036184C" w:rsidRPr="00CC1789">
        <w:t>)</w:t>
      </w:r>
      <w:r w:rsidRPr="00CC1789">
        <w:t>.</w:t>
      </w:r>
    </w:p>
    <w:p w:rsidR="00DE402B" w:rsidRPr="007E3D67" w:rsidRDefault="00DE402B" w:rsidP="00DE402B"/>
    <w:p w:rsidR="00CF0C98" w:rsidRPr="007E3D67" w:rsidRDefault="00DE402B" w:rsidP="00DE402B">
      <w:r w:rsidRPr="007E3D67">
        <w:t xml:space="preserve">Propad příjmů ze sociálního pojištění mohl </w:t>
      </w:r>
      <w:r w:rsidR="00CC36B4" w:rsidRPr="007E3D67">
        <w:t>dosáhnout</w:t>
      </w:r>
      <w:r w:rsidRPr="007E3D67">
        <w:t xml:space="preserve"> větší</w:t>
      </w:r>
      <w:r w:rsidR="00CC36B4" w:rsidRPr="007E3D67">
        <w:t>ch rozměrů</w:t>
      </w:r>
      <w:r w:rsidRPr="007E3D67">
        <w:t>, kdyby nedošlo tzv. Janotovým balíčkem k navýšení stropů pro jeho odvod na šestinásobek průměrné mzdy. Tím měl podle plánů státní rozpočet v roce 2010 navíc získat 3,1 m</w:t>
      </w:r>
      <w:r w:rsidR="005904A6" w:rsidRPr="007E3D67">
        <w:t>ld. Kč</w:t>
      </w:r>
      <w:r w:rsidRPr="007E3D67">
        <w:t xml:space="preserve">, </w:t>
      </w:r>
      <w:r w:rsidR="00CF0C98" w:rsidRPr="007E3D67">
        <w:t xml:space="preserve">tento odhad je díky časovému zpoždění navázaném na hospodářské nástroje, v době zpracování této práce, </w:t>
      </w:r>
      <w:r w:rsidRPr="007E3D67">
        <w:t>těžko ověř</w:t>
      </w:r>
      <w:r w:rsidR="00CF0C98" w:rsidRPr="007E3D67">
        <w:t>itelný</w:t>
      </w:r>
      <w:r w:rsidRPr="007E3D67">
        <w:t>.</w:t>
      </w:r>
    </w:p>
    <w:p w:rsidR="00DE402B" w:rsidRPr="007E3D67" w:rsidRDefault="00CF0C98" w:rsidP="00DE402B">
      <w:r w:rsidRPr="007E3D67">
        <w:t xml:space="preserve"> </w:t>
      </w:r>
    </w:p>
    <w:p w:rsidR="00DE402B" w:rsidRPr="007E3D67" w:rsidRDefault="004E6502" w:rsidP="00DE402B">
      <w:r w:rsidRPr="007E3D67">
        <w:t xml:space="preserve">Odhad pro zvýšený výběr </w:t>
      </w:r>
      <w:r w:rsidR="00DE402B" w:rsidRPr="007E3D67">
        <w:t>u daně z</w:t>
      </w:r>
      <w:r w:rsidRPr="007E3D67">
        <w:t> </w:t>
      </w:r>
      <w:r w:rsidR="00DE402B" w:rsidRPr="007E3D67">
        <w:t>nemovitosti</w:t>
      </w:r>
      <w:r w:rsidRPr="007E3D67">
        <w:t xml:space="preserve">, vycházel z předpokladu její </w:t>
      </w:r>
      <w:r w:rsidR="00DE402B" w:rsidRPr="007E3D67">
        <w:t>zdvojnásoben</w:t>
      </w:r>
      <w:r w:rsidRPr="007E3D67">
        <w:t>é</w:t>
      </w:r>
      <w:r w:rsidR="00DE402B" w:rsidRPr="007E3D67">
        <w:t xml:space="preserve"> sazb</w:t>
      </w:r>
      <w:r w:rsidRPr="007E3D67">
        <w:t>y</w:t>
      </w:r>
      <w:r w:rsidR="00DE402B" w:rsidRPr="007E3D67">
        <w:t xml:space="preserve">, čímž by při zachování všech ostatních jejích parametrů došlo také k dvojnásobnému výběru této daně. </w:t>
      </w:r>
      <w:r w:rsidRPr="007E3D67">
        <w:t xml:space="preserve">Ovšem v realitě se projevil efekt zavedení tzv. </w:t>
      </w:r>
      <w:r w:rsidR="00DE402B" w:rsidRPr="007E3D67">
        <w:t>místní</w:t>
      </w:r>
      <w:r w:rsidRPr="007E3D67">
        <w:t>ch</w:t>
      </w:r>
      <w:r w:rsidR="00DE402B" w:rsidRPr="007E3D67">
        <w:t xml:space="preserve"> koeficientů, které v roce 2009 zavedla Topolánkova vláda, a které obcím umož</w:t>
      </w:r>
      <w:r w:rsidRPr="007E3D67">
        <w:t>nily</w:t>
      </w:r>
      <w:r w:rsidR="00DE402B" w:rsidRPr="007E3D67">
        <w:t xml:space="preserve"> zvýšit výběr podle vlastního uvážení. Některé obce, které v roce 2009 koeficienty zavedly, a zvýšily tak daň z nemovitosti, </w:t>
      </w:r>
      <w:r w:rsidRPr="007E3D67">
        <w:t>neměly v úmyslu</w:t>
      </w:r>
      <w:r w:rsidR="00DE402B" w:rsidRPr="007E3D67">
        <w:t xml:space="preserve"> podruhé v řadě svým občanům tuto daň skokově navyšovat. </w:t>
      </w:r>
      <w:r w:rsidRPr="007E3D67">
        <w:t xml:space="preserve">A z tohoto důvodu místní koeficient pro </w:t>
      </w:r>
      <w:r w:rsidR="00DE402B" w:rsidRPr="007E3D67">
        <w:t>rok</w:t>
      </w:r>
      <w:r w:rsidRPr="007E3D67">
        <w:t xml:space="preserve"> 2010</w:t>
      </w:r>
      <w:r w:rsidR="00DE402B" w:rsidRPr="007E3D67">
        <w:t xml:space="preserve"> stanovily opět na základní úroveň (</w:t>
      </w:r>
      <w:r w:rsidRPr="007E3D67">
        <w:t>rovnou jedné</w:t>
      </w:r>
      <w:r w:rsidR="00DE402B" w:rsidRPr="007E3D67">
        <w:t>)</w:t>
      </w:r>
      <w:r w:rsidRPr="007E3D67">
        <w:t xml:space="preserve">. Důsledkem čehož </w:t>
      </w:r>
      <w:r w:rsidR="00DE402B" w:rsidRPr="007E3D67">
        <w:t xml:space="preserve">příjem z výběru této daně </w:t>
      </w:r>
      <w:r w:rsidRPr="007E3D67">
        <w:t xml:space="preserve">nebyl ve sledovaném období </w:t>
      </w:r>
      <w:r w:rsidRPr="004E263B">
        <w:t>prvních sedmi měsíců</w:t>
      </w:r>
      <w:r w:rsidR="00DE402B" w:rsidRPr="004E263B">
        <w:t xml:space="preserve"> </w:t>
      </w:r>
      <w:r w:rsidRPr="004E263B">
        <w:t xml:space="preserve">roku 2010 </w:t>
      </w:r>
      <w:r w:rsidR="00DE402B" w:rsidRPr="004E263B">
        <w:t xml:space="preserve">dvojnásobný, ale vzrostl o necelých 47 % (z 3,99 na 5,73 </w:t>
      </w:r>
      <w:r w:rsidRPr="004E263B">
        <w:t>mld. Kč</w:t>
      </w:r>
      <w:r w:rsidR="006637D9" w:rsidRPr="004E263B">
        <w:t xml:space="preserve">, </w:t>
      </w:r>
      <w:r w:rsidR="00CC1789" w:rsidRPr="004E263B">
        <w:t>viz</w:t>
      </w:r>
      <w:r w:rsidR="00C509E5" w:rsidRPr="004E263B">
        <w:t xml:space="preserve"> Přílohy,</w:t>
      </w:r>
      <w:r w:rsidR="006637D9" w:rsidRPr="004E263B">
        <w:t xml:space="preserve"> ta</w:t>
      </w:r>
      <w:r w:rsidR="00C509E5" w:rsidRPr="004E263B">
        <w:t xml:space="preserve">b. </w:t>
      </w:r>
      <w:r w:rsidR="00C261BC">
        <w:t>5</w:t>
      </w:r>
      <w:r w:rsidR="00DE402B" w:rsidRPr="004E263B">
        <w:t>).</w:t>
      </w:r>
      <w:r w:rsidR="00DE402B" w:rsidRPr="007E3D67">
        <w:t xml:space="preserve"> </w:t>
      </w:r>
    </w:p>
    <w:p w:rsidR="004E6502" w:rsidRPr="007E3D67" w:rsidRDefault="004E6502" w:rsidP="00DE402B"/>
    <w:p w:rsidR="00DE402B" w:rsidRPr="007E3D67" w:rsidRDefault="006637D9" w:rsidP="00DE402B">
      <w:r w:rsidRPr="007E3D67">
        <w:t xml:space="preserve">Naproti tomu, nad očekávání </w:t>
      </w:r>
      <w:r w:rsidR="00DE402B" w:rsidRPr="007E3D67">
        <w:t xml:space="preserve">vyšlo zvýšení daně z přidané hodnoty (u obou sazeb o 1 %). Zatímco odhad tohoto opatření předpokládal zvýšení příjmů státní kasy za rok 2010 o 10 </w:t>
      </w:r>
      <w:r w:rsidRPr="007E3D67">
        <w:t>mld. Kč</w:t>
      </w:r>
      <w:r w:rsidR="00DE402B" w:rsidRPr="007E3D67">
        <w:t>, za prvních sedm měsíců příjmy z</w:t>
      </w:r>
      <w:r w:rsidRPr="007E3D67">
        <w:t> daně z přidané hodnoty</w:t>
      </w:r>
      <w:r w:rsidR="00DE402B" w:rsidRPr="007E3D67">
        <w:t xml:space="preserve"> vzrostly dokonce o 14,3 </w:t>
      </w:r>
      <w:r w:rsidRPr="007E3D67">
        <w:t>mld. Kč</w:t>
      </w:r>
      <w:r w:rsidR="00DE402B" w:rsidRPr="007E3D67">
        <w:t xml:space="preserve"> (z</w:t>
      </w:r>
      <w:r w:rsidR="00C632CB" w:rsidRPr="007E3D67">
        <w:t>e</w:t>
      </w:r>
      <w:r w:rsidR="00DE402B" w:rsidRPr="007E3D67">
        <w:t xml:space="preserve"> 154,9 na 169,03 </w:t>
      </w:r>
      <w:r w:rsidR="005904A6" w:rsidRPr="004E263B">
        <w:t>mld. Kč</w:t>
      </w:r>
      <w:r w:rsidRPr="004E263B">
        <w:t xml:space="preserve">, </w:t>
      </w:r>
      <w:r w:rsidR="004E263B" w:rsidRPr="004E263B">
        <w:t xml:space="preserve">viz Přílohy, tab. </w:t>
      </w:r>
      <w:r w:rsidR="00C261BC">
        <w:t>5</w:t>
      </w:r>
      <w:r w:rsidR="00DE402B" w:rsidRPr="007E3D67">
        <w:t xml:space="preserve">). Mírně za očekáváním zůstal efekt zvýšení spotřebních daní. Zvýšení této daně u pohonných hmot, lihu, piva a tabáku mělo přinést 10,6 </w:t>
      </w:r>
      <w:r w:rsidR="005A0625" w:rsidRPr="007E3D67">
        <w:t>mld</w:t>
      </w:r>
      <w:r w:rsidRPr="007E3D67">
        <w:t>. Kč</w:t>
      </w:r>
      <w:r w:rsidR="00DE402B" w:rsidRPr="007E3D67">
        <w:t xml:space="preserve"> navíc, za prvních sedm měsíců </w:t>
      </w:r>
      <w:r w:rsidRPr="007E3D67">
        <w:t>se vybralo</w:t>
      </w:r>
      <w:r w:rsidR="00DE402B" w:rsidRPr="007E3D67">
        <w:t xml:space="preserve"> 7,39 m</w:t>
      </w:r>
      <w:r w:rsidRPr="007E3D67">
        <w:t>ld. Kč</w:t>
      </w:r>
      <w:r w:rsidR="00DE402B" w:rsidRPr="007E3D67">
        <w:t>.</w:t>
      </w:r>
    </w:p>
    <w:p w:rsidR="006637D9" w:rsidRPr="007E3D67" w:rsidRDefault="006637D9" w:rsidP="00DE402B"/>
    <w:p w:rsidR="007866A1" w:rsidRPr="007E3D67" w:rsidRDefault="007866A1" w:rsidP="003E2D50">
      <w:pPr>
        <w:pStyle w:val="Nadpis1"/>
        <w:numPr>
          <w:ilvl w:val="0"/>
          <w:numId w:val="0"/>
        </w:numPr>
        <w:ind w:left="432"/>
        <w:rPr>
          <w:lang w:val="cs-CZ"/>
        </w:rPr>
      </w:pPr>
      <w:bookmarkStart w:id="287" w:name="_Toc279696237"/>
      <w:r w:rsidRPr="007E3D67">
        <w:rPr>
          <w:lang w:val="cs-CZ"/>
        </w:rPr>
        <w:lastRenderedPageBreak/>
        <w:t>Závěr</w:t>
      </w:r>
      <w:bookmarkEnd w:id="287"/>
    </w:p>
    <w:p w:rsidR="00C632CB" w:rsidRPr="007E3D67" w:rsidRDefault="00C632CB" w:rsidP="00C632CB">
      <w:pPr>
        <w:pStyle w:val="Bodytext"/>
      </w:pPr>
      <w:r w:rsidRPr="007E3D67">
        <w:t>Cílem této práce bylo:</w:t>
      </w:r>
    </w:p>
    <w:p w:rsidR="00C632CB" w:rsidRPr="007E3D67" w:rsidRDefault="00C632CB" w:rsidP="00C632CB">
      <w:pPr>
        <w:pStyle w:val="Bodytext"/>
        <w:numPr>
          <w:ilvl w:val="0"/>
          <w:numId w:val="41"/>
        </w:numPr>
      </w:pPr>
      <w:r w:rsidRPr="007E3D67">
        <w:t>Zmapování ekonomické krize v souvislosti s krizí hypoteční.</w:t>
      </w:r>
    </w:p>
    <w:p w:rsidR="00C632CB" w:rsidRPr="007E3D67" w:rsidRDefault="00C632CB" w:rsidP="00C632CB">
      <w:pPr>
        <w:pStyle w:val="Bodytext"/>
        <w:numPr>
          <w:ilvl w:val="0"/>
          <w:numId w:val="41"/>
        </w:numPr>
      </w:pPr>
      <w:r w:rsidRPr="007E3D67">
        <w:t>Analýza opatření tvůrců hospodářské politiky v České republice.</w:t>
      </w:r>
    </w:p>
    <w:p w:rsidR="00C632CB" w:rsidRPr="007E3D67" w:rsidRDefault="00C632CB" w:rsidP="00C632CB">
      <w:pPr>
        <w:pStyle w:val="Bodytext"/>
      </w:pPr>
    </w:p>
    <w:p w:rsidR="00C632CB" w:rsidRPr="007E3D67" w:rsidRDefault="00C632CB" w:rsidP="00C632CB">
      <w:r w:rsidRPr="007E3D67">
        <w:t xml:space="preserve">Tyto cíle jsou rozpracovány v následujícím textu. V závěru této kapitoly je i uvedena odpověď na otázku, zda </w:t>
      </w:r>
      <w:r w:rsidR="00D21156" w:rsidRPr="007E3D67">
        <w:t>„</w:t>
      </w:r>
      <w:r w:rsidRPr="007E3D67">
        <w:t>byla opatření tvůrců hospodářské politiky České republiky v kontextu ekonomické krize dostatečně účinná?</w:t>
      </w:r>
      <w:r w:rsidR="00D21156" w:rsidRPr="007E3D67">
        <w:t>“</w:t>
      </w:r>
    </w:p>
    <w:p w:rsidR="00D21156" w:rsidRPr="007E3D67" w:rsidRDefault="00D21156" w:rsidP="00C632CB"/>
    <w:p w:rsidR="00E6018E" w:rsidRPr="007E3D67" w:rsidRDefault="00D21156" w:rsidP="00D53DE0">
      <w:pPr>
        <w:pStyle w:val="Bodytext"/>
        <w:keepNext/>
      </w:pPr>
      <w:r w:rsidRPr="007E3D67">
        <w:t xml:space="preserve">V první kapitole hlavní textové části této práce byly uvedeny teoretické souvislosti v oblasti hospodářské politiky, které byly použity v průběhu zpracování následných kapitol. </w:t>
      </w:r>
    </w:p>
    <w:p w:rsidR="00E6018E" w:rsidRPr="007E3D67" w:rsidRDefault="00E6018E" w:rsidP="00D53DE0">
      <w:pPr>
        <w:pStyle w:val="Bodytext"/>
        <w:keepNext/>
      </w:pPr>
    </w:p>
    <w:p w:rsidR="00D53DE0" w:rsidRPr="007E3D67" w:rsidRDefault="00D21156" w:rsidP="00D53DE0">
      <w:pPr>
        <w:pStyle w:val="Bodytext"/>
        <w:keepNext/>
        <w:rPr>
          <w:lang w:eastAsia="cs-CZ"/>
        </w:rPr>
      </w:pPr>
      <w:r w:rsidRPr="007E3D67">
        <w:t xml:space="preserve">Druhá kapitola obsahuje souvislosti vzniku hypoteční krize. V průběhu zpracovávání této kapitoly vykrystalizovaly skutečnosti implikující širší historické souvislosti pro vznik této krize. Z datových podkladů uvedených v této kapitole bylo verifikováno, že </w:t>
      </w:r>
      <w:r w:rsidR="006E3A3E" w:rsidRPr="007E3D67">
        <w:t xml:space="preserve">iniciátory lze lokalizovat již v roce 2000, kdy došlo v USA k pádu nadhodnocených technologických akcií. </w:t>
      </w:r>
      <w:r w:rsidR="00B97299" w:rsidRPr="007E3D67">
        <w:t xml:space="preserve">V té době reálně hrozilo, že ekonomika USA, která byla do té doby synonymem pro konstantní růst, zbrzdí nebo v krajním případě propadne záporných čísel. Díky intervenci FED, který během jednoho roku snížil základní úrokovou sazbu z 6,50% na 1,75%. Nízké úrokové sazby FED implikovaly v negativní efekt. Ekonomiku sice dokázaly díky spotřebě domácností a levným firemním investicím stimulovat k vyššímu růstu, spotřeba domácností se však čím dál více transformovala do spotřeby na dluh. Na snadnější přístup i méně movitých domácností k hotovosti, reagovaly finanční instituce značným nárůstem nabízených produktů k financování bydlení, především pak hypoték. </w:t>
      </w:r>
      <w:r w:rsidR="00ED0479" w:rsidRPr="007E3D67">
        <w:t>V tomto bodě nastal zrod hypoteční krize. FED začal zvedat základní úrokovou sazbu zpět k hranici 5</w:t>
      </w:r>
      <w:r w:rsidR="00D26AC7" w:rsidRPr="007E3D67">
        <w:t>,00</w:t>
      </w:r>
      <w:r w:rsidR="00ED0479" w:rsidRPr="007E3D67">
        <w:t>%. To se během několika týdnů promítlo i do úrokových sazeb hypoték. Růst hypotečních úrokových sazeb a následný nárůst měsíčních splátek hypoték dostal do finanční tísně nejméně bonitní domácnosti.</w:t>
      </w:r>
      <w:r w:rsidR="00D26AC7" w:rsidRPr="007E3D67">
        <w:t xml:space="preserve"> </w:t>
      </w:r>
      <w:r w:rsidR="009D29CC" w:rsidRPr="007E3D67">
        <w:t xml:space="preserve">Tento efekt společně s růstem inflace znamenal značné problémy pro tyto klienty, potažmo pro jejich poskytovatele hypoték. Tyto finanční instituce svá zdravá aktiva proměnila během několika let na toxická. Problémy se splácením </w:t>
      </w:r>
      <w:r w:rsidR="009D29CC" w:rsidRPr="007E3D67">
        <w:lastRenderedPageBreak/>
        <w:t>hypoték donutily americké domácnosti šetřit na výdajích, došlo tedy k poklesu jejich spotřebitelské aktivity. To se promítlo do ostatních odvětví ekonomiky. Celkový pokles spotřebitelské poptávky, byl doprovázen finančními škrty firem tedy zbavováním se nejlikvidnějšího výrobního zdroje, tedy zaměstnanců. Zaměstnanost v USA nabrala vzestupnou tendenci.</w:t>
      </w:r>
      <w:r w:rsidR="00D53DE0" w:rsidRPr="007E3D67">
        <w:t xml:space="preserve"> I následky pro firmy v USA byly tragické, nejvyšší počet bankrotů v historii USA. Vláda zavedla </w:t>
      </w:r>
      <w:r w:rsidR="00D53DE0" w:rsidRPr="007E3D67">
        <w:rPr>
          <w:color w:val="auto"/>
        </w:rPr>
        <w:t>TARP</w:t>
      </w:r>
      <w:r w:rsidR="00D53DE0" w:rsidRPr="007E3D67">
        <w:t xml:space="preserve">, pomocí kterého </w:t>
      </w:r>
      <w:r w:rsidR="00D53DE0" w:rsidRPr="007E3D67">
        <w:rPr>
          <w:lang w:eastAsia="cs-CZ"/>
        </w:rPr>
        <w:t>stát sanoval vybrané finanční instituce.</w:t>
      </w:r>
      <w:r w:rsidR="00C21A48" w:rsidRPr="007E3D67">
        <w:rPr>
          <w:lang w:eastAsia="cs-CZ"/>
        </w:rPr>
        <w:t xml:space="preserve"> Ostatní, především pak průmyslové sektory čelil</w:t>
      </w:r>
      <w:r w:rsidR="00313AEF">
        <w:rPr>
          <w:lang w:eastAsia="cs-CZ"/>
        </w:rPr>
        <w:t>y</w:t>
      </w:r>
      <w:r w:rsidR="00C21A48" w:rsidRPr="007E3D67">
        <w:rPr>
          <w:lang w:eastAsia="cs-CZ"/>
        </w:rPr>
        <w:t xml:space="preserve"> velkým výzvám v podobě mizivých příjmů a vysokým fixním nákladům. Mnoho firem, jak je uvedeno v druhé kapitole, vyhlásilo bankrot a ukončil</w:t>
      </w:r>
      <w:r w:rsidR="00313AEF">
        <w:rPr>
          <w:lang w:eastAsia="cs-CZ"/>
        </w:rPr>
        <w:t>y</w:t>
      </w:r>
      <w:r w:rsidR="00C21A48" w:rsidRPr="007E3D67">
        <w:rPr>
          <w:lang w:eastAsia="cs-CZ"/>
        </w:rPr>
        <w:t xml:space="preserve"> výrobu. Jiné požádaly o pomoc vládu USA, která jim poskytla podporu v podobě finančních injekcí.</w:t>
      </w:r>
      <w:r w:rsidR="009149F7" w:rsidRPr="007E3D67">
        <w:rPr>
          <w:lang w:eastAsia="cs-CZ"/>
        </w:rPr>
        <w:t xml:space="preserve"> </w:t>
      </w:r>
    </w:p>
    <w:p w:rsidR="009149F7" w:rsidRPr="007E3D67" w:rsidRDefault="009149F7" w:rsidP="00D53DE0">
      <w:pPr>
        <w:pStyle w:val="Bodytext"/>
        <w:keepNext/>
        <w:rPr>
          <w:lang w:eastAsia="cs-CZ"/>
        </w:rPr>
      </w:pPr>
    </w:p>
    <w:p w:rsidR="00400B11" w:rsidRPr="007E3D67" w:rsidRDefault="009149F7" w:rsidP="00400B11">
      <w:pPr>
        <w:pStyle w:val="Bodytext"/>
        <w:keepNext/>
      </w:pPr>
      <w:r w:rsidRPr="007E3D67">
        <w:rPr>
          <w:lang w:eastAsia="cs-CZ"/>
        </w:rPr>
        <w:t>Vzhledem k tomu, že USA je jednou z největších exportních ekonomik světa, přelití těchto negativních jevů do celého světa bylo nevyhnutelné.</w:t>
      </w:r>
      <w:r w:rsidR="00722AD5" w:rsidRPr="007E3D67">
        <w:rPr>
          <w:lang w:eastAsia="cs-CZ"/>
        </w:rPr>
        <w:t xml:space="preserve"> Dopady na českou ekonomiku popsané v</w:t>
      </w:r>
      <w:r w:rsidR="00A37A07">
        <w:rPr>
          <w:lang w:eastAsia="cs-CZ"/>
        </w:rPr>
        <w:t>e</w:t>
      </w:r>
      <w:r w:rsidR="00722AD5" w:rsidRPr="007E3D67">
        <w:rPr>
          <w:lang w:eastAsia="cs-CZ"/>
        </w:rPr>
        <w:t> třetí kapitole byly v korelaci s její</w:t>
      </w:r>
      <w:r w:rsidR="00397230" w:rsidRPr="007E3D67">
        <w:rPr>
          <w:lang w:eastAsia="cs-CZ"/>
        </w:rPr>
        <w:t>mi</w:t>
      </w:r>
      <w:r w:rsidR="00722AD5" w:rsidRPr="007E3D67">
        <w:rPr>
          <w:lang w:eastAsia="cs-CZ"/>
        </w:rPr>
        <w:t xml:space="preserve"> charakteristickými znaky. Ekonomika České republiky je </w:t>
      </w:r>
      <w:r w:rsidR="00397230" w:rsidRPr="007E3D67">
        <w:rPr>
          <w:lang w:eastAsia="cs-CZ"/>
        </w:rPr>
        <w:t>charakterizována jako malá, proexportně orientovaná</w:t>
      </w:r>
      <w:r w:rsidR="00C23843" w:rsidRPr="007E3D67">
        <w:t xml:space="preserve"> </w:t>
      </w:r>
      <w:r w:rsidR="00C23843" w:rsidRPr="007E3D67">
        <w:rPr>
          <w:lang w:eastAsia="cs-CZ"/>
        </w:rPr>
        <w:t>ekonomika</w:t>
      </w:r>
      <w:r w:rsidR="00C23843" w:rsidRPr="007E3D67">
        <w:t xml:space="preserve"> s tržně cenovým koordinačním systémem</w:t>
      </w:r>
      <w:r w:rsidR="00397230" w:rsidRPr="007E3D67">
        <w:rPr>
          <w:lang w:eastAsia="cs-CZ"/>
        </w:rPr>
        <w:t xml:space="preserve">. Z této presumpce plynou projevy globálního ochlazení ekonomiky na stav hospodářství České republiky. Tyto dopady jsou v kapitole separovány do dvou oblastí, do finančního a reálného sektoru. Finanční sektor díky své dlouhodobé stabilitě a nízkému podílu toxických aktiv prošel tímto obdobím zásadně nedotčen. Projevy v reálném sektoru již byly markantnějšího charakteru. </w:t>
      </w:r>
      <w:r w:rsidR="00400B11" w:rsidRPr="007E3D67">
        <w:rPr>
          <w:lang w:eastAsia="cs-CZ"/>
        </w:rPr>
        <w:t xml:space="preserve">Jako tři hlavní důvody zhoršení makroekonomické situace byly identifikovány: </w:t>
      </w:r>
      <w:r w:rsidR="00400B11" w:rsidRPr="007E3D67">
        <w:t>zhoršené úrovni exportu ve spojení s poklesem domácích objednávek, zvyšování ceny produkce (spojené s obavami firem o propad zisků) a tím i míry inflace a pokles spotřebitelské poptávky.</w:t>
      </w:r>
    </w:p>
    <w:p w:rsidR="00AE6AEB" w:rsidRPr="007E3D67" w:rsidRDefault="00AE6AEB" w:rsidP="00400B11">
      <w:pPr>
        <w:pStyle w:val="Bodytext"/>
        <w:keepNext/>
      </w:pPr>
    </w:p>
    <w:p w:rsidR="00AE6AEB" w:rsidRPr="00945C5B" w:rsidRDefault="000462CB" w:rsidP="00400B11">
      <w:pPr>
        <w:pStyle w:val="Bodytext"/>
        <w:keepNext/>
      </w:pPr>
      <w:r w:rsidRPr="007E3D67">
        <w:t xml:space="preserve">Čtvrtá kapitola je dedikována analýze efektivity působení nástrojů hospodářské politiky v kontextu ekonomické krize v České republice. Nejprve je sledované období uvedeno do chronologických a faktických politických souvislostí, kdy některá opatření vznikala na nestabilním politickém pozadí. Poté je uveden chronologický výčet nejsignifikatnějších opatření realizovaných ve sledovaném období, doprovázen analýzou. </w:t>
      </w:r>
      <w:r w:rsidR="00CD3E16" w:rsidRPr="007E3D67">
        <w:t xml:space="preserve">Jako metoda zpracování této kapitoly byla zvolena verbální dedukce. Jako první opatření byl realizován Národní protikrizový plán vlády. Tento plán byl zaměřen na fiskální stimuly, neboli na poptávkovou </w:t>
      </w:r>
      <w:r w:rsidR="00CD3E16" w:rsidRPr="00945C5B">
        <w:t>stranu ekonomiky.</w:t>
      </w:r>
      <w:r w:rsidR="00C23843" w:rsidRPr="00945C5B">
        <w:t xml:space="preserve"> Stimuloval jak domácnosti, tak firmy.</w:t>
      </w:r>
      <w:r w:rsidR="00C50230" w:rsidRPr="00945C5B">
        <w:t xml:space="preserve"> Výdaje státu byly </w:t>
      </w:r>
      <w:r w:rsidR="00C50230" w:rsidRPr="00945C5B">
        <w:lastRenderedPageBreak/>
        <w:t>v tomto případě především skrze snížení příjmové složky státního rozpočtu. Největší podíl na něm měly s</w:t>
      </w:r>
      <w:r w:rsidR="00C50230" w:rsidRPr="00945C5B">
        <w:rPr>
          <w:lang w:eastAsia="cs-CZ"/>
        </w:rPr>
        <w:t xml:space="preserve">levy pro zaměstnavatele na pojistném na sociální zabezpečení a příspěvku na státní politiku zaměstnanosti. Toto opatření </w:t>
      </w:r>
      <w:r w:rsidR="007347FA" w:rsidRPr="00945C5B">
        <w:rPr>
          <w:lang w:eastAsia="cs-CZ"/>
        </w:rPr>
        <w:t>zamezilo markantnějšímu nárůstu nezaměstnanosti v období ochlazující se spotřebitelské poptávky po produktech firem</w:t>
      </w:r>
      <w:r w:rsidR="00C73348" w:rsidRPr="00945C5B">
        <w:rPr>
          <w:lang w:eastAsia="cs-CZ"/>
        </w:rPr>
        <w:t xml:space="preserve">. </w:t>
      </w:r>
      <w:r w:rsidR="00C23843" w:rsidRPr="00945C5B">
        <w:t xml:space="preserve"> Toto opatření lze hodnotit jako </w:t>
      </w:r>
      <w:r w:rsidR="00C50230" w:rsidRPr="00945C5B">
        <w:t xml:space="preserve">v dané situaci úspěšné. </w:t>
      </w:r>
    </w:p>
    <w:p w:rsidR="00C73348" w:rsidRPr="007E3D67" w:rsidRDefault="00C73348" w:rsidP="00400B11">
      <w:pPr>
        <w:pStyle w:val="Bodytext"/>
        <w:keepNext/>
      </w:pPr>
    </w:p>
    <w:p w:rsidR="00C73348" w:rsidRPr="007E3D67" w:rsidRDefault="00C73348" w:rsidP="00C73348">
      <w:r w:rsidRPr="007E3D67">
        <w:t>Dalším sledovaným bodem v chronologickém vývoji reakce hospodářské politiky Č</w:t>
      </w:r>
      <w:r w:rsidR="00132979" w:rsidRPr="007E3D67">
        <w:t>eské republiky</w:t>
      </w:r>
      <w:r w:rsidRPr="007E3D67">
        <w:t xml:space="preserve">, byla Závěrečná zpráva NERV ze září 2009. Ta poukazovala mimo jiné na otázku fiskální udržitelnosti provázanou s potřebou reforem, související jak s příjmovou, tak s výdajovou stranou státního rozpočtu. Tento dokument obsahoval také doporučení uvedená v závěrečné části zprávy, čerpající z aktuálního stavu ekonomiky.  Jako pro českou ekonomiku vitální připomínala také nutnost fiskálních škrtů ve státním rozpočtu, vzhledem k neutěšenému vývoji veřejných financí. </w:t>
      </w:r>
    </w:p>
    <w:p w:rsidR="00C73348" w:rsidRPr="007E3D67" w:rsidRDefault="00C73348" w:rsidP="00C73348"/>
    <w:p w:rsidR="00DF4716" w:rsidRPr="007E3D67" w:rsidRDefault="00111E5A" w:rsidP="00DF4716">
      <w:r w:rsidRPr="007E3D67">
        <w:t>Jako další signifikantní opatření byl vybrán zákon o podpoře hospodářského růstu a sociální stability a jeho potenciální dopady. Tento zákon byl interesantní vzhledem k</w:t>
      </w:r>
      <w:r w:rsidR="00DF4716" w:rsidRPr="007E3D67">
        <w:t> </w:t>
      </w:r>
      <w:r w:rsidRPr="007E3D67">
        <w:t>tomu</w:t>
      </w:r>
      <w:r w:rsidR="00DF4716" w:rsidRPr="007E3D67">
        <w:t>,</w:t>
      </w:r>
      <w:r w:rsidRPr="007E3D67">
        <w:t xml:space="preserve"> co se do něj nakonec nepodařilo odhlasovat, než to co v</w:t>
      </w:r>
      <w:r w:rsidR="00DF4716" w:rsidRPr="007E3D67">
        <w:t xml:space="preserve">e své </w:t>
      </w:r>
      <w:r w:rsidRPr="007E3D67">
        <w:t xml:space="preserve">finální </w:t>
      </w:r>
      <w:r w:rsidR="00DF4716" w:rsidRPr="007E3D67">
        <w:t xml:space="preserve">verzi obsahoval. V průběhu hlasování o tomto zákoně byly patrné odlišné cíle hospodářské politiky, které vyznávají politické strany na české scéně. Jednalo se o rozpor mezi základními společenskými cíli, reprezentovanými populistickými návrhy, bez zjevného pozitivního hospodářského efektu a tradičními ekonomickými cíli, které byly více než na sociální stránku, cíleny na ekonomický růst, resp. stabilizaci. </w:t>
      </w:r>
      <w:r w:rsidR="00955B3E" w:rsidRPr="007E3D67">
        <w:t>Neschválení těchto návrhů lze hodnotit, v korelaci se závěry NERV, jako pozitivní a s důrazem na globální dopad, hospodářsky nenarušující.</w:t>
      </w:r>
    </w:p>
    <w:p w:rsidR="00955B3E" w:rsidRPr="007E3D67" w:rsidRDefault="00955B3E" w:rsidP="00DF4716"/>
    <w:p w:rsidR="00C73348" w:rsidRPr="007E3D67" w:rsidRDefault="00FB4F04" w:rsidP="00C73348">
      <w:r w:rsidRPr="007E3D67">
        <w:t xml:space="preserve">Posledním analyzovaným opatřením </w:t>
      </w:r>
      <w:r w:rsidR="00E55D14" w:rsidRPr="007E3D67">
        <w:t>byl tzv. Janotův úsporný balíček. Předchozí opatření tvůrců hospodářské politiky byla jednoznačně cílena na zmírněn</w:t>
      </w:r>
      <w:r w:rsidR="00FA124B" w:rsidRPr="007E3D67">
        <w:t xml:space="preserve">í dopadů ekonomické krize na </w:t>
      </w:r>
      <w:r w:rsidR="00132979" w:rsidRPr="007E3D67">
        <w:t>Českou republiku</w:t>
      </w:r>
      <w:r w:rsidR="00FA124B" w:rsidRPr="007E3D67">
        <w:t xml:space="preserve">, toto </w:t>
      </w:r>
      <w:r w:rsidR="00E55D14" w:rsidRPr="007E3D67">
        <w:rPr>
          <w:bCs/>
        </w:rPr>
        <w:t>byl</w:t>
      </w:r>
      <w:r w:rsidR="00FA124B" w:rsidRPr="007E3D67">
        <w:rPr>
          <w:bCs/>
        </w:rPr>
        <w:t>o</w:t>
      </w:r>
      <w:r w:rsidR="00E55D14" w:rsidRPr="007E3D67">
        <w:rPr>
          <w:bCs/>
        </w:rPr>
        <w:t xml:space="preserve"> cílen</w:t>
      </w:r>
      <w:r w:rsidR="00FA124B" w:rsidRPr="007E3D67">
        <w:rPr>
          <w:bCs/>
        </w:rPr>
        <w:t>o</w:t>
      </w:r>
      <w:r w:rsidR="00E55D14" w:rsidRPr="007E3D67">
        <w:rPr>
          <w:bCs/>
        </w:rPr>
        <w:t xml:space="preserve"> na konsolidaci veřejných financí.</w:t>
      </w:r>
      <w:r w:rsidR="005B4CE2" w:rsidRPr="007E3D67">
        <w:rPr>
          <w:bCs/>
        </w:rPr>
        <w:t xml:space="preserve"> Přestože, finální forma tohoto opatření, která prošla celým schvalovacím legislativním procesem, </w:t>
      </w:r>
      <w:r w:rsidR="005B4CE2" w:rsidRPr="007E3D67">
        <w:t>byla ve svých výdajových škrtech umírněna, přinesla nesporný pozitivní efekt pro stav veřejných financí Č</w:t>
      </w:r>
      <w:r w:rsidR="00132979" w:rsidRPr="007E3D67">
        <w:t>eské republiky</w:t>
      </w:r>
      <w:r w:rsidR="005B4CE2" w:rsidRPr="007E3D67">
        <w:t xml:space="preserve">. Vzhledem k malému časovému odstupu tvorby této práce a </w:t>
      </w:r>
      <w:r w:rsidR="005B4CE2" w:rsidRPr="007E3D67">
        <w:lastRenderedPageBreak/>
        <w:t xml:space="preserve">uvedením v platnost tohoto opatření, bylo v práci nutné omezit analýzu projevů na selektivní segmenty ekonomiky. </w:t>
      </w:r>
    </w:p>
    <w:p w:rsidR="00997890" w:rsidRPr="007E3D67" w:rsidRDefault="00997890" w:rsidP="00C73348"/>
    <w:p w:rsidR="00997890" w:rsidRPr="007E3D67" w:rsidRDefault="00997890" w:rsidP="00C73348">
      <w:r w:rsidRPr="007E3D67">
        <w:t xml:space="preserve">Časové zpoždění souvisí i s položenou otázkou v úvodu této kapitoly. Díky tomuto efektu </w:t>
      </w:r>
      <w:r w:rsidR="009F302F" w:rsidRPr="007E3D67">
        <w:t>lze postulovat pouze omezeně, že opatření, která byla zavedena v počátcích krize</w:t>
      </w:r>
      <w:r w:rsidR="001A4345" w:rsidRPr="007E3D67">
        <w:t>,</w:t>
      </w:r>
      <w:r w:rsidR="009F302F" w:rsidRPr="007E3D67">
        <w:t xml:space="preserve"> byla odpovídající ekonomické realitě a opatření, jež </w:t>
      </w:r>
      <w:r w:rsidR="001A4345" w:rsidRPr="007E3D67">
        <w:t>přijali</w:t>
      </w:r>
      <w:r w:rsidR="009F302F" w:rsidRPr="007E3D67">
        <w:t xml:space="preserve"> tvůrci hospodářské politiky v období doznívající ekonomické krize</w:t>
      </w:r>
      <w:r w:rsidR="001A4345" w:rsidRPr="007E3D67">
        <w:t xml:space="preserve">, byla </w:t>
      </w:r>
      <w:r w:rsidR="009F302F" w:rsidRPr="007E3D67">
        <w:t xml:space="preserve">z dostupných aktuálních dat dostatečná, implikující politický </w:t>
      </w:r>
      <w:r w:rsidR="0094388F" w:rsidRPr="007E3D67">
        <w:t>konsensus</w:t>
      </w:r>
      <w:r w:rsidR="009F302F" w:rsidRPr="007E3D67">
        <w:t xml:space="preserve">. </w:t>
      </w:r>
    </w:p>
    <w:p w:rsidR="00C73348" w:rsidRPr="007E3D67" w:rsidRDefault="00C73348" w:rsidP="00400B11">
      <w:pPr>
        <w:pStyle w:val="Bodytext"/>
        <w:keepNext/>
      </w:pPr>
    </w:p>
    <w:p w:rsidR="001A4345" w:rsidRPr="007E3D67" w:rsidRDefault="00C73348" w:rsidP="00400B11">
      <w:pPr>
        <w:pStyle w:val="Bodytext"/>
        <w:keepNext/>
      </w:pPr>
      <w:r w:rsidRPr="007E3D67">
        <w:t xml:space="preserve"> </w:t>
      </w:r>
    </w:p>
    <w:p w:rsidR="001A4345" w:rsidRPr="007E3D67" w:rsidRDefault="001A4345">
      <w:pPr>
        <w:spacing w:line="240" w:lineRule="auto"/>
        <w:jc w:val="left"/>
        <w:rPr>
          <w:color w:val="000000"/>
        </w:rPr>
      </w:pPr>
      <w:r w:rsidRPr="007E3D67">
        <w:br w:type="page"/>
      </w:r>
    </w:p>
    <w:p w:rsidR="00C73348" w:rsidRPr="007E3D67" w:rsidRDefault="001A4345" w:rsidP="001A4345">
      <w:pPr>
        <w:pStyle w:val="Nadpis1"/>
        <w:numPr>
          <w:ilvl w:val="0"/>
          <w:numId w:val="0"/>
        </w:numPr>
        <w:ind w:left="432"/>
        <w:rPr>
          <w:lang w:val="cs-CZ" w:eastAsia="cs-CZ"/>
        </w:rPr>
      </w:pPr>
      <w:bookmarkStart w:id="288" w:name="_Toc279696238"/>
      <w:r w:rsidRPr="007E3D67">
        <w:rPr>
          <w:lang w:val="cs-CZ" w:eastAsia="cs-CZ"/>
        </w:rPr>
        <w:lastRenderedPageBreak/>
        <w:t>Zdroje</w:t>
      </w:r>
      <w:bookmarkEnd w:id="288"/>
    </w:p>
    <w:p w:rsidR="001A4345" w:rsidRPr="004F33F5" w:rsidRDefault="001A4345" w:rsidP="001A4345">
      <w:pPr>
        <w:rPr>
          <w:lang w:eastAsia="cs-CZ"/>
        </w:rPr>
      </w:pPr>
      <w:r w:rsidRPr="004F33F5">
        <w:rPr>
          <w:lang w:eastAsia="cs-CZ"/>
        </w:rPr>
        <w:t>Literární zdroje:</w:t>
      </w:r>
    </w:p>
    <w:p w:rsidR="001F1AF6" w:rsidRDefault="001F1AF6" w:rsidP="001F1AF6">
      <w:pPr>
        <w:autoSpaceDE w:val="0"/>
        <w:autoSpaceDN w:val="0"/>
        <w:adjustRightInd w:val="0"/>
        <w:spacing w:line="240" w:lineRule="auto"/>
        <w:jc w:val="left"/>
        <w:rPr>
          <w:rFonts w:ascii="Arial" w:hAnsi="Arial" w:cs="Arial"/>
          <w:sz w:val="22"/>
          <w:szCs w:val="22"/>
        </w:rPr>
      </w:pPr>
    </w:p>
    <w:p w:rsidR="001A4345" w:rsidRDefault="00A143E9" w:rsidP="001A4345">
      <w:pPr>
        <w:rPr>
          <w:lang w:eastAsia="cs-CZ"/>
        </w:rPr>
      </w:pPr>
      <w:r w:rsidRPr="00A143E9">
        <w:rPr>
          <w:lang w:eastAsia="cs-CZ"/>
        </w:rPr>
        <w:t xml:space="preserve">GÄRTNER, M., </w:t>
      </w:r>
      <w:r w:rsidRPr="001F1AF6">
        <w:rPr>
          <w:i/>
          <w:lang w:eastAsia="cs-CZ"/>
        </w:rPr>
        <w:t>Macroeconomics</w:t>
      </w:r>
      <w:r w:rsidRPr="00A143E9">
        <w:rPr>
          <w:lang w:eastAsia="cs-CZ"/>
        </w:rPr>
        <w:t xml:space="preserve">. </w:t>
      </w:r>
      <w:r w:rsidR="00DA71D7">
        <w:rPr>
          <w:lang w:eastAsia="cs-CZ"/>
        </w:rPr>
        <w:t xml:space="preserve">3rd ed. </w:t>
      </w:r>
      <w:r w:rsidRPr="00A143E9">
        <w:rPr>
          <w:lang w:eastAsia="cs-CZ"/>
        </w:rPr>
        <w:t>New York: Prentice Hall, 2006. 506 s. ISBN 0-273-70460-5.</w:t>
      </w:r>
    </w:p>
    <w:p w:rsidR="009E347F" w:rsidRDefault="009E347F" w:rsidP="001A4345">
      <w:pPr>
        <w:rPr>
          <w:lang w:eastAsia="cs-CZ"/>
        </w:rPr>
      </w:pPr>
    </w:p>
    <w:p w:rsidR="001F1AF6" w:rsidRDefault="001F1AF6" w:rsidP="001A4345">
      <w:pPr>
        <w:rPr>
          <w:lang w:eastAsia="cs-CZ"/>
        </w:rPr>
      </w:pPr>
      <w:r>
        <w:rPr>
          <w:lang w:eastAsia="cs-CZ"/>
        </w:rPr>
        <w:t>HOLMAN, R</w:t>
      </w:r>
      <w:r w:rsidR="00781ECF">
        <w:rPr>
          <w:lang w:eastAsia="cs-CZ"/>
        </w:rPr>
        <w:t>.</w:t>
      </w:r>
      <w:r>
        <w:rPr>
          <w:lang w:eastAsia="cs-CZ"/>
        </w:rPr>
        <w:t xml:space="preserve">, </w:t>
      </w:r>
      <w:r w:rsidRPr="001F1AF6">
        <w:rPr>
          <w:i/>
          <w:lang w:eastAsia="cs-CZ"/>
        </w:rPr>
        <w:t>Ekonomie</w:t>
      </w:r>
      <w:r w:rsidR="009C762D">
        <w:rPr>
          <w:lang w:eastAsia="cs-CZ"/>
        </w:rPr>
        <w:t>.</w:t>
      </w:r>
      <w:r>
        <w:rPr>
          <w:lang w:eastAsia="cs-CZ"/>
        </w:rPr>
        <w:t xml:space="preserve"> 3. vyd. Praha:</w:t>
      </w:r>
      <w:r w:rsidRPr="001F1AF6">
        <w:rPr>
          <w:rFonts w:ascii="Tahoma" w:hAnsi="Tahoma" w:cs="Tahoma"/>
          <w:color w:val="000000"/>
          <w:sz w:val="20"/>
        </w:rPr>
        <w:t xml:space="preserve"> </w:t>
      </w:r>
      <w:r w:rsidRPr="001F1AF6">
        <w:rPr>
          <w:lang w:eastAsia="cs-CZ"/>
        </w:rPr>
        <w:t>C.</w:t>
      </w:r>
      <w:r w:rsidR="00512FE0">
        <w:rPr>
          <w:lang w:eastAsia="cs-CZ"/>
        </w:rPr>
        <w:t xml:space="preserve"> </w:t>
      </w:r>
      <w:r w:rsidRPr="001F1AF6">
        <w:rPr>
          <w:lang w:eastAsia="cs-CZ"/>
        </w:rPr>
        <w:t>H. Beck, 2005</w:t>
      </w:r>
      <w:r w:rsidR="00781ECF">
        <w:rPr>
          <w:lang w:eastAsia="cs-CZ"/>
        </w:rPr>
        <w:t>. 709 s</w:t>
      </w:r>
      <w:r w:rsidR="005F45A2">
        <w:rPr>
          <w:lang w:eastAsia="cs-CZ"/>
        </w:rPr>
        <w:t>.</w:t>
      </w:r>
      <w:r w:rsidR="00781ECF">
        <w:rPr>
          <w:lang w:eastAsia="cs-CZ"/>
        </w:rPr>
        <w:t xml:space="preserve"> ISBN </w:t>
      </w:r>
      <w:r w:rsidR="00781ECF" w:rsidRPr="00781ECF">
        <w:rPr>
          <w:lang w:eastAsia="cs-CZ"/>
        </w:rPr>
        <w:t>80-7179-891-6 </w:t>
      </w:r>
      <w:r w:rsidR="00781ECF">
        <w:rPr>
          <w:lang w:eastAsia="cs-CZ"/>
        </w:rPr>
        <w:t>.</w:t>
      </w:r>
    </w:p>
    <w:p w:rsidR="008043AD" w:rsidRDefault="008043AD" w:rsidP="008043AD">
      <w:pPr>
        <w:rPr>
          <w:lang w:eastAsia="cs-CZ"/>
        </w:rPr>
      </w:pPr>
    </w:p>
    <w:p w:rsidR="008043AD" w:rsidRPr="001E5E7C" w:rsidRDefault="008043AD" w:rsidP="008043AD">
      <w:pPr>
        <w:rPr>
          <w:lang w:eastAsia="cs-CZ"/>
        </w:rPr>
      </w:pPr>
      <w:r w:rsidRPr="001E5E7C">
        <w:rPr>
          <w:lang w:eastAsia="cs-CZ"/>
        </w:rPr>
        <w:t>KLIKOVÁ</w:t>
      </w:r>
      <w:r>
        <w:rPr>
          <w:lang w:eastAsia="cs-CZ"/>
        </w:rPr>
        <w:t>, C</w:t>
      </w:r>
      <w:r w:rsidR="00512FE0">
        <w:rPr>
          <w:lang w:eastAsia="cs-CZ"/>
        </w:rPr>
        <w:t>H.</w:t>
      </w:r>
      <w:r>
        <w:rPr>
          <w:lang w:eastAsia="cs-CZ"/>
        </w:rPr>
        <w:t>; KOTLÁN, I.</w:t>
      </w:r>
      <w:r w:rsidR="00512FE0">
        <w:rPr>
          <w:lang w:eastAsia="cs-CZ"/>
        </w:rPr>
        <w:t>,</w:t>
      </w:r>
      <w:r>
        <w:rPr>
          <w:lang w:eastAsia="cs-CZ"/>
        </w:rPr>
        <w:t xml:space="preserve"> </w:t>
      </w:r>
      <w:r>
        <w:rPr>
          <w:i/>
          <w:lang w:eastAsia="cs-CZ"/>
        </w:rPr>
        <w:t>Hospodářská politika</w:t>
      </w:r>
      <w:r>
        <w:rPr>
          <w:lang w:eastAsia="cs-CZ"/>
        </w:rPr>
        <w:t>. 1. vyd. Ostrava: Institut vzdělávání SOKRATES, s.r.o., 2003. 275 s</w:t>
      </w:r>
      <w:r w:rsidR="005F45A2">
        <w:rPr>
          <w:lang w:eastAsia="cs-CZ"/>
        </w:rPr>
        <w:t>.</w:t>
      </w:r>
      <w:r>
        <w:rPr>
          <w:lang w:eastAsia="cs-CZ"/>
        </w:rPr>
        <w:t xml:space="preserve"> ISBN </w:t>
      </w:r>
      <w:r w:rsidRPr="001E5E7C">
        <w:rPr>
          <w:lang w:eastAsia="cs-CZ"/>
        </w:rPr>
        <w:t>80-86572-04-8</w:t>
      </w:r>
      <w:r>
        <w:rPr>
          <w:lang w:eastAsia="cs-CZ"/>
        </w:rPr>
        <w:t>.</w:t>
      </w:r>
    </w:p>
    <w:p w:rsidR="009E347F" w:rsidRDefault="009E347F" w:rsidP="001A4345">
      <w:pPr>
        <w:rPr>
          <w:lang w:eastAsia="cs-CZ"/>
        </w:rPr>
      </w:pPr>
    </w:p>
    <w:p w:rsidR="00F10CC8" w:rsidRPr="00F10CC8" w:rsidRDefault="00F10CC8" w:rsidP="001A4345">
      <w:pPr>
        <w:rPr>
          <w:lang w:eastAsia="cs-CZ"/>
        </w:rPr>
      </w:pPr>
      <w:r>
        <w:rPr>
          <w:lang w:eastAsia="cs-CZ"/>
        </w:rPr>
        <w:t xml:space="preserve">MACH, M., </w:t>
      </w:r>
      <w:r>
        <w:rPr>
          <w:i/>
          <w:lang w:eastAsia="cs-CZ"/>
        </w:rPr>
        <w:t>Makroekonomie II pro magisterské (inženýrské) studium 1. a 2. část</w:t>
      </w:r>
      <w:r>
        <w:rPr>
          <w:lang w:eastAsia="cs-CZ"/>
        </w:rPr>
        <w:t xml:space="preserve">. 3. vyd. Slaný: MELANDRIUM, 2001. 367 s. ISBN 80-86175-18-9. </w:t>
      </w:r>
    </w:p>
    <w:p w:rsidR="00F10CC8" w:rsidRDefault="00F10CC8" w:rsidP="001A4345">
      <w:pPr>
        <w:rPr>
          <w:lang w:eastAsia="cs-CZ"/>
        </w:rPr>
      </w:pPr>
    </w:p>
    <w:p w:rsidR="00781ECF" w:rsidRPr="009C762D" w:rsidRDefault="00781ECF" w:rsidP="001A4345">
      <w:pPr>
        <w:rPr>
          <w:lang w:eastAsia="cs-CZ"/>
        </w:rPr>
      </w:pPr>
      <w:r>
        <w:rPr>
          <w:lang w:eastAsia="cs-CZ"/>
        </w:rPr>
        <w:t>MANKIW, G.</w:t>
      </w:r>
      <w:r w:rsidR="009C762D">
        <w:rPr>
          <w:lang w:eastAsia="cs-CZ"/>
        </w:rPr>
        <w:t>;</w:t>
      </w:r>
      <w:r w:rsidR="009E347F">
        <w:rPr>
          <w:lang w:eastAsia="cs-CZ"/>
        </w:rPr>
        <w:t xml:space="preserve"> </w:t>
      </w:r>
      <w:r w:rsidR="009C762D">
        <w:rPr>
          <w:lang w:eastAsia="cs-CZ"/>
        </w:rPr>
        <w:t>ROMER, D.,</w:t>
      </w:r>
      <w:r w:rsidRPr="009C762D">
        <w:rPr>
          <w:i/>
          <w:lang w:eastAsia="cs-CZ"/>
        </w:rPr>
        <w:t xml:space="preserve"> </w:t>
      </w:r>
      <w:r w:rsidR="009C762D" w:rsidRPr="009C762D">
        <w:rPr>
          <w:bCs/>
          <w:i/>
          <w:lang w:eastAsia="cs-CZ"/>
        </w:rPr>
        <w:t>New Keynesian Economics: Imperfect competition and sticky prices</w:t>
      </w:r>
      <w:r w:rsidR="009C762D">
        <w:rPr>
          <w:bCs/>
          <w:lang w:eastAsia="cs-CZ"/>
        </w:rPr>
        <w:t xml:space="preserve">. 6th ed. </w:t>
      </w:r>
      <w:r w:rsidR="009C762D">
        <w:rPr>
          <w:lang w:eastAsia="cs-CZ"/>
        </w:rPr>
        <w:t>Cambridge: The MIT Press, 1998. 450 s</w:t>
      </w:r>
      <w:r w:rsidR="005F45A2">
        <w:rPr>
          <w:lang w:eastAsia="cs-CZ"/>
        </w:rPr>
        <w:t>.</w:t>
      </w:r>
      <w:r w:rsidR="009C762D">
        <w:rPr>
          <w:lang w:eastAsia="cs-CZ"/>
        </w:rPr>
        <w:t> ISBN 0-262-63134-2.</w:t>
      </w:r>
    </w:p>
    <w:p w:rsidR="00A143E9" w:rsidRDefault="00A143E9" w:rsidP="001A4345">
      <w:pPr>
        <w:rPr>
          <w:lang w:eastAsia="cs-CZ"/>
        </w:rPr>
      </w:pPr>
    </w:p>
    <w:p w:rsidR="00A143E9" w:rsidRDefault="008043AD" w:rsidP="00512FE0">
      <w:pPr>
        <w:rPr>
          <w:lang w:eastAsia="cs-CZ"/>
        </w:rPr>
      </w:pPr>
      <w:r>
        <w:rPr>
          <w:lang w:eastAsia="cs-CZ"/>
        </w:rPr>
        <w:t xml:space="preserve">SLANÝ, A.; ŽÁK, M., </w:t>
      </w:r>
      <w:r w:rsidRPr="008043AD">
        <w:rPr>
          <w:i/>
          <w:lang w:eastAsia="cs-CZ"/>
        </w:rPr>
        <w:t>Hospodářská politika</w:t>
      </w:r>
      <w:r>
        <w:rPr>
          <w:lang w:eastAsia="cs-CZ"/>
        </w:rPr>
        <w:t>. 1. vyd. Praha: C.</w:t>
      </w:r>
      <w:r w:rsidR="00512FE0">
        <w:rPr>
          <w:lang w:eastAsia="cs-CZ"/>
        </w:rPr>
        <w:t xml:space="preserve"> </w:t>
      </w:r>
      <w:r>
        <w:rPr>
          <w:lang w:eastAsia="cs-CZ"/>
        </w:rPr>
        <w:t>H. Beck, 1999. 271 s</w:t>
      </w:r>
      <w:r w:rsidR="005F45A2">
        <w:rPr>
          <w:lang w:eastAsia="cs-CZ"/>
        </w:rPr>
        <w:t>.</w:t>
      </w:r>
      <w:r>
        <w:rPr>
          <w:lang w:eastAsia="cs-CZ"/>
        </w:rPr>
        <w:t> ISBN 80-7179-237-3.</w:t>
      </w:r>
    </w:p>
    <w:p w:rsidR="007F6AFE" w:rsidRDefault="007F6AFE" w:rsidP="00512FE0">
      <w:pPr>
        <w:rPr>
          <w:lang w:eastAsia="cs-CZ"/>
        </w:rPr>
      </w:pPr>
    </w:p>
    <w:p w:rsidR="007F6AFE" w:rsidRPr="007F6AFE" w:rsidRDefault="007F6AFE" w:rsidP="00512FE0">
      <w:pPr>
        <w:rPr>
          <w:lang w:eastAsia="cs-CZ"/>
        </w:rPr>
      </w:pPr>
      <w:r>
        <w:rPr>
          <w:lang w:eastAsia="cs-CZ"/>
        </w:rPr>
        <w:t xml:space="preserve">ZHANG, Wei B., </w:t>
      </w:r>
      <w:r w:rsidRPr="007F6AFE">
        <w:rPr>
          <w:i/>
          <w:lang w:eastAsia="cs-CZ"/>
        </w:rPr>
        <w:t>Economic growth theory: capital, knowledge, and economic structures</w:t>
      </w:r>
      <w:r>
        <w:rPr>
          <w:lang w:eastAsia="cs-CZ"/>
        </w:rPr>
        <w:t>. 1st ed. Hampshire:Ashgate Publishing Limited, 2005. 471 s. ISBN 0-7546-4520-7.</w:t>
      </w:r>
    </w:p>
    <w:p w:rsidR="005F45A2" w:rsidRDefault="005F45A2" w:rsidP="001A4345">
      <w:pPr>
        <w:rPr>
          <w:lang w:eastAsia="cs-CZ"/>
        </w:rPr>
      </w:pPr>
    </w:p>
    <w:p w:rsidR="005F45A2" w:rsidRPr="008043AD" w:rsidRDefault="005F45A2" w:rsidP="001A4345">
      <w:pPr>
        <w:rPr>
          <w:lang w:eastAsia="cs-CZ"/>
        </w:rPr>
      </w:pPr>
      <w:r>
        <w:rPr>
          <w:lang w:eastAsia="cs-CZ"/>
        </w:rPr>
        <w:t>ŽÁK, M</w:t>
      </w:r>
      <w:r w:rsidR="00512FE0">
        <w:rPr>
          <w:lang w:eastAsia="cs-CZ"/>
        </w:rPr>
        <w:t>.</w:t>
      </w:r>
      <w:r>
        <w:rPr>
          <w:lang w:eastAsia="cs-CZ"/>
        </w:rPr>
        <w:t xml:space="preserve">, </w:t>
      </w:r>
      <w:r w:rsidRPr="008043AD">
        <w:rPr>
          <w:i/>
          <w:lang w:eastAsia="cs-CZ"/>
        </w:rPr>
        <w:t>Hospodářská politika</w:t>
      </w:r>
      <w:r>
        <w:rPr>
          <w:lang w:eastAsia="cs-CZ"/>
        </w:rPr>
        <w:t>. 1. vyd. Praha</w:t>
      </w:r>
      <w:r w:rsidRPr="005F45A2">
        <w:rPr>
          <w:lang w:eastAsia="cs-CZ"/>
        </w:rPr>
        <w:t>: Vysoká škola ekonomie a managementu</w:t>
      </w:r>
      <w:r>
        <w:rPr>
          <w:lang w:eastAsia="cs-CZ"/>
        </w:rPr>
        <w:t xml:space="preserve">, 2007. 210 s. ISBN </w:t>
      </w:r>
      <w:r w:rsidRPr="005F45A2">
        <w:rPr>
          <w:lang w:eastAsia="cs-CZ"/>
        </w:rPr>
        <w:t>978-80-86730-04-2</w:t>
      </w:r>
      <w:r>
        <w:rPr>
          <w:lang w:eastAsia="cs-CZ"/>
        </w:rPr>
        <w:t xml:space="preserve">. </w:t>
      </w:r>
    </w:p>
    <w:p w:rsidR="001E5E7C" w:rsidRDefault="001E5E7C" w:rsidP="001A4345">
      <w:pPr>
        <w:rPr>
          <w:lang w:eastAsia="cs-CZ"/>
        </w:rPr>
      </w:pPr>
    </w:p>
    <w:p w:rsidR="001E5E7C" w:rsidRDefault="001E5E7C" w:rsidP="001A4345">
      <w:pPr>
        <w:rPr>
          <w:lang w:eastAsia="cs-CZ"/>
        </w:rPr>
      </w:pPr>
    </w:p>
    <w:p w:rsidR="00C34409" w:rsidRDefault="00C34409" w:rsidP="001A4345">
      <w:pPr>
        <w:rPr>
          <w:lang w:eastAsia="cs-CZ"/>
        </w:rPr>
      </w:pPr>
    </w:p>
    <w:p w:rsidR="00C34409" w:rsidRDefault="00C34409" w:rsidP="001A4345">
      <w:pPr>
        <w:rPr>
          <w:lang w:eastAsia="cs-CZ"/>
        </w:rPr>
      </w:pPr>
    </w:p>
    <w:p w:rsidR="00C34409" w:rsidRDefault="00C34409" w:rsidP="001A4345">
      <w:pPr>
        <w:rPr>
          <w:lang w:eastAsia="cs-CZ"/>
        </w:rPr>
      </w:pPr>
    </w:p>
    <w:p w:rsidR="001A4345" w:rsidRDefault="00C34409" w:rsidP="001A4345">
      <w:pPr>
        <w:rPr>
          <w:lang w:eastAsia="cs-CZ"/>
        </w:rPr>
      </w:pPr>
      <w:r>
        <w:rPr>
          <w:lang w:eastAsia="cs-CZ"/>
        </w:rPr>
        <w:lastRenderedPageBreak/>
        <w:t>Dostupné on-line:</w:t>
      </w:r>
    </w:p>
    <w:p w:rsidR="00773600" w:rsidRDefault="00773600" w:rsidP="00773600">
      <w:pPr>
        <w:rPr>
          <w:lang w:eastAsia="cs-CZ"/>
        </w:rPr>
      </w:pPr>
    </w:p>
    <w:p w:rsidR="00773600" w:rsidRPr="0074211F" w:rsidRDefault="00773600" w:rsidP="00773600">
      <w:pPr>
        <w:rPr>
          <w:i/>
        </w:rPr>
      </w:pPr>
      <w:r w:rsidRPr="0074211F">
        <w:rPr>
          <w:i/>
        </w:rPr>
        <w:t xml:space="preserve">American Housing Survey for the United States </w:t>
      </w:r>
      <w:r w:rsidRPr="0074211F">
        <w:rPr>
          <w:i/>
          <w:lang w:eastAsia="cs-CZ"/>
        </w:rPr>
        <w:t xml:space="preserve">jistotu </w:t>
      </w:r>
      <w:r w:rsidRPr="0074211F">
        <w:rPr>
          <w:lang w:eastAsia="cs-CZ"/>
        </w:rPr>
        <w:t xml:space="preserve">[online]. U.S. Department of Housing and Urban Development, Office of Policy Development and Research, 2009 </w:t>
      </w:r>
      <w:r w:rsidRPr="0074211F">
        <w:rPr>
          <w:lang w:val="en-US"/>
        </w:rPr>
        <w:t>[cit. 2010-02-10], Dostupný z WWW: &lt;</w:t>
      </w:r>
      <w:r w:rsidRPr="0074211F">
        <w:t xml:space="preserve"> </w:t>
      </w:r>
      <w:hyperlink r:id="rId72" w:history="1">
        <w:r w:rsidRPr="0074211F">
          <w:rPr>
            <w:rStyle w:val="Hypertextovodkaz"/>
            <w:rFonts w:eastAsiaTheme="majorEastAsia"/>
            <w:color w:val="auto"/>
            <w:u w:val="none"/>
          </w:rPr>
          <w:t>http://www.census.gov/prod/2008pubs/h150-07.pdf</w:t>
        </w:r>
      </w:hyperlink>
      <w:r w:rsidRPr="0074211F">
        <w:rPr>
          <w:lang w:val="en-US"/>
        </w:rPr>
        <w:t>&gt;.</w:t>
      </w:r>
    </w:p>
    <w:p w:rsidR="00773600" w:rsidRPr="0074211F" w:rsidRDefault="00773600" w:rsidP="006C25C7">
      <w:pPr>
        <w:jc w:val="left"/>
        <w:rPr>
          <w:lang w:eastAsia="cs-CZ"/>
        </w:rPr>
      </w:pPr>
    </w:p>
    <w:p w:rsidR="00F432CD" w:rsidRPr="0074211F" w:rsidRDefault="00C8448D" w:rsidP="006C25C7">
      <w:pPr>
        <w:jc w:val="left"/>
        <w:rPr>
          <w:lang w:eastAsia="cs-CZ"/>
        </w:rPr>
      </w:pPr>
      <w:r w:rsidRPr="0074211F">
        <w:rPr>
          <w:i/>
          <w:lang w:eastAsia="cs-CZ"/>
        </w:rPr>
        <w:t xml:space="preserve">Banky vyčkávají a sází na jistotu </w:t>
      </w:r>
      <w:r w:rsidRPr="0074211F">
        <w:rPr>
          <w:lang w:eastAsia="cs-CZ"/>
        </w:rPr>
        <w:t xml:space="preserve">[online]. </w:t>
      </w:r>
      <w:r w:rsidR="006C25C7" w:rsidRPr="0074211F">
        <w:rPr>
          <w:lang w:eastAsia="cs-CZ"/>
        </w:rPr>
        <w:t>Česká Národní Banka</w:t>
      </w:r>
      <w:r w:rsidRPr="0074211F">
        <w:rPr>
          <w:lang w:eastAsia="cs-CZ"/>
        </w:rPr>
        <w:t xml:space="preserve">, 2009 </w:t>
      </w:r>
      <w:r w:rsidRPr="0074211F">
        <w:t>[cit. 2010-03-11], Dostupný z WWW: &lt;</w:t>
      </w:r>
      <w:hyperlink r:id="rId73" w:history="1">
        <w:r w:rsidRPr="0074211F">
          <w:rPr>
            <w:rStyle w:val="Hypertextovodkaz"/>
            <w:rFonts w:eastAsiaTheme="majorEastAsia"/>
            <w:color w:val="auto"/>
            <w:u w:val="none"/>
          </w:rPr>
          <w:t>http://www.cnb.cz/cs/verejnost/pro_media/clanky_rozhovory/media_2009/cl_09_090630.html</w:t>
        </w:r>
      </w:hyperlink>
      <w:r w:rsidRPr="0074211F">
        <w:t>&gt;.</w:t>
      </w:r>
    </w:p>
    <w:p w:rsidR="00C8448D" w:rsidRPr="0074211F" w:rsidRDefault="00C8448D" w:rsidP="001A4345">
      <w:pPr>
        <w:rPr>
          <w:lang w:eastAsia="cs-CZ"/>
        </w:rPr>
      </w:pPr>
    </w:p>
    <w:p w:rsidR="00F432CD" w:rsidRPr="0074211F" w:rsidRDefault="00F432CD" w:rsidP="001A4345">
      <w:pPr>
        <w:rPr>
          <w:lang w:eastAsia="cs-CZ"/>
        </w:rPr>
      </w:pPr>
      <w:r w:rsidRPr="0074211F">
        <w:rPr>
          <w:i/>
          <w:lang w:eastAsia="cs-CZ"/>
        </w:rPr>
        <w:t xml:space="preserve">Hlavní makroekonomické ukazatele ČR </w:t>
      </w:r>
      <w:r w:rsidRPr="0074211F">
        <w:rPr>
          <w:lang w:eastAsia="cs-CZ"/>
        </w:rPr>
        <w:t xml:space="preserve">[online]. </w:t>
      </w:r>
      <w:r w:rsidR="006C25C7" w:rsidRPr="0074211F">
        <w:t>BusinessInfo.cz</w:t>
      </w:r>
      <w:r w:rsidRPr="0074211F">
        <w:rPr>
          <w:lang w:eastAsia="cs-CZ"/>
        </w:rPr>
        <w:t xml:space="preserve">, 2010 </w:t>
      </w:r>
      <w:r w:rsidRPr="0074211F">
        <w:rPr>
          <w:lang w:val="en-US"/>
        </w:rPr>
        <w:t>[cit. 2010-08-02], Dostupný z WWW: &lt;</w:t>
      </w:r>
      <w:hyperlink r:id="rId74" w:anchor="mirahud" w:history="1">
        <w:r w:rsidRPr="0074211F">
          <w:rPr>
            <w:rStyle w:val="Hypertextovodkaz"/>
            <w:rFonts w:eastAsiaTheme="majorEastAsia"/>
            <w:color w:val="auto"/>
            <w:u w:val="none"/>
          </w:rPr>
          <w:t>http://www.businessinfo.cz/cz/clanek/analyzy-statistiky/hlavni-makroekonomicke-ukazatele-cr/1000431/49089/#mirahud</w:t>
        </w:r>
      </w:hyperlink>
      <w:r w:rsidRPr="0074211F">
        <w:t>&gt;</w:t>
      </w:r>
      <w:r w:rsidR="006C25C7" w:rsidRPr="0074211F">
        <w:t>.</w:t>
      </w:r>
    </w:p>
    <w:p w:rsidR="00F432CD" w:rsidRPr="0074211F" w:rsidRDefault="00F432CD" w:rsidP="001A4345">
      <w:pPr>
        <w:rPr>
          <w:lang w:eastAsia="cs-CZ"/>
        </w:rPr>
      </w:pPr>
    </w:p>
    <w:p w:rsidR="00F432CD" w:rsidRPr="0074211F" w:rsidRDefault="00D63D7A" w:rsidP="00D63D7A">
      <w:r w:rsidRPr="0074211F">
        <w:rPr>
          <w:i/>
          <w:lang w:eastAsia="cs-CZ"/>
        </w:rPr>
        <w:t>Hypoteční krize v USA. Příčiny, průběh, následky</w:t>
      </w:r>
      <w:r w:rsidRPr="0074211F">
        <w:rPr>
          <w:lang w:eastAsia="cs-CZ"/>
        </w:rPr>
        <w:t xml:space="preserve"> [online]. </w:t>
      </w:r>
      <w:r w:rsidR="006C25C7" w:rsidRPr="0074211F">
        <w:rPr>
          <w:lang w:eastAsia="cs-CZ"/>
        </w:rPr>
        <w:t>Euroekonom.cz</w:t>
      </w:r>
      <w:r w:rsidRPr="0074211F">
        <w:rPr>
          <w:lang w:eastAsia="cs-CZ"/>
        </w:rPr>
        <w:t xml:space="preserve">, 2008 [cit. 2010-07-05]. </w:t>
      </w:r>
      <w:r w:rsidRPr="0074211F">
        <w:t>Dostupný z WWW: &lt;</w:t>
      </w:r>
      <w:r w:rsidR="00F432CD" w:rsidRPr="0074211F">
        <w:rPr>
          <w:rStyle w:val="Hypertextovodkaz"/>
          <w:rFonts w:eastAsiaTheme="majorEastAsia"/>
          <w:color w:val="auto"/>
          <w:u w:val="none"/>
        </w:rPr>
        <w:t>http://www.euroekonom.cz/analyzy-clanky.php?type=jz-usa-hypoteky</w:t>
      </w:r>
      <w:r w:rsidRPr="0074211F">
        <w:t>&gt;.</w:t>
      </w:r>
    </w:p>
    <w:p w:rsidR="00D63D7A" w:rsidRPr="0074211F" w:rsidRDefault="00D63D7A" w:rsidP="001A4345">
      <w:pPr>
        <w:rPr>
          <w:i/>
          <w:lang w:eastAsia="cs-CZ"/>
        </w:rPr>
      </w:pPr>
    </w:p>
    <w:p w:rsidR="00A55834" w:rsidRPr="0074211F" w:rsidRDefault="00A55834" w:rsidP="001A4345">
      <w:r w:rsidRPr="0074211F">
        <w:rPr>
          <w:i/>
          <w:lang w:eastAsia="cs-CZ"/>
        </w:rPr>
        <w:t xml:space="preserve">Národní protikrizový plán vlády </w:t>
      </w:r>
      <w:r w:rsidRPr="0074211F">
        <w:rPr>
          <w:lang w:eastAsia="cs-CZ"/>
        </w:rPr>
        <w:t xml:space="preserve">[online]. Praha: Úřad vlády ČR, 2009 </w:t>
      </w:r>
      <w:r w:rsidRPr="0074211F">
        <w:t>[cit. 2010-07-15], Dostupný z WWW: &lt;</w:t>
      </w:r>
      <w:hyperlink r:id="rId75" w:history="1">
        <w:r w:rsidRPr="0074211F">
          <w:rPr>
            <w:rStyle w:val="Hypertextovodkaz"/>
            <w:rFonts w:eastAsiaTheme="majorEastAsia"/>
            <w:color w:val="auto"/>
            <w:u w:val="none"/>
          </w:rPr>
          <w:t>http://www.vlada.cz/assets/media-centrum/predstavujeme/narodni-protikrizovy-plan.pdf</w:t>
        </w:r>
      </w:hyperlink>
      <w:r w:rsidRPr="0074211F">
        <w:t>&gt;</w:t>
      </w:r>
      <w:r w:rsidR="006C25C7" w:rsidRPr="0074211F">
        <w:t>.</w:t>
      </w:r>
    </w:p>
    <w:p w:rsidR="00911B4F" w:rsidRPr="0074211F" w:rsidRDefault="00911B4F" w:rsidP="001A4345"/>
    <w:p w:rsidR="00911B4F" w:rsidRPr="0074211F" w:rsidRDefault="00911B4F" w:rsidP="001A4345">
      <w:r w:rsidRPr="0074211F">
        <w:t>Paretovo optimum. In Wikipedia: otevřená encyklopedie [online]. Los Angeles (California): Wikimedia Foundation, 2001-, strana naposledy edit. 2010-</w:t>
      </w:r>
      <w:r w:rsidR="009F4D63" w:rsidRPr="0074211F">
        <w:t>07</w:t>
      </w:r>
      <w:r w:rsidRPr="0074211F">
        <w:t>-06 [cit. 2010-0</w:t>
      </w:r>
      <w:r w:rsidR="009F4D63" w:rsidRPr="0074211F">
        <w:t>7</w:t>
      </w:r>
      <w:r w:rsidRPr="0074211F">
        <w:t>-</w:t>
      </w:r>
      <w:r w:rsidR="009F4D63" w:rsidRPr="0074211F">
        <w:t>15</w:t>
      </w:r>
      <w:r w:rsidRPr="0074211F">
        <w:t>]. Česká verze. Dostupný z WWW: &lt;</w:t>
      </w:r>
      <w:r w:rsidR="009F4D63" w:rsidRPr="0074211F">
        <w:rPr>
          <w:rStyle w:val="Hypertextovodkaz"/>
          <w:rFonts w:eastAsiaTheme="majorEastAsia"/>
          <w:color w:val="auto"/>
          <w:u w:val="none"/>
        </w:rPr>
        <w:t>http://cs.wikipedia.org/wiki/Paretovo_optimum</w:t>
      </w:r>
      <w:r w:rsidRPr="0074211F">
        <w:t>&gt;.</w:t>
      </w:r>
    </w:p>
    <w:p w:rsidR="00C711E9" w:rsidRPr="0074211F" w:rsidRDefault="00C711E9" w:rsidP="001A4345"/>
    <w:p w:rsidR="00C711E9" w:rsidRPr="0074211F" w:rsidRDefault="00C711E9" w:rsidP="001A4345">
      <w:pPr>
        <w:rPr>
          <w:i/>
        </w:rPr>
      </w:pPr>
      <w:r w:rsidRPr="0074211F">
        <w:rPr>
          <w:i/>
        </w:rPr>
        <w:t xml:space="preserve">Pokladní plnění státního rozpočtu ČR za leden až červenec 2010 </w:t>
      </w:r>
      <w:r w:rsidRPr="0074211F">
        <w:rPr>
          <w:i/>
          <w:lang w:eastAsia="cs-CZ"/>
        </w:rPr>
        <w:t xml:space="preserve">vlády </w:t>
      </w:r>
      <w:r w:rsidRPr="0074211F">
        <w:rPr>
          <w:lang w:eastAsia="cs-CZ"/>
        </w:rPr>
        <w:t xml:space="preserve">[online]. Praha: </w:t>
      </w:r>
      <w:r w:rsidR="00C8448D" w:rsidRPr="0074211F">
        <w:rPr>
          <w:lang w:eastAsia="cs-CZ"/>
        </w:rPr>
        <w:t>Ministerstvo financí ČR</w:t>
      </w:r>
      <w:r w:rsidRPr="0074211F">
        <w:rPr>
          <w:lang w:eastAsia="cs-CZ"/>
        </w:rPr>
        <w:t xml:space="preserve">, 2010 </w:t>
      </w:r>
      <w:r w:rsidRPr="0074211F">
        <w:t xml:space="preserve">[cit. 2010-09-03], Dostupný z WWW: &lt; </w:t>
      </w:r>
      <w:hyperlink r:id="rId76" w:history="1">
        <w:r w:rsidRPr="0074211F">
          <w:rPr>
            <w:rStyle w:val="Hypertextovodkaz"/>
            <w:rFonts w:eastAsiaTheme="majorEastAsia"/>
            <w:color w:val="auto"/>
            <w:u w:val="none"/>
          </w:rPr>
          <w:t>http://www.mfcr.cz/cps/rde/xchg/mfcr/xsl/tiskove_zpravy_56806.html?year=2010</w:t>
        </w:r>
      </w:hyperlink>
      <w:r w:rsidRPr="0074211F">
        <w:t>&gt;</w:t>
      </w:r>
      <w:r w:rsidR="006C25C7" w:rsidRPr="0074211F">
        <w:t>.</w:t>
      </w:r>
    </w:p>
    <w:p w:rsidR="00A55834" w:rsidRPr="0074211F" w:rsidRDefault="00A55834" w:rsidP="001A4345">
      <w:pPr>
        <w:rPr>
          <w:i/>
          <w:lang w:eastAsia="cs-CZ"/>
        </w:rPr>
      </w:pPr>
    </w:p>
    <w:p w:rsidR="009D31F1" w:rsidRPr="0074211F" w:rsidRDefault="009D31F1" w:rsidP="009D31F1">
      <w:pPr>
        <w:rPr>
          <w:lang w:eastAsia="cs-CZ"/>
        </w:rPr>
      </w:pPr>
      <w:r w:rsidRPr="0074211F">
        <w:rPr>
          <w:i/>
        </w:rPr>
        <w:lastRenderedPageBreak/>
        <w:t>Přehled vlád ČR</w:t>
      </w:r>
      <w:r w:rsidRPr="0074211F">
        <w:rPr>
          <w:lang w:eastAsia="cs-CZ"/>
        </w:rPr>
        <w:t xml:space="preserve"> [online]. Praha: Úřad vlády ČR, 2010 </w:t>
      </w:r>
      <w:r w:rsidRPr="0074211F">
        <w:t>[cit. 2010-09-21], Dostupný z WWW:</w:t>
      </w:r>
      <w:r w:rsidR="009567B6" w:rsidRPr="0074211F">
        <w:t xml:space="preserve"> </w:t>
      </w:r>
      <w:r w:rsidRPr="0074211F">
        <w:t>&lt;</w:t>
      </w:r>
      <w:hyperlink r:id="rId77" w:history="1">
        <w:r w:rsidRPr="0074211F">
          <w:rPr>
            <w:rStyle w:val="Hypertextovodkaz"/>
            <w:rFonts w:eastAsiaTheme="majorEastAsia"/>
            <w:color w:val="auto"/>
            <w:u w:val="none"/>
          </w:rPr>
          <w:t>http://www.vlada.cz/cz/clenove-vlady/historie-minulych-vlad/prehled-vlad-cr/default.htm</w:t>
        </w:r>
      </w:hyperlink>
      <w:r w:rsidRPr="0074211F">
        <w:t>&gt;.</w:t>
      </w:r>
    </w:p>
    <w:p w:rsidR="009D31F1" w:rsidRPr="0074211F" w:rsidRDefault="009D31F1" w:rsidP="001A4345">
      <w:pPr>
        <w:rPr>
          <w:i/>
          <w:lang w:eastAsia="cs-CZ"/>
        </w:rPr>
      </w:pPr>
    </w:p>
    <w:p w:rsidR="009567B6" w:rsidRPr="0074211F" w:rsidRDefault="009567B6" w:rsidP="001A4345">
      <w:pPr>
        <w:rPr>
          <w:i/>
          <w:lang w:eastAsia="cs-CZ"/>
        </w:rPr>
      </w:pPr>
    </w:p>
    <w:p w:rsidR="00596475" w:rsidRPr="0074211F" w:rsidRDefault="00C34409" w:rsidP="00FC1122">
      <w:pPr>
        <w:rPr>
          <w:i/>
        </w:rPr>
      </w:pPr>
      <w:r w:rsidRPr="0074211F">
        <w:t>TOBIN</w:t>
      </w:r>
      <w:r w:rsidR="00596475" w:rsidRPr="0074211F">
        <w:t>, J</w:t>
      </w:r>
      <w:r w:rsidR="006C25C7" w:rsidRPr="0074211F">
        <w:t>.</w:t>
      </w:r>
      <w:r w:rsidR="00596475" w:rsidRPr="0074211F">
        <w:rPr>
          <w:i/>
        </w:rPr>
        <w:t xml:space="preserve">, Supply Constraints on Employment and Output: NAIRU versus Natural </w:t>
      </w:r>
    </w:p>
    <w:p w:rsidR="00596475" w:rsidRPr="0074211F" w:rsidRDefault="00596475" w:rsidP="00FC1122">
      <w:r w:rsidRPr="0074211F">
        <w:rPr>
          <w:i/>
        </w:rPr>
        <w:t xml:space="preserve">Rate </w:t>
      </w:r>
      <w:r w:rsidRPr="0074211F">
        <w:rPr>
          <w:lang w:val="en-US"/>
        </w:rPr>
        <w:t xml:space="preserve">[online]. New Haven: Cowles Foundation for Research in Economics at Yale University, </w:t>
      </w:r>
      <w:r w:rsidRPr="0074211F">
        <w:t xml:space="preserve">1997 </w:t>
      </w:r>
      <w:r w:rsidRPr="0074211F">
        <w:rPr>
          <w:lang w:val="en-US"/>
        </w:rPr>
        <w:t>[cit. 2010-05-10], Dostupný z WWW: &lt;</w:t>
      </w:r>
      <w:hyperlink r:id="rId78" w:history="1">
        <w:r w:rsidRPr="0074211F">
          <w:rPr>
            <w:rStyle w:val="Hypertextovodkaz"/>
            <w:rFonts w:eastAsiaTheme="majorEastAsia"/>
            <w:color w:val="auto"/>
            <w:u w:val="none"/>
          </w:rPr>
          <w:t>http://cowles.econ.yale.edu/P/cd/d11b/d1150.pdf</w:t>
        </w:r>
      </w:hyperlink>
      <w:r w:rsidRPr="0074211F">
        <w:rPr>
          <w:lang w:val="en-US"/>
        </w:rPr>
        <w:t>&gt;</w:t>
      </w:r>
      <w:r w:rsidRPr="0074211F">
        <w:t>.</w:t>
      </w:r>
    </w:p>
    <w:p w:rsidR="007A7BB8" w:rsidRPr="0074211F" w:rsidRDefault="007A7BB8" w:rsidP="00FC1122"/>
    <w:p w:rsidR="007A7BB8" w:rsidRPr="0074211F" w:rsidRDefault="007A7BB8" w:rsidP="00FC1122">
      <w:r w:rsidRPr="0074211F">
        <w:rPr>
          <w:bCs/>
          <w:i/>
        </w:rPr>
        <w:t xml:space="preserve">Remarks by Governor Ben S. Bernanke </w:t>
      </w:r>
      <w:r w:rsidRPr="0074211F">
        <w:rPr>
          <w:lang w:val="en-US" w:eastAsia="cs-CZ"/>
        </w:rPr>
        <w:t>[online]</w:t>
      </w:r>
      <w:r w:rsidRPr="0074211F">
        <w:rPr>
          <w:lang w:eastAsia="cs-CZ"/>
        </w:rPr>
        <w:t xml:space="preserve">. St. Louis: The Federal Reserve Board, 2005 </w:t>
      </w:r>
      <w:r w:rsidRPr="0074211F">
        <w:rPr>
          <w:lang w:val="en-US"/>
        </w:rPr>
        <w:t>[cit. 2010-02-12], Dostupný z WWW:</w:t>
      </w:r>
      <w:r w:rsidR="009567B6" w:rsidRPr="0074211F">
        <w:rPr>
          <w:lang w:val="en-US"/>
        </w:rPr>
        <w:t xml:space="preserve"> </w:t>
      </w:r>
      <w:r w:rsidRPr="0074211F">
        <w:rPr>
          <w:lang w:val="en-US"/>
        </w:rPr>
        <w:t>&lt;</w:t>
      </w:r>
      <w:r w:rsidRPr="0074211F">
        <w:t xml:space="preserve"> </w:t>
      </w:r>
      <w:hyperlink r:id="rId79" w:history="1">
        <w:r w:rsidRPr="0074211F">
          <w:rPr>
            <w:rStyle w:val="Hypertextovodkaz"/>
            <w:rFonts w:eastAsiaTheme="majorEastAsia"/>
            <w:color w:val="auto"/>
            <w:u w:val="none"/>
          </w:rPr>
          <w:t>http://www.federalreserve.gov/boarddocs/speeches/2005/200503102/default.htm</w:t>
        </w:r>
      </w:hyperlink>
      <w:r w:rsidRPr="0074211F">
        <w:t>&gt;.</w:t>
      </w:r>
    </w:p>
    <w:p w:rsidR="00647BBE" w:rsidRPr="0074211F" w:rsidRDefault="00647BBE" w:rsidP="00FC1122"/>
    <w:p w:rsidR="009567B6" w:rsidRPr="0074211F" w:rsidRDefault="009567B6" w:rsidP="009567B6">
      <w:pPr>
        <w:pStyle w:val="Bodytext"/>
        <w:keepNext/>
        <w:rPr>
          <w:color w:val="auto"/>
        </w:rPr>
      </w:pPr>
      <w:r w:rsidRPr="0074211F">
        <w:rPr>
          <w:i/>
          <w:color w:val="auto"/>
          <w:lang w:eastAsia="cs-CZ"/>
        </w:rPr>
        <w:t>Troubled Asset Relief Program - TARP</w:t>
      </w:r>
      <w:r w:rsidRPr="0074211F">
        <w:rPr>
          <w:bCs/>
          <w:i/>
          <w:color w:val="auto"/>
        </w:rPr>
        <w:t xml:space="preserve"> </w:t>
      </w:r>
      <w:r w:rsidRPr="0074211F">
        <w:rPr>
          <w:color w:val="auto"/>
          <w:lang w:val="en-US" w:eastAsia="cs-CZ"/>
        </w:rPr>
        <w:t>[online]</w:t>
      </w:r>
      <w:r w:rsidRPr="0074211F">
        <w:rPr>
          <w:color w:val="auto"/>
          <w:lang w:eastAsia="cs-CZ"/>
        </w:rPr>
        <w:t xml:space="preserve">. 2010 </w:t>
      </w:r>
      <w:r w:rsidRPr="0074211F">
        <w:rPr>
          <w:color w:val="auto"/>
          <w:lang w:val="de-DE"/>
        </w:rPr>
        <w:t>[cit. 2010-03-09], Dostupný z WWW: &lt;</w:t>
      </w:r>
      <w:r w:rsidRPr="0074211F">
        <w:rPr>
          <w:rStyle w:val="Hypertextovodkaz"/>
          <w:rFonts w:eastAsiaTheme="majorEastAsia"/>
          <w:color w:val="auto"/>
          <w:u w:val="none"/>
        </w:rPr>
        <w:t>http://www.investopedia.com/terms/t/troubled-asset-relief-program-tarp.asp</w:t>
      </w:r>
      <w:r w:rsidRPr="0074211F">
        <w:rPr>
          <w:color w:val="auto"/>
        </w:rPr>
        <w:t>&gt;.</w:t>
      </w:r>
    </w:p>
    <w:p w:rsidR="009567B6" w:rsidRPr="0074211F" w:rsidRDefault="009567B6" w:rsidP="00FC1122"/>
    <w:p w:rsidR="00647BBE" w:rsidRPr="0074211F" w:rsidRDefault="00647BBE" w:rsidP="00647BBE">
      <w:pPr>
        <w:rPr>
          <w:i/>
          <w:lang w:eastAsia="cs-CZ"/>
        </w:rPr>
      </w:pPr>
      <w:r w:rsidRPr="0074211F">
        <w:rPr>
          <w:i/>
          <w:lang w:eastAsia="cs-CZ"/>
        </w:rPr>
        <w:t>Výsledky zátěžov</w:t>
      </w:r>
      <w:r w:rsidR="00E4049B" w:rsidRPr="0074211F">
        <w:rPr>
          <w:i/>
          <w:lang w:eastAsia="cs-CZ"/>
        </w:rPr>
        <w:t>ých testů bankovního sektoru ČR</w:t>
      </w:r>
      <w:r w:rsidRPr="0074211F">
        <w:rPr>
          <w:i/>
          <w:lang w:eastAsia="cs-CZ"/>
        </w:rPr>
        <w:t xml:space="preserve"> </w:t>
      </w:r>
      <w:r w:rsidRPr="0074211F">
        <w:rPr>
          <w:lang w:eastAsia="cs-CZ"/>
        </w:rPr>
        <w:t xml:space="preserve">[online]. Česká Národní Banka, 2010 </w:t>
      </w:r>
      <w:r w:rsidRPr="0074211F">
        <w:t xml:space="preserve">[cit. 2010-04-12], Dostupný z WWW: &lt; </w:t>
      </w:r>
      <w:hyperlink r:id="rId80" w:history="1">
        <w:r w:rsidRPr="0074211F">
          <w:rPr>
            <w:rStyle w:val="Hypertextovodkaz"/>
            <w:rFonts w:eastAsiaTheme="majorEastAsia"/>
            <w:color w:val="auto"/>
            <w:u w:val="none"/>
          </w:rPr>
          <w:t>http://www.cnb.cz/miranda2/export/sites/www.cnb.cz/cs/financni_stabilita/zatezove_testy/2010/zatezove_testy_vysledky_2009_4q.pdf</w:t>
        </w:r>
      </w:hyperlink>
      <w:r w:rsidRPr="0074211F">
        <w:t>&gt;.</w:t>
      </w:r>
    </w:p>
    <w:p w:rsidR="00647BBE" w:rsidRPr="0074211F" w:rsidRDefault="00647BBE" w:rsidP="00FC1122"/>
    <w:p w:rsidR="00A55834" w:rsidRPr="0074211F" w:rsidRDefault="00A55834" w:rsidP="00A55834">
      <w:pPr>
        <w:rPr>
          <w:lang w:eastAsia="cs-CZ"/>
        </w:rPr>
      </w:pPr>
      <w:r w:rsidRPr="0074211F">
        <w:rPr>
          <w:i/>
          <w:lang w:eastAsia="cs-CZ"/>
        </w:rPr>
        <w:t>Závěrečná zpráva NERV</w:t>
      </w:r>
      <w:r w:rsidRPr="0074211F">
        <w:rPr>
          <w:lang w:eastAsia="cs-CZ"/>
        </w:rPr>
        <w:t xml:space="preserve"> [online]. Praha: Úřad vlády ČR, 2009 </w:t>
      </w:r>
      <w:r w:rsidRPr="0074211F">
        <w:t>[cit. 2010-07-10], Dostupný z WWW: &lt;</w:t>
      </w:r>
      <w:hyperlink r:id="rId81" w:history="1">
        <w:r w:rsidRPr="0074211F">
          <w:rPr>
            <w:rStyle w:val="Hypertextovodkaz"/>
            <w:color w:val="auto"/>
            <w:u w:val="none"/>
            <w:lang w:eastAsia="cs-CZ"/>
          </w:rPr>
          <w:t>http://www.vlada.cz/assets/media-centrum/dulezite-dokumenty/zaverecna-zprava-NERV.pdf</w:t>
        </w:r>
      </w:hyperlink>
      <w:r w:rsidRPr="0074211F">
        <w:rPr>
          <w:lang w:eastAsia="cs-CZ"/>
        </w:rPr>
        <w:t>&gt;</w:t>
      </w:r>
      <w:r w:rsidR="006C25C7" w:rsidRPr="0074211F">
        <w:rPr>
          <w:lang w:eastAsia="cs-CZ"/>
        </w:rPr>
        <w:t>.</w:t>
      </w:r>
    </w:p>
    <w:p w:rsidR="009D31F1" w:rsidRDefault="009D31F1" w:rsidP="00A55834">
      <w:pPr>
        <w:rPr>
          <w:lang w:eastAsia="cs-CZ"/>
        </w:rPr>
      </w:pPr>
    </w:p>
    <w:p w:rsidR="007E3D67" w:rsidRDefault="007E3D67" w:rsidP="007E3D67">
      <w:pPr>
        <w:pStyle w:val="Nadpis1"/>
        <w:numPr>
          <w:ilvl w:val="0"/>
          <w:numId w:val="0"/>
        </w:numPr>
        <w:rPr>
          <w:lang w:val="cs-CZ"/>
        </w:rPr>
      </w:pPr>
      <w:bookmarkStart w:id="289" w:name="_Toc279696239"/>
      <w:r w:rsidRPr="007E3D67">
        <w:rPr>
          <w:lang w:val="cs-CZ"/>
        </w:rPr>
        <w:lastRenderedPageBreak/>
        <w:t>Přílohy</w:t>
      </w:r>
      <w:bookmarkEnd w:id="289"/>
    </w:p>
    <w:p w:rsidR="00225241" w:rsidRDefault="00D82A9D">
      <w:pPr>
        <w:pStyle w:val="Obsah1"/>
        <w:tabs>
          <w:tab w:val="right" w:leader="dot" w:pos="8777"/>
        </w:tabs>
        <w:rPr>
          <w:rFonts w:asciiTheme="minorHAnsi" w:eastAsiaTheme="minorEastAsia" w:hAnsiTheme="minorHAnsi" w:cstheme="minorBidi"/>
          <w:noProof/>
          <w:sz w:val="22"/>
          <w:szCs w:val="22"/>
          <w:lang w:eastAsia="cs-CZ"/>
        </w:rPr>
      </w:pPr>
      <w:r w:rsidRPr="00D82A9D">
        <w:fldChar w:fldCharType="begin"/>
      </w:r>
      <w:r w:rsidR="00C261BC">
        <w:instrText xml:space="preserve"> TOC \t "Caption;1" </w:instrText>
      </w:r>
      <w:r w:rsidRPr="00D82A9D">
        <w:fldChar w:fldCharType="separate"/>
      </w:r>
      <w:r w:rsidR="00225241" w:rsidRPr="002A6B7C">
        <w:rPr>
          <w:noProof/>
        </w:rPr>
        <w:t>Tab. 1: Bilance státního rozpočtu ČR (ve sledovaných měsících v letech 2009, 2010)</w:t>
      </w:r>
      <w:r w:rsidR="00225241">
        <w:rPr>
          <w:noProof/>
        </w:rPr>
        <w:tab/>
      </w:r>
      <w:r>
        <w:rPr>
          <w:noProof/>
        </w:rPr>
        <w:fldChar w:fldCharType="begin"/>
      </w:r>
      <w:r w:rsidR="00225241">
        <w:rPr>
          <w:noProof/>
        </w:rPr>
        <w:instrText xml:space="preserve"> PAGEREF _Toc279696534 \h </w:instrText>
      </w:r>
      <w:r>
        <w:rPr>
          <w:noProof/>
        </w:rPr>
      </w:r>
      <w:r>
        <w:rPr>
          <w:noProof/>
        </w:rPr>
        <w:fldChar w:fldCharType="separate"/>
      </w:r>
      <w:r w:rsidR="00093386">
        <w:rPr>
          <w:noProof/>
        </w:rPr>
        <w:t>107</w:t>
      </w:r>
      <w:r>
        <w:rPr>
          <w:noProof/>
        </w:rPr>
        <w:fldChar w:fldCharType="end"/>
      </w:r>
    </w:p>
    <w:p w:rsidR="00225241" w:rsidRDefault="00225241">
      <w:pPr>
        <w:pStyle w:val="Obsah1"/>
        <w:tabs>
          <w:tab w:val="right" w:leader="dot" w:pos="8777"/>
        </w:tabs>
        <w:rPr>
          <w:rFonts w:asciiTheme="minorHAnsi" w:eastAsiaTheme="minorEastAsia" w:hAnsiTheme="minorHAnsi" w:cstheme="minorBidi"/>
          <w:noProof/>
          <w:sz w:val="22"/>
          <w:szCs w:val="22"/>
          <w:lang w:eastAsia="cs-CZ"/>
        </w:rPr>
      </w:pPr>
      <w:r w:rsidRPr="002A6B7C">
        <w:rPr>
          <w:noProof/>
        </w:rPr>
        <w:t>Tab. 2: Příjmy státního rozpočtu ČR (srovnání ve stejném období 2009 a 2010)</w:t>
      </w:r>
      <w:r>
        <w:rPr>
          <w:noProof/>
        </w:rPr>
        <w:tab/>
      </w:r>
      <w:r w:rsidR="00D82A9D">
        <w:rPr>
          <w:noProof/>
        </w:rPr>
        <w:fldChar w:fldCharType="begin"/>
      </w:r>
      <w:r>
        <w:rPr>
          <w:noProof/>
        </w:rPr>
        <w:instrText xml:space="preserve"> PAGEREF _Toc279696535 \h </w:instrText>
      </w:r>
      <w:r w:rsidR="00D82A9D">
        <w:rPr>
          <w:noProof/>
        </w:rPr>
      </w:r>
      <w:r w:rsidR="00D82A9D">
        <w:rPr>
          <w:noProof/>
        </w:rPr>
        <w:fldChar w:fldCharType="separate"/>
      </w:r>
      <w:r w:rsidR="00093386">
        <w:rPr>
          <w:noProof/>
        </w:rPr>
        <w:t>107</w:t>
      </w:r>
      <w:r w:rsidR="00D82A9D">
        <w:rPr>
          <w:noProof/>
        </w:rPr>
        <w:fldChar w:fldCharType="end"/>
      </w:r>
    </w:p>
    <w:p w:rsidR="00225241" w:rsidRDefault="00225241">
      <w:pPr>
        <w:pStyle w:val="Obsah1"/>
        <w:tabs>
          <w:tab w:val="right" w:leader="dot" w:pos="8777"/>
        </w:tabs>
        <w:rPr>
          <w:rFonts w:asciiTheme="minorHAnsi" w:eastAsiaTheme="minorEastAsia" w:hAnsiTheme="minorHAnsi" w:cstheme="minorBidi"/>
          <w:noProof/>
          <w:sz w:val="22"/>
          <w:szCs w:val="22"/>
          <w:lang w:eastAsia="cs-CZ"/>
        </w:rPr>
      </w:pPr>
      <w:r w:rsidRPr="002A6B7C">
        <w:rPr>
          <w:noProof/>
        </w:rPr>
        <w:t>Tab. 3: Hrubá míra úspor domácností v ČR (v letech 1995-2009)</w:t>
      </w:r>
      <w:r>
        <w:rPr>
          <w:noProof/>
        </w:rPr>
        <w:tab/>
      </w:r>
      <w:r w:rsidR="00D82A9D">
        <w:rPr>
          <w:noProof/>
        </w:rPr>
        <w:fldChar w:fldCharType="begin"/>
      </w:r>
      <w:r>
        <w:rPr>
          <w:noProof/>
        </w:rPr>
        <w:instrText xml:space="preserve"> PAGEREF _Toc279696536 \h </w:instrText>
      </w:r>
      <w:r w:rsidR="00D82A9D">
        <w:rPr>
          <w:noProof/>
        </w:rPr>
      </w:r>
      <w:r w:rsidR="00D82A9D">
        <w:rPr>
          <w:noProof/>
        </w:rPr>
        <w:fldChar w:fldCharType="separate"/>
      </w:r>
      <w:r w:rsidR="00093386">
        <w:rPr>
          <w:noProof/>
        </w:rPr>
        <w:t>107</w:t>
      </w:r>
      <w:r w:rsidR="00D82A9D">
        <w:rPr>
          <w:noProof/>
        </w:rPr>
        <w:fldChar w:fldCharType="end"/>
      </w:r>
    </w:p>
    <w:p w:rsidR="00225241" w:rsidRDefault="00225241">
      <w:pPr>
        <w:pStyle w:val="Obsah1"/>
        <w:tabs>
          <w:tab w:val="right" w:leader="dot" w:pos="8777"/>
        </w:tabs>
        <w:rPr>
          <w:rFonts w:asciiTheme="minorHAnsi" w:eastAsiaTheme="minorEastAsia" w:hAnsiTheme="minorHAnsi" w:cstheme="minorBidi"/>
          <w:noProof/>
          <w:sz w:val="22"/>
          <w:szCs w:val="22"/>
          <w:lang w:eastAsia="cs-CZ"/>
        </w:rPr>
      </w:pPr>
      <w:r w:rsidRPr="002A6B7C">
        <w:rPr>
          <w:noProof/>
        </w:rPr>
        <w:t>Tab. 4: Prodeje osobních automobilů v ČR (srovnání ve stejném období 2009 a 2010)</w:t>
      </w:r>
      <w:r>
        <w:rPr>
          <w:noProof/>
        </w:rPr>
        <w:tab/>
      </w:r>
      <w:r w:rsidR="00D82A9D">
        <w:rPr>
          <w:noProof/>
        </w:rPr>
        <w:fldChar w:fldCharType="begin"/>
      </w:r>
      <w:r>
        <w:rPr>
          <w:noProof/>
        </w:rPr>
        <w:instrText xml:space="preserve"> PAGEREF _Toc279696537 \h </w:instrText>
      </w:r>
      <w:r w:rsidR="00D82A9D">
        <w:rPr>
          <w:noProof/>
        </w:rPr>
      </w:r>
      <w:r w:rsidR="00D82A9D">
        <w:rPr>
          <w:noProof/>
        </w:rPr>
        <w:fldChar w:fldCharType="separate"/>
      </w:r>
      <w:r w:rsidR="00093386">
        <w:rPr>
          <w:noProof/>
        </w:rPr>
        <w:t>107</w:t>
      </w:r>
      <w:r w:rsidR="00D82A9D">
        <w:rPr>
          <w:noProof/>
        </w:rPr>
        <w:fldChar w:fldCharType="end"/>
      </w:r>
    </w:p>
    <w:p w:rsidR="00225241" w:rsidRDefault="00225241">
      <w:pPr>
        <w:pStyle w:val="Obsah1"/>
        <w:tabs>
          <w:tab w:val="right" w:leader="dot" w:pos="8777"/>
        </w:tabs>
        <w:rPr>
          <w:rFonts w:asciiTheme="minorHAnsi" w:eastAsiaTheme="minorEastAsia" w:hAnsiTheme="minorHAnsi" w:cstheme="minorBidi"/>
          <w:noProof/>
          <w:sz w:val="22"/>
          <w:szCs w:val="22"/>
          <w:lang w:eastAsia="cs-CZ"/>
        </w:rPr>
      </w:pPr>
      <w:r w:rsidRPr="002A6B7C">
        <w:rPr>
          <w:noProof/>
        </w:rPr>
        <w:t xml:space="preserve">Tab. 5: </w:t>
      </w:r>
      <w:r w:rsidRPr="002A6B7C">
        <w:rPr>
          <w:noProof/>
          <w:lang w:eastAsia="cs-CZ"/>
        </w:rPr>
        <w:t xml:space="preserve">Meziroční srovnání celostátního inkasa daní v ČR </w:t>
      </w:r>
      <w:r w:rsidRPr="002A6B7C">
        <w:rPr>
          <w:noProof/>
        </w:rPr>
        <w:t>(srovnání ve stejném období 2009 a 2010)</w:t>
      </w:r>
      <w:r>
        <w:rPr>
          <w:noProof/>
        </w:rPr>
        <w:tab/>
      </w:r>
      <w:r w:rsidR="00D82A9D">
        <w:rPr>
          <w:noProof/>
        </w:rPr>
        <w:fldChar w:fldCharType="begin"/>
      </w:r>
      <w:r>
        <w:rPr>
          <w:noProof/>
        </w:rPr>
        <w:instrText xml:space="preserve"> PAGEREF _Toc279696538 \h </w:instrText>
      </w:r>
      <w:r w:rsidR="00D82A9D">
        <w:rPr>
          <w:noProof/>
        </w:rPr>
      </w:r>
      <w:r w:rsidR="00D82A9D">
        <w:rPr>
          <w:noProof/>
        </w:rPr>
        <w:fldChar w:fldCharType="separate"/>
      </w:r>
      <w:r w:rsidR="00093386">
        <w:rPr>
          <w:noProof/>
        </w:rPr>
        <w:t>107</w:t>
      </w:r>
      <w:r w:rsidR="00D82A9D">
        <w:rPr>
          <w:noProof/>
        </w:rPr>
        <w:fldChar w:fldCharType="end"/>
      </w:r>
    </w:p>
    <w:p w:rsidR="00225241" w:rsidRDefault="00225241">
      <w:pPr>
        <w:pStyle w:val="Obsah1"/>
        <w:tabs>
          <w:tab w:val="right" w:leader="dot" w:pos="8777"/>
        </w:tabs>
        <w:rPr>
          <w:rFonts w:asciiTheme="minorHAnsi" w:eastAsiaTheme="minorEastAsia" w:hAnsiTheme="minorHAnsi" w:cstheme="minorBidi"/>
          <w:noProof/>
          <w:sz w:val="22"/>
          <w:szCs w:val="22"/>
          <w:lang w:eastAsia="cs-CZ"/>
        </w:rPr>
      </w:pPr>
      <w:r w:rsidRPr="002A6B7C">
        <w:rPr>
          <w:noProof/>
        </w:rPr>
        <w:t>Obr. 1: HDP v ČR (v letech 2000-2010, v %)</w:t>
      </w:r>
      <w:r>
        <w:rPr>
          <w:noProof/>
        </w:rPr>
        <w:tab/>
      </w:r>
      <w:r w:rsidR="00D82A9D">
        <w:rPr>
          <w:noProof/>
        </w:rPr>
        <w:fldChar w:fldCharType="begin"/>
      </w:r>
      <w:r>
        <w:rPr>
          <w:noProof/>
        </w:rPr>
        <w:instrText xml:space="preserve"> PAGEREF _Toc279696539 \h </w:instrText>
      </w:r>
      <w:r w:rsidR="00D82A9D">
        <w:rPr>
          <w:noProof/>
        </w:rPr>
      </w:r>
      <w:r w:rsidR="00D82A9D">
        <w:rPr>
          <w:noProof/>
        </w:rPr>
        <w:fldChar w:fldCharType="separate"/>
      </w:r>
      <w:r w:rsidR="00093386">
        <w:rPr>
          <w:noProof/>
        </w:rPr>
        <w:t>107</w:t>
      </w:r>
      <w:r w:rsidR="00D82A9D">
        <w:rPr>
          <w:noProof/>
        </w:rPr>
        <w:fldChar w:fldCharType="end"/>
      </w:r>
    </w:p>
    <w:p w:rsidR="00C261BC" w:rsidRDefault="00D82A9D" w:rsidP="00C261BC">
      <w:pPr>
        <w:pStyle w:val="Nadpis2"/>
        <w:numPr>
          <w:ilvl w:val="0"/>
          <w:numId w:val="0"/>
        </w:numPr>
        <w:ind w:left="576" w:hanging="576"/>
      </w:pPr>
      <w:r>
        <w:fldChar w:fldCharType="end"/>
      </w:r>
    </w:p>
    <w:p w:rsidR="00C261BC" w:rsidRDefault="00C261BC" w:rsidP="00C261BC">
      <w:pPr>
        <w:rPr>
          <w:rFonts w:eastAsiaTheme="majorEastAsia" w:cstheme="majorBidi"/>
          <w:kern w:val="32"/>
          <w:sz w:val="28"/>
        </w:rPr>
      </w:pPr>
      <w:r>
        <w:br w:type="page"/>
      </w:r>
    </w:p>
    <w:p w:rsidR="007E3D67" w:rsidRPr="004E263B" w:rsidRDefault="007E3D67" w:rsidP="004E263B">
      <w:pPr>
        <w:pStyle w:val="Titulek"/>
        <w:rPr>
          <w:b w:val="0"/>
        </w:rPr>
      </w:pPr>
      <w:bookmarkStart w:id="290" w:name="_Toc279696534"/>
      <w:r w:rsidRPr="004E263B">
        <w:rPr>
          <w:b w:val="0"/>
        </w:rPr>
        <w:lastRenderedPageBreak/>
        <w:t xml:space="preserve">Tab. </w:t>
      </w:r>
      <w:r w:rsidR="00C261BC">
        <w:rPr>
          <w:b w:val="0"/>
        </w:rPr>
        <w:t>1</w:t>
      </w:r>
      <w:r w:rsidRPr="004E263B">
        <w:rPr>
          <w:b w:val="0"/>
        </w:rPr>
        <w:t>:</w:t>
      </w:r>
      <w:r w:rsidR="00C23397" w:rsidRPr="004E263B">
        <w:rPr>
          <w:b w:val="0"/>
        </w:rPr>
        <w:t xml:space="preserve"> Bilance státního rozpočtu ČR (ve sledovaných měsících v letech 2009, 2010)</w:t>
      </w:r>
      <w:bookmarkEnd w:id="290"/>
    </w:p>
    <w:tbl>
      <w:tblPr>
        <w:tblW w:w="8340" w:type="dxa"/>
        <w:tblInd w:w="55" w:type="dxa"/>
        <w:tblCellMar>
          <w:left w:w="70" w:type="dxa"/>
          <w:right w:w="70" w:type="dxa"/>
        </w:tblCellMar>
        <w:tblLook w:val="04A0"/>
      </w:tblPr>
      <w:tblGrid>
        <w:gridCol w:w="2560"/>
        <w:gridCol w:w="700"/>
        <w:gridCol w:w="820"/>
        <w:gridCol w:w="820"/>
        <w:gridCol w:w="820"/>
        <w:gridCol w:w="820"/>
        <w:gridCol w:w="820"/>
        <w:gridCol w:w="980"/>
      </w:tblGrid>
      <w:tr w:rsidR="00C23397" w:rsidRPr="00C23397" w:rsidTr="00C23397">
        <w:trPr>
          <w:trHeight w:val="570"/>
        </w:trPr>
        <w:tc>
          <w:tcPr>
            <w:tcW w:w="2560" w:type="dxa"/>
            <w:tcBorders>
              <w:top w:val="single" w:sz="8" w:space="0" w:color="auto"/>
              <w:left w:val="single" w:sz="8" w:space="0" w:color="auto"/>
              <w:bottom w:val="single" w:sz="4" w:space="0" w:color="auto"/>
              <w:right w:val="single" w:sz="4" w:space="0" w:color="auto"/>
            </w:tcBorders>
            <w:shd w:val="clear" w:color="000000" w:fill="8DB4E3"/>
            <w:vAlign w:val="center"/>
            <w:hideMark/>
          </w:tcPr>
          <w:p w:rsidR="00C23397" w:rsidRPr="00C23397" w:rsidRDefault="00C23397" w:rsidP="00C23397">
            <w:pPr>
              <w:spacing w:line="240" w:lineRule="auto"/>
              <w:jc w:val="center"/>
              <w:rPr>
                <w:b/>
                <w:bCs/>
                <w:color w:val="FFFFFF"/>
                <w:sz w:val="22"/>
                <w:szCs w:val="22"/>
                <w:lang w:eastAsia="cs-CZ"/>
              </w:rPr>
            </w:pPr>
            <w:r w:rsidRPr="00C23397">
              <w:rPr>
                <w:b/>
                <w:bCs/>
                <w:color w:val="FFFFFF"/>
                <w:sz w:val="22"/>
                <w:szCs w:val="22"/>
                <w:lang w:eastAsia="cs-CZ"/>
              </w:rPr>
              <w:t>Rok 2010</w:t>
            </w:r>
          </w:p>
        </w:tc>
        <w:tc>
          <w:tcPr>
            <w:tcW w:w="700" w:type="dxa"/>
            <w:tcBorders>
              <w:top w:val="single" w:sz="8" w:space="0" w:color="auto"/>
              <w:left w:val="nil"/>
              <w:bottom w:val="single" w:sz="4" w:space="0" w:color="auto"/>
              <w:right w:val="single" w:sz="4" w:space="0" w:color="auto"/>
            </w:tcBorders>
            <w:shd w:val="clear" w:color="000000" w:fill="8DB4E3"/>
            <w:vAlign w:val="center"/>
            <w:hideMark/>
          </w:tcPr>
          <w:p w:rsidR="00C23397" w:rsidRPr="00C23397" w:rsidRDefault="00C23397" w:rsidP="00C23397">
            <w:pPr>
              <w:spacing w:line="240" w:lineRule="auto"/>
              <w:jc w:val="center"/>
              <w:rPr>
                <w:b/>
                <w:bCs/>
                <w:color w:val="FFFFFF"/>
                <w:sz w:val="22"/>
                <w:szCs w:val="22"/>
                <w:lang w:eastAsia="cs-CZ"/>
              </w:rPr>
            </w:pPr>
            <w:r w:rsidRPr="00C23397">
              <w:rPr>
                <w:b/>
                <w:bCs/>
                <w:color w:val="FFFFFF"/>
                <w:sz w:val="22"/>
                <w:szCs w:val="22"/>
                <w:lang w:eastAsia="cs-CZ"/>
              </w:rPr>
              <w:t>leden</w:t>
            </w:r>
          </w:p>
        </w:tc>
        <w:tc>
          <w:tcPr>
            <w:tcW w:w="820" w:type="dxa"/>
            <w:tcBorders>
              <w:top w:val="single" w:sz="8" w:space="0" w:color="auto"/>
              <w:left w:val="nil"/>
              <w:bottom w:val="single" w:sz="4" w:space="0" w:color="auto"/>
              <w:right w:val="single" w:sz="4" w:space="0" w:color="auto"/>
            </w:tcBorders>
            <w:shd w:val="clear" w:color="000000" w:fill="8DB4E3"/>
            <w:vAlign w:val="center"/>
            <w:hideMark/>
          </w:tcPr>
          <w:p w:rsidR="00C23397" w:rsidRPr="00C23397" w:rsidRDefault="00C23397" w:rsidP="00C23397">
            <w:pPr>
              <w:spacing w:line="240" w:lineRule="auto"/>
              <w:jc w:val="center"/>
              <w:rPr>
                <w:b/>
                <w:bCs/>
                <w:color w:val="FFFFFF"/>
                <w:sz w:val="22"/>
                <w:szCs w:val="22"/>
                <w:lang w:eastAsia="cs-CZ"/>
              </w:rPr>
            </w:pPr>
            <w:r w:rsidRPr="00C23397">
              <w:rPr>
                <w:b/>
                <w:bCs/>
                <w:color w:val="FFFFFF"/>
                <w:sz w:val="22"/>
                <w:szCs w:val="22"/>
                <w:lang w:eastAsia="cs-CZ"/>
              </w:rPr>
              <w:t>únor</w:t>
            </w:r>
          </w:p>
        </w:tc>
        <w:tc>
          <w:tcPr>
            <w:tcW w:w="820" w:type="dxa"/>
            <w:tcBorders>
              <w:top w:val="single" w:sz="8" w:space="0" w:color="auto"/>
              <w:left w:val="nil"/>
              <w:bottom w:val="single" w:sz="4" w:space="0" w:color="auto"/>
              <w:right w:val="single" w:sz="4" w:space="0" w:color="auto"/>
            </w:tcBorders>
            <w:shd w:val="clear" w:color="000000" w:fill="8DB4E3"/>
            <w:vAlign w:val="center"/>
            <w:hideMark/>
          </w:tcPr>
          <w:p w:rsidR="00C23397" w:rsidRPr="00C23397" w:rsidRDefault="00C23397" w:rsidP="00C23397">
            <w:pPr>
              <w:spacing w:line="240" w:lineRule="auto"/>
              <w:jc w:val="center"/>
              <w:rPr>
                <w:b/>
                <w:bCs/>
                <w:color w:val="FFFFFF"/>
                <w:sz w:val="22"/>
                <w:szCs w:val="22"/>
                <w:lang w:eastAsia="cs-CZ"/>
              </w:rPr>
            </w:pPr>
            <w:r w:rsidRPr="00C23397">
              <w:rPr>
                <w:b/>
                <w:bCs/>
                <w:color w:val="FFFFFF"/>
                <w:sz w:val="22"/>
                <w:szCs w:val="22"/>
                <w:lang w:eastAsia="cs-CZ"/>
              </w:rPr>
              <w:t>březen</w:t>
            </w:r>
          </w:p>
        </w:tc>
        <w:tc>
          <w:tcPr>
            <w:tcW w:w="820" w:type="dxa"/>
            <w:tcBorders>
              <w:top w:val="single" w:sz="8" w:space="0" w:color="auto"/>
              <w:left w:val="nil"/>
              <w:bottom w:val="single" w:sz="4" w:space="0" w:color="auto"/>
              <w:right w:val="single" w:sz="4" w:space="0" w:color="auto"/>
            </w:tcBorders>
            <w:shd w:val="clear" w:color="000000" w:fill="8DB4E3"/>
            <w:vAlign w:val="center"/>
            <w:hideMark/>
          </w:tcPr>
          <w:p w:rsidR="00C23397" w:rsidRPr="00C23397" w:rsidRDefault="00C23397" w:rsidP="00C23397">
            <w:pPr>
              <w:spacing w:line="240" w:lineRule="auto"/>
              <w:jc w:val="center"/>
              <w:rPr>
                <w:b/>
                <w:bCs/>
                <w:color w:val="FFFFFF"/>
                <w:sz w:val="22"/>
                <w:szCs w:val="22"/>
                <w:lang w:eastAsia="cs-CZ"/>
              </w:rPr>
            </w:pPr>
            <w:r w:rsidRPr="00C23397">
              <w:rPr>
                <w:b/>
                <w:bCs/>
                <w:color w:val="FFFFFF"/>
                <w:sz w:val="22"/>
                <w:szCs w:val="22"/>
                <w:lang w:eastAsia="cs-CZ"/>
              </w:rPr>
              <w:t>duben</w:t>
            </w:r>
          </w:p>
        </w:tc>
        <w:tc>
          <w:tcPr>
            <w:tcW w:w="820" w:type="dxa"/>
            <w:tcBorders>
              <w:top w:val="single" w:sz="8" w:space="0" w:color="auto"/>
              <w:left w:val="nil"/>
              <w:bottom w:val="single" w:sz="4" w:space="0" w:color="auto"/>
              <w:right w:val="single" w:sz="4" w:space="0" w:color="auto"/>
            </w:tcBorders>
            <w:shd w:val="clear" w:color="000000" w:fill="8DB4E3"/>
            <w:vAlign w:val="center"/>
            <w:hideMark/>
          </w:tcPr>
          <w:p w:rsidR="00C23397" w:rsidRPr="00C23397" w:rsidRDefault="00C23397" w:rsidP="00C23397">
            <w:pPr>
              <w:spacing w:line="240" w:lineRule="auto"/>
              <w:jc w:val="center"/>
              <w:rPr>
                <w:b/>
                <w:bCs/>
                <w:color w:val="FFFFFF"/>
                <w:sz w:val="22"/>
                <w:szCs w:val="22"/>
                <w:lang w:eastAsia="cs-CZ"/>
              </w:rPr>
            </w:pPr>
            <w:r w:rsidRPr="00C23397">
              <w:rPr>
                <w:b/>
                <w:bCs/>
                <w:color w:val="FFFFFF"/>
                <w:sz w:val="22"/>
                <w:szCs w:val="22"/>
                <w:lang w:eastAsia="cs-CZ"/>
              </w:rPr>
              <w:t>květen</w:t>
            </w:r>
          </w:p>
        </w:tc>
        <w:tc>
          <w:tcPr>
            <w:tcW w:w="820" w:type="dxa"/>
            <w:tcBorders>
              <w:top w:val="single" w:sz="8" w:space="0" w:color="auto"/>
              <w:left w:val="nil"/>
              <w:bottom w:val="single" w:sz="4" w:space="0" w:color="auto"/>
              <w:right w:val="single" w:sz="4" w:space="0" w:color="auto"/>
            </w:tcBorders>
            <w:shd w:val="clear" w:color="000000" w:fill="8DB4E3"/>
            <w:vAlign w:val="center"/>
            <w:hideMark/>
          </w:tcPr>
          <w:p w:rsidR="00C23397" w:rsidRPr="00C23397" w:rsidRDefault="00C23397" w:rsidP="00C23397">
            <w:pPr>
              <w:spacing w:line="240" w:lineRule="auto"/>
              <w:jc w:val="center"/>
              <w:rPr>
                <w:b/>
                <w:bCs/>
                <w:color w:val="FFFFFF"/>
                <w:sz w:val="22"/>
                <w:szCs w:val="22"/>
                <w:lang w:eastAsia="cs-CZ"/>
              </w:rPr>
            </w:pPr>
            <w:r w:rsidRPr="00C23397">
              <w:rPr>
                <w:b/>
                <w:bCs/>
                <w:color w:val="FFFFFF"/>
                <w:sz w:val="22"/>
                <w:szCs w:val="22"/>
                <w:lang w:eastAsia="cs-CZ"/>
              </w:rPr>
              <w:t>červen</w:t>
            </w:r>
          </w:p>
        </w:tc>
        <w:tc>
          <w:tcPr>
            <w:tcW w:w="980" w:type="dxa"/>
            <w:tcBorders>
              <w:top w:val="single" w:sz="8" w:space="0" w:color="auto"/>
              <w:left w:val="nil"/>
              <w:bottom w:val="single" w:sz="4" w:space="0" w:color="auto"/>
              <w:right w:val="single" w:sz="8" w:space="0" w:color="auto"/>
            </w:tcBorders>
            <w:shd w:val="clear" w:color="000000" w:fill="8DB4E3"/>
            <w:vAlign w:val="center"/>
            <w:hideMark/>
          </w:tcPr>
          <w:p w:rsidR="00C23397" w:rsidRPr="00C23397" w:rsidRDefault="00C23397" w:rsidP="00C23397">
            <w:pPr>
              <w:spacing w:line="240" w:lineRule="auto"/>
              <w:jc w:val="center"/>
              <w:rPr>
                <w:b/>
                <w:bCs/>
                <w:color w:val="FFFFFF"/>
                <w:sz w:val="22"/>
                <w:szCs w:val="22"/>
                <w:lang w:eastAsia="cs-CZ"/>
              </w:rPr>
            </w:pPr>
            <w:r w:rsidRPr="00C23397">
              <w:rPr>
                <w:b/>
                <w:bCs/>
                <w:color w:val="FFFFFF"/>
                <w:sz w:val="22"/>
                <w:szCs w:val="22"/>
                <w:lang w:eastAsia="cs-CZ"/>
              </w:rPr>
              <w:t>červenec</w:t>
            </w:r>
          </w:p>
        </w:tc>
      </w:tr>
      <w:tr w:rsidR="00C23397" w:rsidRPr="00C23397" w:rsidTr="00C23397">
        <w:trPr>
          <w:trHeight w:val="300"/>
        </w:trPr>
        <w:tc>
          <w:tcPr>
            <w:tcW w:w="2560" w:type="dxa"/>
            <w:tcBorders>
              <w:top w:val="nil"/>
              <w:left w:val="single" w:sz="8" w:space="0" w:color="auto"/>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left"/>
              <w:rPr>
                <w:color w:val="000000"/>
                <w:sz w:val="22"/>
                <w:szCs w:val="22"/>
                <w:lang w:eastAsia="cs-CZ"/>
              </w:rPr>
            </w:pPr>
            <w:r w:rsidRPr="00C23397">
              <w:rPr>
                <w:color w:val="000000"/>
                <w:sz w:val="22"/>
                <w:szCs w:val="22"/>
                <w:lang w:eastAsia="cs-CZ"/>
              </w:rPr>
              <w:t>Příjmy státního rozpočtu</w:t>
            </w:r>
          </w:p>
        </w:tc>
        <w:tc>
          <w:tcPr>
            <w:tcW w:w="70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97,61</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161,96</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249,17</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321,52</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385,93</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507,94</w:t>
            </w:r>
          </w:p>
        </w:tc>
        <w:tc>
          <w:tcPr>
            <w:tcW w:w="980" w:type="dxa"/>
            <w:tcBorders>
              <w:top w:val="nil"/>
              <w:left w:val="nil"/>
              <w:bottom w:val="single" w:sz="4" w:space="0" w:color="auto"/>
              <w:right w:val="single" w:sz="8"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586,57</w:t>
            </w:r>
          </w:p>
        </w:tc>
      </w:tr>
      <w:tr w:rsidR="00C23397" w:rsidRPr="00C23397" w:rsidTr="00C23397">
        <w:trPr>
          <w:trHeight w:val="300"/>
        </w:trPr>
        <w:tc>
          <w:tcPr>
            <w:tcW w:w="2560" w:type="dxa"/>
            <w:tcBorders>
              <w:top w:val="nil"/>
              <w:left w:val="single" w:sz="8" w:space="0" w:color="auto"/>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left"/>
              <w:rPr>
                <w:color w:val="000000"/>
                <w:sz w:val="22"/>
                <w:szCs w:val="22"/>
                <w:lang w:eastAsia="cs-CZ"/>
              </w:rPr>
            </w:pPr>
            <w:r w:rsidRPr="00C23397">
              <w:rPr>
                <w:color w:val="000000"/>
                <w:sz w:val="22"/>
                <w:szCs w:val="22"/>
                <w:lang w:eastAsia="cs-CZ"/>
              </w:rPr>
              <w:t>Výdaje státního rozpočtu</w:t>
            </w:r>
          </w:p>
        </w:tc>
        <w:tc>
          <w:tcPr>
            <w:tcW w:w="70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84,52</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172,56</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295,11</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399,75</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481,28</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583,6</w:t>
            </w:r>
          </w:p>
        </w:tc>
        <w:tc>
          <w:tcPr>
            <w:tcW w:w="980" w:type="dxa"/>
            <w:tcBorders>
              <w:top w:val="nil"/>
              <w:left w:val="nil"/>
              <w:bottom w:val="single" w:sz="4" w:space="0" w:color="auto"/>
              <w:right w:val="single" w:sz="8"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655,58</w:t>
            </w:r>
          </w:p>
        </w:tc>
      </w:tr>
      <w:tr w:rsidR="00C23397" w:rsidRPr="00C23397" w:rsidTr="00C23397">
        <w:trPr>
          <w:trHeight w:val="300"/>
        </w:trPr>
        <w:tc>
          <w:tcPr>
            <w:tcW w:w="2560" w:type="dxa"/>
            <w:tcBorders>
              <w:top w:val="nil"/>
              <w:left w:val="single" w:sz="8" w:space="0" w:color="auto"/>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left"/>
              <w:rPr>
                <w:color w:val="000000"/>
                <w:sz w:val="22"/>
                <w:szCs w:val="22"/>
                <w:lang w:eastAsia="cs-CZ"/>
              </w:rPr>
            </w:pPr>
            <w:r w:rsidRPr="00C23397">
              <w:rPr>
                <w:color w:val="000000"/>
                <w:sz w:val="22"/>
                <w:szCs w:val="22"/>
                <w:lang w:eastAsia="cs-CZ"/>
              </w:rPr>
              <w:t>Bilance státního rozpočtu</w:t>
            </w:r>
          </w:p>
        </w:tc>
        <w:tc>
          <w:tcPr>
            <w:tcW w:w="70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13,09</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-10,6</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-45,94</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-78,23</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-95,36</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-75,66</w:t>
            </w:r>
          </w:p>
        </w:tc>
        <w:tc>
          <w:tcPr>
            <w:tcW w:w="980" w:type="dxa"/>
            <w:tcBorders>
              <w:top w:val="nil"/>
              <w:left w:val="nil"/>
              <w:bottom w:val="single" w:sz="4" w:space="0" w:color="auto"/>
              <w:right w:val="single" w:sz="8"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-69,01</w:t>
            </w:r>
          </w:p>
        </w:tc>
      </w:tr>
      <w:tr w:rsidR="00C23397" w:rsidRPr="00C23397" w:rsidTr="00C23397">
        <w:trPr>
          <w:trHeight w:val="570"/>
        </w:trPr>
        <w:tc>
          <w:tcPr>
            <w:tcW w:w="2560" w:type="dxa"/>
            <w:tcBorders>
              <w:top w:val="nil"/>
              <w:left w:val="single" w:sz="8" w:space="0" w:color="auto"/>
              <w:bottom w:val="single" w:sz="4" w:space="0" w:color="auto"/>
              <w:right w:val="single" w:sz="4" w:space="0" w:color="auto"/>
            </w:tcBorders>
            <w:shd w:val="clear" w:color="000000" w:fill="8DB4E3"/>
            <w:noWrap/>
            <w:vAlign w:val="center"/>
            <w:hideMark/>
          </w:tcPr>
          <w:p w:rsidR="00C23397" w:rsidRPr="00C23397" w:rsidRDefault="00C23397" w:rsidP="00C23397">
            <w:pPr>
              <w:spacing w:line="240" w:lineRule="auto"/>
              <w:jc w:val="center"/>
              <w:rPr>
                <w:b/>
                <w:bCs/>
                <w:color w:val="FFFFFF"/>
                <w:sz w:val="22"/>
                <w:szCs w:val="22"/>
                <w:lang w:eastAsia="cs-CZ"/>
              </w:rPr>
            </w:pPr>
            <w:r w:rsidRPr="00C23397">
              <w:rPr>
                <w:b/>
                <w:bCs/>
                <w:color w:val="FFFFFF"/>
                <w:sz w:val="22"/>
                <w:szCs w:val="22"/>
                <w:lang w:eastAsia="cs-CZ"/>
              </w:rPr>
              <w:t>Rok 2009</w:t>
            </w:r>
          </w:p>
        </w:tc>
        <w:tc>
          <w:tcPr>
            <w:tcW w:w="700" w:type="dxa"/>
            <w:tcBorders>
              <w:top w:val="nil"/>
              <w:left w:val="nil"/>
              <w:bottom w:val="single" w:sz="4" w:space="0" w:color="auto"/>
              <w:right w:val="single" w:sz="4" w:space="0" w:color="auto"/>
            </w:tcBorders>
            <w:shd w:val="clear" w:color="000000" w:fill="8DB4E3"/>
            <w:vAlign w:val="center"/>
            <w:hideMark/>
          </w:tcPr>
          <w:p w:rsidR="00C23397" w:rsidRPr="00C23397" w:rsidRDefault="00C23397" w:rsidP="00C23397">
            <w:pPr>
              <w:spacing w:line="240" w:lineRule="auto"/>
              <w:jc w:val="center"/>
              <w:rPr>
                <w:b/>
                <w:bCs/>
                <w:color w:val="FFFFFF"/>
                <w:sz w:val="22"/>
                <w:szCs w:val="22"/>
                <w:lang w:eastAsia="cs-CZ"/>
              </w:rPr>
            </w:pPr>
            <w:r w:rsidRPr="00C23397">
              <w:rPr>
                <w:b/>
                <w:bCs/>
                <w:color w:val="FFFFFF"/>
                <w:sz w:val="22"/>
                <w:szCs w:val="22"/>
                <w:lang w:eastAsia="cs-CZ"/>
              </w:rPr>
              <w:t>leden</w:t>
            </w:r>
          </w:p>
        </w:tc>
        <w:tc>
          <w:tcPr>
            <w:tcW w:w="820" w:type="dxa"/>
            <w:tcBorders>
              <w:top w:val="nil"/>
              <w:left w:val="nil"/>
              <w:bottom w:val="single" w:sz="4" w:space="0" w:color="auto"/>
              <w:right w:val="single" w:sz="4" w:space="0" w:color="auto"/>
            </w:tcBorders>
            <w:shd w:val="clear" w:color="000000" w:fill="8DB4E3"/>
            <w:vAlign w:val="center"/>
            <w:hideMark/>
          </w:tcPr>
          <w:p w:rsidR="00C23397" w:rsidRPr="00C23397" w:rsidRDefault="00C23397" w:rsidP="00C23397">
            <w:pPr>
              <w:spacing w:line="240" w:lineRule="auto"/>
              <w:jc w:val="center"/>
              <w:rPr>
                <w:b/>
                <w:bCs/>
                <w:color w:val="FFFFFF"/>
                <w:sz w:val="22"/>
                <w:szCs w:val="22"/>
                <w:lang w:eastAsia="cs-CZ"/>
              </w:rPr>
            </w:pPr>
            <w:r w:rsidRPr="00C23397">
              <w:rPr>
                <w:b/>
                <w:bCs/>
                <w:color w:val="FFFFFF"/>
                <w:sz w:val="22"/>
                <w:szCs w:val="22"/>
                <w:lang w:eastAsia="cs-CZ"/>
              </w:rPr>
              <w:t>únor</w:t>
            </w:r>
          </w:p>
        </w:tc>
        <w:tc>
          <w:tcPr>
            <w:tcW w:w="820" w:type="dxa"/>
            <w:tcBorders>
              <w:top w:val="nil"/>
              <w:left w:val="nil"/>
              <w:bottom w:val="single" w:sz="4" w:space="0" w:color="auto"/>
              <w:right w:val="single" w:sz="4" w:space="0" w:color="auto"/>
            </w:tcBorders>
            <w:shd w:val="clear" w:color="000000" w:fill="8DB4E3"/>
            <w:vAlign w:val="center"/>
            <w:hideMark/>
          </w:tcPr>
          <w:p w:rsidR="00C23397" w:rsidRPr="00C23397" w:rsidRDefault="00C23397" w:rsidP="00C23397">
            <w:pPr>
              <w:spacing w:line="240" w:lineRule="auto"/>
              <w:jc w:val="center"/>
              <w:rPr>
                <w:b/>
                <w:bCs/>
                <w:color w:val="FFFFFF"/>
                <w:sz w:val="22"/>
                <w:szCs w:val="22"/>
                <w:lang w:eastAsia="cs-CZ"/>
              </w:rPr>
            </w:pPr>
            <w:r w:rsidRPr="00C23397">
              <w:rPr>
                <w:b/>
                <w:bCs/>
                <w:color w:val="FFFFFF"/>
                <w:sz w:val="22"/>
                <w:szCs w:val="22"/>
                <w:lang w:eastAsia="cs-CZ"/>
              </w:rPr>
              <w:t>březen</w:t>
            </w:r>
          </w:p>
        </w:tc>
        <w:tc>
          <w:tcPr>
            <w:tcW w:w="820" w:type="dxa"/>
            <w:tcBorders>
              <w:top w:val="nil"/>
              <w:left w:val="nil"/>
              <w:bottom w:val="single" w:sz="4" w:space="0" w:color="auto"/>
              <w:right w:val="single" w:sz="4" w:space="0" w:color="auto"/>
            </w:tcBorders>
            <w:shd w:val="clear" w:color="000000" w:fill="8DB4E3"/>
            <w:vAlign w:val="center"/>
            <w:hideMark/>
          </w:tcPr>
          <w:p w:rsidR="00C23397" w:rsidRPr="00C23397" w:rsidRDefault="00C23397" w:rsidP="00C23397">
            <w:pPr>
              <w:spacing w:line="240" w:lineRule="auto"/>
              <w:jc w:val="center"/>
              <w:rPr>
                <w:b/>
                <w:bCs/>
                <w:color w:val="FFFFFF"/>
                <w:sz w:val="22"/>
                <w:szCs w:val="22"/>
                <w:lang w:eastAsia="cs-CZ"/>
              </w:rPr>
            </w:pPr>
            <w:r w:rsidRPr="00C23397">
              <w:rPr>
                <w:b/>
                <w:bCs/>
                <w:color w:val="FFFFFF"/>
                <w:sz w:val="22"/>
                <w:szCs w:val="22"/>
                <w:lang w:eastAsia="cs-CZ"/>
              </w:rPr>
              <w:t>duben</w:t>
            </w:r>
          </w:p>
        </w:tc>
        <w:tc>
          <w:tcPr>
            <w:tcW w:w="820" w:type="dxa"/>
            <w:tcBorders>
              <w:top w:val="nil"/>
              <w:left w:val="nil"/>
              <w:bottom w:val="single" w:sz="4" w:space="0" w:color="auto"/>
              <w:right w:val="single" w:sz="4" w:space="0" w:color="auto"/>
            </w:tcBorders>
            <w:shd w:val="clear" w:color="000000" w:fill="8DB4E3"/>
            <w:vAlign w:val="center"/>
            <w:hideMark/>
          </w:tcPr>
          <w:p w:rsidR="00C23397" w:rsidRPr="00C23397" w:rsidRDefault="00C23397" w:rsidP="00C23397">
            <w:pPr>
              <w:spacing w:line="240" w:lineRule="auto"/>
              <w:jc w:val="center"/>
              <w:rPr>
                <w:b/>
                <w:bCs/>
                <w:color w:val="FFFFFF"/>
                <w:sz w:val="22"/>
                <w:szCs w:val="22"/>
                <w:lang w:eastAsia="cs-CZ"/>
              </w:rPr>
            </w:pPr>
            <w:r w:rsidRPr="00C23397">
              <w:rPr>
                <w:b/>
                <w:bCs/>
                <w:color w:val="FFFFFF"/>
                <w:sz w:val="22"/>
                <w:szCs w:val="22"/>
                <w:lang w:eastAsia="cs-CZ"/>
              </w:rPr>
              <w:t>květen</w:t>
            </w:r>
          </w:p>
        </w:tc>
        <w:tc>
          <w:tcPr>
            <w:tcW w:w="820" w:type="dxa"/>
            <w:tcBorders>
              <w:top w:val="nil"/>
              <w:left w:val="nil"/>
              <w:bottom w:val="single" w:sz="4" w:space="0" w:color="auto"/>
              <w:right w:val="single" w:sz="4" w:space="0" w:color="auto"/>
            </w:tcBorders>
            <w:shd w:val="clear" w:color="000000" w:fill="8DB4E3"/>
            <w:vAlign w:val="center"/>
            <w:hideMark/>
          </w:tcPr>
          <w:p w:rsidR="00C23397" w:rsidRPr="00C23397" w:rsidRDefault="00C23397" w:rsidP="00C23397">
            <w:pPr>
              <w:spacing w:line="240" w:lineRule="auto"/>
              <w:jc w:val="center"/>
              <w:rPr>
                <w:b/>
                <w:bCs/>
                <w:color w:val="FFFFFF"/>
                <w:sz w:val="22"/>
                <w:szCs w:val="22"/>
                <w:lang w:eastAsia="cs-CZ"/>
              </w:rPr>
            </w:pPr>
            <w:r w:rsidRPr="00C23397">
              <w:rPr>
                <w:b/>
                <w:bCs/>
                <w:color w:val="FFFFFF"/>
                <w:sz w:val="22"/>
                <w:szCs w:val="22"/>
                <w:lang w:eastAsia="cs-CZ"/>
              </w:rPr>
              <w:t>červen</w:t>
            </w:r>
          </w:p>
        </w:tc>
        <w:tc>
          <w:tcPr>
            <w:tcW w:w="980" w:type="dxa"/>
            <w:tcBorders>
              <w:top w:val="nil"/>
              <w:left w:val="nil"/>
              <w:bottom w:val="single" w:sz="4" w:space="0" w:color="auto"/>
              <w:right w:val="single" w:sz="8" w:space="0" w:color="auto"/>
            </w:tcBorders>
            <w:shd w:val="clear" w:color="000000" w:fill="8DB4E3"/>
            <w:vAlign w:val="center"/>
            <w:hideMark/>
          </w:tcPr>
          <w:p w:rsidR="00C23397" w:rsidRPr="00C23397" w:rsidRDefault="00C23397" w:rsidP="00C23397">
            <w:pPr>
              <w:spacing w:line="240" w:lineRule="auto"/>
              <w:jc w:val="center"/>
              <w:rPr>
                <w:b/>
                <w:bCs/>
                <w:color w:val="FFFFFF"/>
                <w:sz w:val="22"/>
                <w:szCs w:val="22"/>
                <w:lang w:eastAsia="cs-CZ"/>
              </w:rPr>
            </w:pPr>
            <w:r w:rsidRPr="00C23397">
              <w:rPr>
                <w:b/>
                <w:bCs/>
                <w:color w:val="FFFFFF"/>
                <w:sz w:val="22"/>
                <w:szCs w:val="22"/>
                <w:lang w:eastAsia="cs-CZ"/>
              </w:rPr>
              <w:t>červenec</w:t>
            </w:r>
          </w:p>
        </w:tc>
      </w:tr>
      <w:tr w:rsidR="00C23397" w:rsidRPr="00C23397" w:rsidTr="00C23397">
        <w:trPr>
          <w:trHeight w:val="300"/>
        </w:trPr>
        <w:tc>
          <w:tcPr>
            <w:tcW w:w="2560" w:type="dxa"/>
            <w:tcBorders>
              <w:top w:val="nil"/>
              <w:left w:val="single" w:sz="8" w:space="0" w:color="auto"/>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left"/>
              <w:rPr>
                <w:color w:val="000000"/>
                <w:sz w:val="22"/>
                <w:szCs w:val="22"/>
                <w:lang w:eastAsia="cs-CZ"/>
              </w:rPr>
            </w:pPr>
            <w:r w:rsidRPr="00C23397">
              <w:rPr>
                <w:color w:val="000000"/>
                <w:sz w:val="22"/>
                <w:szCs w:val="22"/>
                <w:lang w:eastAsia="cs-CZ"/>
              </w:rPr>
              <w:t>Příjmy státního rozpočtu</w:t>
            </w:r>
          </w:p>
        </w:tc>
        <w:tc>
          <w:tcPr>
            <w:tcW w:w="70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85,03</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183,74</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271,57</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341,25</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400,03</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506,69</w:t>
            </w:r>
          </w:p>
        </w:tc>
        <w:tc>
          <w:tcPr>
            <w:tcW w:w="980" w:type="dxa"/>
            <w:tcBorders>
              <w:top w:val="nil"/>
              <w:left w:val="nil"/>
              <w:bottom w:val="single" w:sz="4" w:space="0" w:color="auto"/>
              <w:right w:val="single" w:sz="8"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586,8</w:t>
            </w:r>
          </w:p>
        </w:tc>
      </w:tr>
      <w:tr w:rsidR="00C23397" w:rsidRPr="00C23397" w:rsidTr="00C23397">
        <w:trPr>
          <w:trHeight w:val="300"/>
        </w:trPr>
        <w:tc>
          <w:tcPr>
            <w:tcW w:w="2560" w:type="dxa"/>
            <w:tcBorders>
              <w:top w:val="nil"/>
              <w:left w:val="single" w:sz="8" w:space="0" w:color="auto"/>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left"/>
              <w:rPr>
                <w:color w:val="000000"/>
                <w:sz w:val="22"/>
                <w:szCs w:val="22"/>
                <w:lang w:eastAsia="cs-CZ"/>
              </w:rPr>
            </w:pPr>
            <w:r w:rsidRPr="00C23397">
              <w:rPr>
                <w:color w:val="000000"/>
                <w:sz w:val="22"/>
                <w:szCs w:val="22"/>
                <w:lang w:eastAsia="cs-CZ"/>
              </w:rPr>
              <w:t>Výdaje státního rozpočtu</w:t>
            </w:r>
          </w:p>
        </w:tc>
        <w:tc>
          <w:tcPr>
            <w:tcW w:w="70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84,54</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178,35</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273,91</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396,91</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471,44</w:t>
            </w:r>
          </w:p>
        </w:tc>
        <w:tc>
          <w:tcPr>
            <w:tcW w:w="820" w:type="dxa"/>
            <w:tcBorders>
              <w:top w:val="nil"/>
              <w:left w:val="nil"/>
              <w:bottom w:val="single" w:sz="4"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574,95</w:t>
            </w:r>
          </w:p>
        </w:tc>
        <w:tc>
          <w:tcPr>
            <w:tcW w:w="980" w:type="dxa"/>
            <w:tcBorders>
              <w:top w:val="nil"/>
              <w:left w:val="nil"/>
              <w:bottom w:val="single" w:sz="4" w:space="0" w:color="auto"/>
              <w:right w:val="single" w:sz="8"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662,96</w:t>
            </w:r>
          </w:p>
        </w:tc>
      </w:tr>
      <w:tr w:rsidR="00C23397" w:rsidRPr="00C23397" w:rsidTr="00C23397">
        <w:trPr>
          <w:trHeight w:val="315"/>
        </w:trPr>
        <w:tc>
          <w:tcPr>
            <w:tcW w:w="2560" w:type="dxa"/>
            <w:tcBorders>
              <w:top w:val="nil"/>
              <w:left w:val="single" w:sz="8" w:space="0" w:color="auto"/>
              <w:bottom w:val="single" w:sz="8" w:space="0" w:color="auto"/>
              <w:right w:val="single" w:sz="4" w:space="0" w:color="auto"/>
            </w:tcBorders>
            <w:shd w:val="clear" w:color="auto" w:fill="auto"/>
            <w:vAlign w:val="bottom"/>
            <w:hideMark/>
          </w:tcPr>
          <w:p w:rsidR="00C23397" w:rsidRPr="00C23397" w:rsidRDefault="00C23397" w:rsidP="00C23397">
            <w:pPr>
              <w:spacing w:line="240" w:lineRule="auto"/>
              <w:jc w:val="left"/>
              <w:rPr>
                <w:color w:val="000000"/>
                <w:sz w:val="22"/>
                <w:szCs w:val="22"/>
                <w:lang w:eastAsia="cs-CZ"/>
              </w:rPr>
            </w:pPr>
            <w:r w:rsidRPr="00C23397">
              <w:rPr>
                <w:color w:val="000000"/>
                <w:sz w:val="22"/>
                <w:szCs w:val="22"/>
                <w:lang w:eastAsia="cs-CZ"/>
              </w:rPr>
              <w:t>Bilance státního rozpočtu</w:t>
            </w:r>
          </w:p>
        </w:tc>
        <w:tc>
          <w:tcPr>
            <w:tcW w:w="700" w:type="dxa"/>
            <w:tcBorders>
              <w:top w:val="nil"/>
              <w:left w:val="nil"/>
              <w:bottom w:val="single" w:sz="8"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0,48</w:t>
            </w:r>
          </w:p>
        </w:tc>
        <w:tc>
          <w:tcPr>
            <w:tcW w:w="820" w:type="dxa"/>
            <w:tcBorders>
              <w:top w:val="nil"/>
              <w:left w:val="nil"/>
              <w:bottom w:val="single" w:sz="8"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5,4</w:t>
            </w:r>
          </w:p>
        </w:tc>
        <w:tc>
          <w:tcPr>
            <w:tcW w:w="820" w:type="dxa"/>
            <w:tcBorders>
              <w:top w:val="nil"/>
              <w:left w:val="nil"/>
              <w:bottom w:val="single" w:sz="8"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-2,35</w:t>
            </w:r>
          </w:p>
        </w:tc>
        <w:tc>
          <w:tcPr>
            <w:tcW w:w="820" w:type="dxa"/>
            <w:tcBorders>
              <w:top w:val="nil"/>
              <w:left w:val="nil"/>
              <w:bottom w:val="single" w:sz="8"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-55,66</w:t>
            </w:r>
          </w:p>
        </w:tc>
        <w:tc>
          <w:tcPr>
            <w:tcW w:w="820" w:type="dxa"/>
            <w:tcBorders>
              <w:top w:val="nil"/>
              <w:left w:val="nil"/>
              <w:bottom w:val="single" w:sz="8"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-71,41</w:t>
            </w:r>
          </w:p>
        </w:tc>
        <w:tc>
          <w:tcPr>
            <w:tcW w:w="820" w:type="dxa"/>
            <w:tcBorders>
              <w:top w:val="nil"/>
              <w:left w:val="nil"/>
              <w:bottom w:val="single" w:sz="8" w:space="0" w:color="auto"/>
              <w:right w:val="single" w:sz="4"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-68,26</w:t>
            </w:r>
          </w:p>
        </w:tc>
        <w:tc>
          <w:tcPr>
            <w:tcW w:w="980" w:type="dxa"/>
            <w:tcBorders>
              <w:top w:val="nil"/>
              <w:left w:val="nil"/>
              <w:bottom w:val="single" w:sz="8" w:space="0" w:color="auto"/>
              <w:right w:val="single" w:sz="8" w:space="0" w:color="auto"/>
            </w:tcBorders>
            <w:shd w:val="clear" w:color="auto" w:fill="auto"/>
            <w:vAlign w:val="bottom"/>
            <w:hideMark/>
          </w:tcPr>
          <w:p w:rsidR="00C23397" w:rsidRPr="00C23397" w:rsidRDefault="00C23397" w:rsidP="00C23397">
            <w:pPr>
              <w:spacing w:line="240" w:lineRule="auto"/>
              <w:jc w:val="right"/>
              <w:rPr>
                <w:color w:val="000000"/>
                <w:sz w:val="22"/>
                <w:szCs w:val="22"/>
                <w:lang w:eastAsia="cs-CZ"/>
              </w:rPr>
            </w:pPr>
            <w:r w:rsidRPr="00C23397">
              <w:rPr>
                <w:color w:val="000000"/>
                <w:sz w:val="22"/>
                <w:szCs w:val="22"/>
                <w:lang w:eastAsia="cs-CZ"/>
              </w:rPr>
              <w:t>-76,16</w:t>
            </w:r>
          </w:p>
        </w:tc>
      </w:tr>
    </w:tbl>
    <w:p w:rsidR="00C23397" w:rsidRDefault="00C23397" w:rsidP="00C23397">
      <w:pPr>
        <w:rPr>
          <w:i/>
          <w:sz w:val="20"/>
        </w:rPr>
      </w:pPr>
      <w:r w:rsidRPr="007E3D67">
        <w:rPr>
          <w:i/>
          <w:sz w:val="20"/>
        </w:rPr>
        <w:t>Zdroj: Data –</w:t>
      </w:r>
      <w:r w:rsidRPr="007E3D67">
        <w:t xml:space="preserve"> </w:t>
      </w:r>
      <w:r w:rsidRPr="007E3D67">
        <w:rPr>
          <w:i/>
          <w:sz w:val="20"/>
        </w:rPr>
        <w:t>Zdroj: Data – Český statistický úřad,</w:t>
      </w:r>
      <w:r w:rsidRPr="007E3D67">
        <w:t xml:space="preserve"> </w:t>
      </w:r>
      <w:r w:rsidRPr="007E3D67">
        <w:rPr>
          <w:i/>
          <w:sz w:val="20"/>
        </w:rPr>
        <w:t>http://www.czso.cz,</w:t>
      </w:r>
      <w:r w:rsidRPr="007E3D67">
        <w:t xml:space="preserve"> </w:t>
      </w:r>
      <w:r w:rsidRPr="007E3D67">
        <w:rPr>
          <w:i/>
          <w:sz w:val="20"/>
        </w:rPr>
        <w:t>Tabulka: Vlastní konstrukce.</w:t>
      </w:r>
    </w:p>
    <w:p w:rsidR="0061273D" w:rsidRDefault="0061273D" w:rsidP="00C261BC">
      <w:pPr>
        <w:pStyle w:val="Titulek"/>
        <w:rPr>
          <w:b w:val="0"/>
        </w:rPr>
      </w:pPr>
    </w:p>
    <w:p w:rsidR="00C261BC" w:rsidRPr="004E263B" w:rsidRDefault="00C261BC" w:rsidP="00C261BC">
      <w:pPr>
        <w:pStyle w:val="Titulek"/>
        <w:rPr>
          <w:b w:val="0"/>
        </w:rPr>
      </w:pPr>
      <w:bookmarkStart w:id="291" w:name="_Toc279696535"/>
      <w:r w:rsidRPr="004E263B">
        <w:rPr>
          <w:b w:val="0"/>
        </w:rPr>
        <w:t xml:space="preserve">Tab. </w:t>
      </w:r>
      <w:r>
        <w:rPr>
          <w:b w:val="0"/>
        </w:rPr>
        <w:t>2</w:t>
      </w:r>
      <w:r w:rsidRPr="004E263B">
        <w:rPr>
          <w:b w:val="0"/>
        </w:rPr>
        <w:t>: Příjmy státního rozpočtu ČR (srovnání ve stejném období 2009 a 2010)</w:t>
      </w:r>
      <w:bookmarkEnd w:id="291"/>
    </w:p>
    <w:tbl>
      <w:tblPr>
        <w:tblW w:w="6960" w:type="dxa"/>
        <w:tblInd w:w="55" w:type="dxa"/>
        <w:tblCellMar>
          <w:left w:w="70" w:type="dxa"/>
          <w:right w:w="70" w:type="dxa"/>
        </w:tblCellMar>
        <w:tblLook w:val="04A0"/>
      </w:tblPr>
      <w:tblGrid>
        <w:gridCol w:w="3440"/>
        <w:gridCol w:w="1180"/>
        <w:gridCol w:w="1120"/>
        <w:gridCol w:w="1220"/>
      </w:tblGrid>
      <w:tr w:rsidR="00C261BC" w:rsidRPr="00CC1789" w:rsidTr="003F60AB">
        <w:trPr>
          <w:trHeight w:val="630"/>
        </w:trPr>
        <w:tc>
          <w:tcPr>
            <w:tcW w:w="3440" w:type="dxa"/>
            <w:vMerge w:val="restart"/>
            <w:tcBorders>
              <w:top w:val="single" w:sz="8" w:space="0" w:color="auto"/>
              <w:left w:val="single" w:sz="8" w:space="0" w:color="auto"/>
              <w:bottom w:val="single" w:sz="4" w:space="0" w:color="000000"/>
              <w:right w:val="single" w:sz="4" w:space="0" w:color="auto"/>
            </w:tcBorders>
            <w:shd w:val="clear" w:color="000000" w:fill="8DB4E3"/>
            <w:vAlign w:val="center"/>
            <w:hideMark/>
          </w:tcPr>
          <w:p w:rsidR="00C261BC" w:rsidRPr="00CC1789" w:rsidRDefault="00C261BC" w:rsidP="003F60AB">
            <w:pPr>
              <w:spacing w:line="240" w:lineRule="auto"/>
              <w:jc w:val="center"/>
              <w:rPr>
                <w:b/>
                <w:bCs/>
                <w:color w:val="FFFFFF"/>
                <w:sz w:val="22"/>
                <w:szCs w:val="22"/>
                <w:lang w:eastAsia="cs-CZ"/>
              </w:rPr>
            </w:pPr>
            <w:r w:rsidRPr="00CC1789">
              <w:rPr>
                <w:b/>
                <w:bCs/>
                <w:color w:val="FFFFFF"/>
                <w:sz w:val="22"/>
                <w:szCs w:val="22"/>
                <w:lang w:eastAsia="cs-CZ"/>
              </w:rPr>
              <w:t>Příjmy státního rozpočtu</w:t>
            </w:r>
          </w:p>
        </w:tc>
        <w:tc>
          <w:tcPr>
            <w:tcW w:w="1180" w:type="dxa"/>
            <w:tcBorders>
              <w:top w:val="single" w:sz="8" w:space="0" w:color="auto"/>
              <w:left w:val="nil"/>
              <w:bottom w:val="single" w:sz="4" w:space="0" w:color="auto"/>
              <w:right w:val="single" w:sz="4" w:space="0" w:color="auto"/>
            </w:tcBorders>
            <w:shd w:val="clear" w:color="000000" w:fill="8DB4E3"/>
            <w:vAlign w:val="center"/>
            <w:hideMark/>
          </w:tcPr>
          <w:p w:rsidR="00C261BC" w:rsidRPr="00CC1789" w:rsidRDefault="00C261BC" w:rsidP="003F60AB">
            <w:pPr>
              <w:spacing w:line="240" w:lineRule="auto"/>
              <w:jc w:val="center"/>
              <w:rPr>
                <w:b/>
                <w:bCs/>
                <w:color w:val="FFFFFF"/>
                <w:sz w:val="22"/>
                <w:szCs w:val="22"/>
                <w:lang w:eastAsia="cs-CZ"/>
              </w:rPr>
            </w:pPr>
            <w:r w:rsidRPr="00CC1789">
              <w:rPr>
                <w:b/>
                <w:bCs/>
                <w:color w:val="FFFFFF"/>
                <w:sz w:val="22"/>
                <w:szCs w:val="22"/>
                <w:lang w:eastAsia="cs-CZ"/>
              </w:rPr>
              <w:t>2009</w:t>
            </w:r>
          </w:p>
        </w:tc>
        <w:tc>
          <w:tcPr>
            <w:tcW w:w="2340" w:type="dxa"/>
            <w:gridSpan w:val="2"/>
            <w:tcBorders>
              <w:top w:val="single" w:sz="8" w:space="0" w:color="auto"/>
              <w:left w:val="nil"/>
              <w:bottom w:val="single" w:sz="4" w:space="0" w:color="auto"/>
              <w:right w:val="single" w:sz="8" w:space="0" w:color="000000"/>
            </w:tcBorders>
            <w:shd w:val="clear" w:color="000000" w:fill="8DB4E3"/>
            <w:vAlign w:val="center"/>
            <w:hideMark/>
          </w:tcPr>
          <w:p w:rsidR="00C261BC" w:rsidRPr="00CC1789" w:rsidRDefault="00C261BC" w:rsidP="003F60AB">
            <w:pPr>
              <w:spacing w:line="240" w:lineRule="auto"/>
              <w:jc w:val="center"/>
              <w:rPr>
                <w:b/>
                <w:bCs/>
                <w:color w:val="FFFFFF"/>
                <w:sz w:val="22"/>
                <w:szCs w:val="22"/>
                <w:lang w:eastAsia="cs-CZ"/>
              </w:rPr>
            </w:pPr>
            <w:r w:rsidRPr="00CC1789">
              <w:rPr>
                <w:b/>
                <w:bCs/>
                <w:color w:val="FFFFFF"/>
                <w:sz w:val="22"/>
                <w:szCs w:val="22"/>
                <w:lang w:eastAsia="cs-CZ"/>
              </w:rPr>
              <w:t>2010</w:t>
            </w:r>
          </w:p>
        </w:tc>
      </w:tr>
      <w:tr w:rsidR="00C261BC" w:rsidRPr="00CC1789" w:rsidTr="003F60AB">
        <w:trPr>
          <w:trHeight w:val="855"/>
        </w:trPr>
        <w:tc>
          <w:tcPr>
            <w:tcW w:w="3440" w:type="dxa"/>
            <w:vMerge/>
            <w:tcBorders>
              <w:top w:val="single" w:sz="8" w:space="0" w:color="auto"/>
              <w:left w:val="single" w:sz="8" w:space="0" w:color="auto"/>
              <w:bottom w:val="single" w:sz="4" w:space="0" w:color="000000"/>
              <w:right w:val="single" w:sz="4" w:space="0" w:color="auto"/>
            </w:tcBorders>
            <w:vAlign w:val="center"/>
            <w:hideMark/>
          </w:tcPr>
          <w:p w:rsidR="00C261BC" w:rsidRPr="00CC1789" w:rsidRDefault="00C261BC" w:rsidP="003F60AB">
            <w:pPr>
              <w:spacing w:line="240" w:lineRule="auto"/>
              <w:jc w:val="left"/>
              <w:rPr>
                <w:b/>
                <w:bCs/>
                <w:color w:val="FFFFFF"/>
                <w:sz w:val="22"/>
                <w:szCs w:val="22"/>
                <w:lang w:eastAsia="cs-CZ"/>
              </w:rPr>
            </w:pPr>
          </w:p>
        </w:tc>
        <w:tc>
          <w:tcPr>
            <w:tcW w:w="1180" w:type="dxa"/>
            <w:tcBorders>
              <w:top w:val="nil"/>
              <w:left w:val="nil"/>
              <w:bottom w:val="single" w:sz="4" w:space="0" w:color="auto"/>
              <w:right w:val="single" w:sz="4" w:space="0" w:color="auto"/>
            </w:tcBorders>
            <w:shd w:val="clear" w:color="000000" w:fill="8DB4E3"/>
            <w:vAlign w:val="center"/>
            <w:hideMark/>
          </w:tcPr>
          <w:p w:rsidR="00C261BC" w:rsidRPr="00CC1789" w:rsidRDefault="00C261BC" w:rsidP="003F60AB">
            <w:pPr>
              <w:spacing w:line="240" w:lineRule="auto"/>
              <w:jc w:val="center"/>
              <w:rPr>
                <w:b/>
                <w:bCs/>
                <w:color w:val="FFFFFF"/>
                <w:sz w:val="22"/>
                <w:szCs w:val="22"/>
                <w:lang w:eastAsia="cs-CZ"/>
              </w:rPr>
            </w:pPr>
            <w:r w:rsidRPr="00CC1789">
              <w:rPr>
                <w:b/>
                <w:bCs/>
                <w:color w:val="FFFFFF"/>
                <w:sz w:val="22"/>
                <w:szCs w:val="22"/>
                <w:lang w:eastAsia="cs-CZ"/>
              </w:rPr>
              <w:t>Skutečnost leden-červenec</w:t>
            </w:r>
          </w:p>
        </w:tc>
        <w:tc>
          <w:tcPr>
            <w:tcW w:w="1120" w:type="dxa"/>
            <w:tcBorders>
              <w:top w:val="nil"/>
              <w:left w:val="nil"/>
              <w:bottom w:val="single" w:sz="4" w:space="0" w:color="auto"/>
              <w:right w:val="single" w:sz="4" w:space="0" w:color="auto"/>
            </w:tcBorders>
            <w:shd w:val="clear" w:color="000000" w:fill="8DB4E3"/>
            <w:vAlign w:val="center"/>
            <w:hideMark/>
          </w:tcPr>
          <w:p w:rsidR="00C261BC" w:rsidRPr="00CC1789" w:rsidRDefault="00C261BC" w:rsidP="003F60AB">
            <w:pPr>
              <w:spacing w:line="240" w:lineRule="auto"/>
              <w:jc w:val="center"/>
              <w:rPr>
                <w:b/>
                <w:bCs/>
                <w:color w:val="FFFFFF"/>
                <w:sz w:val="22"/>
                <w:szCs w:val="22"/>
                <w:lang w:eastAsia="cs-CZ"/>
              </w:rPr>
            </w:pPr>
            <w:r w:rsidRPr="00CC1789">
              <w:rPr>
                <w:b/>
                <w:bCs/>
                <w:color w:val="FFFFFF"/>
                <w:sz w:val="22"/>
                <w:szCs w:val="22"/>
                <w:lang w:eastAsia="cs-CZ"/>
              </w:rPr>
              <w:t>Schválený rozpočet</w:t>
            </w:r>
          </w:p>
        </w:tc>
        <w:tc>
          <w:tcPr>
            <w:tcW w:w="1220" w:type="dxa"/>
            <w:tcBorders>
              <w:top w:val="nil"/>
              <w:left w:val="nil"/>
              <w:bottom w:val="single" w:sz="4" w:space="0" w:color="auto"/>
              <w:right w:val="single" w:sz="8" w:space="0" w:color="auto"/>
            </w:tcBorders>
            <w:shd w:val="clear" w:color="000000" w:fill="8DB4E3"/>
            <w:vAlign w:val="center"/>
            <w:hideMark/>
          </w:tcPr>
          <w:p w:rsidR="00C261BC" w:rsidRPr="00CC1789" w:rsidRDefault="00C261BC" w:rsidP="003F60AB">
            <w:pPr>
              <w:spacing w:line="240" w:lineRule="auto"/>
              <w:jc w:val="center"/>
              <w:rPr>
                <w:b/>
                <w:bCs/>
                <w:color w:val="FFFFFF"/>
                <w:sz w:val="22"/>
                <w:szCs w:val="22"/>
                <w:lang w:eastAsia="cs-CZ"/>
              </w:rPr>
            </w:pPr>
            <w:r w:rsidRPr="00CC1789">
              <w:rPr>
                <w:b/>
                <w:bCs/>
                <w:color w:val="FFFFFF"/>
                <w:sz w:val="22"/>
                <w:szCs w:val="22"/>
                <w:lang w:eastAsia="cs-CZ"/>
              </w:rPr>
              <w:t>Skutečnost leden-červenec</w:t>
            </w:r>
          </w:p>
        </w:tc>
      </w:tr>
      <w:tr w:rsidR="00C261BC" w:rsidRPr="00CC1789" w:rsidTr="003F60AB">
        <w:trPr>
          <w:trHeight w:val="300"/>
        </w:trPr>
        <w:tc>
          <w:tcPr>
            <w:tcW w:w="3440" w:type="dxa"/>
            <w:tcBorders>
              <w:top w:val="nil"/>
              <w:left w:val="single" w:sz="8" w:space="0" w:color="auto"/>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left"/>
              <w:rPr>
                <w:b/>
                <w:bCs/>
                <w:sz w:val="22"/>
                <w:szCs w:val="22"/>
                <w:lang w:eastAsia="cs-CZ"/>
              </w:rPr>
            </w:pPr>
            <w:r w:rsidRPr="00CC1789">
              <w:rPr>
                <w:b/>
                <w:bCs/>
                <w:sz w:val="22"/>
                <w:szCs w:val="22"/>
                <w:lang w:eastAsia="cs-CZ"/>
              </w:rPr>
              <w:t>Příjmy celkem</w:t>
            </w:r>
          </w:p>
        </w:tc>
        <w:tc>
          <w:tcPr>
            <w:tcW w:w="118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b/>
                <w:bCs/>
                <w:sz w:val="22"/>
                <w:szCs w:val="22"/>
                <w:lang w:eastAsia="cs-CZ"/>
              </w:rPr>
            </w:pPr>
            <w:r w:rsidRPr="00CC1789">
              <w:rPr>
                <w:b/>
                <w:bCs/>
                <w:sz w:val="22"/>
                <w:szCs w:val="22"/>
                <w:lang w:eastAsia="cs-CZ"/>
              </w:rPr>
              <w:t>586,80</w:t>
            </w:r>
          </w:p>
        </w:tc>
        <w:tc>
          <w:tcPr>
            <w:tcW w:w="112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b/>
                <w:bCs/>
                <w:sz w:val="22"/>
                <w:szCs w:val="22"/>
                <w:lang w:eastAsia="cs-CZ"/>
              </w:rPr>
            </w:pPr>
            <w:r w:rsidRPr="00CC1789">
              <w:rPr>
                <w:b/>
                <w:bCs/>
                <w:sz w:val="22"/>
                <w:szCs w:val="22"/>
                <w:lang w:eastAsia="cs-CZ"/>
              </w:rPr>
              <w:t>1022,22</w:t>
            </w:r>
          </w:p>
        </w:tc>
        <w:tc>
          <w:tcPr>
            <w:tcW w:w="1220" w:type="dxa"/>
            <w:tcBorders>
              <w:top w:val="nil"/>
              <w:left w:val="nil"/>
              <w:bottom w:val="single" w:sz="4" w:space="0" w:color="auto"/>
              <w:right w:val="single" w:sz="8" w:space="0" w:color="auto"/>
            </w:tcBorders>
            <w:shd w:val="clear" w:color="auto" w:fill="auto"/>
            <w:vAlign w:val="bottom"/>
            <w:hideMark/>
          </w:tcPr>
          <w:p w:rsidR="00C261BC" w:rsidRPr="00CC1789" w:rsidRDefault="00C261BC" w:rsidP="003F60AB">
            <w:pPr>
              <w:spacing w:line="240" w:lineRule="auto"/>
              <w:jc w:val="right"/>
              <w:rPr>
                <w:b/>
                <w:bCs/>
                <w:sz w:val="22"/>
                <w:szCs w:val="22"/>
                <w:lang w:eastAsia="cs-CZ"/>
              </w:rPr>
            </w:pPr>
            <w:r w:rsidRPr="00CC1789">
              <w:rPr>
                <w:b/>
                <w:bCs/>
                <w:sz w:val="22"/>
                <w:szCs w:val="22"/>
                <w:lang w:eastAsia="cs-CZ"/>
              </w:rPr>
              <w:t>586,57</w:t>
            </w:r>
          </w:p>
        </w:tc>
      </w:tr>
      <w:tr w:rsidR="00C261BC" w:rsidRPr="00CC1789" w:rsidTr="003F60AB">
        <w:trPr>
          <w:trHeight w:val="300"/>
        </w:trPr>
        <w:tc>
          <w:tcPr>
            <w:tcW w:w="3440" w:type="dxa"/>
            <w:tcBorders>
              <w:top w:val="nil"/>
              <w:left w:val="single" w:sz="8" w:space="0" w:color="auto"/>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left"/>
              <w:rPr>
                <w:sz w:val="22"/>
                <w:szCs w:val="22"/>
                <w:lang w:eastAsia="cs-CZ"/>
              </w:rPr>
            </w:pPr>
            <w:r w:rsidRPr="00CC1789">
              <w:rPr>
                <w:sz w:val="22"/>
                <w:szCs w:val="22"/>
                <w:lang w:eastAsia="cs-CZ"/>
              </w:rPr>
              <w:t>v tom:</w:t>
            </w:r>
          </w:p>
        </w:tc>
        <w:tc>
          <w:tcPr>
            <w:tcW w:w="3520" w:type="dxa"/>
            <w:gridSpan w:val="3"/>
            <w:tcBorders>
              <w:top w:val="single" w:sz="4" w:space="0" w:color="auto"/>
              <w:left w:val="nil"/>
              <w:bottom w:val="single" w:sz="4" w:space="0" w:color="auto"/>
              <w:right w:val="single" w:sz="8" w:space="0" w:color="000000"/>
            </w:tcBorders>
            <w:shd w:val="clear" w:color="auto" w:fill="auto"/>
            <w:vAlign w:val="bottom"/>
            <w:hideMark/>
          </w:tcPr>
          <w:p w:rsidR="00C261BC" w:rsidRPr="00CC1789" w:rsidRDefault="00C261BC" w:rsidP="003F60AB">
            <w:pPr>
              <w:spacing w:line="240" w:lineRule="auto"/>
              <w:jc w:val="center"/>
              <w:rPr>
                <w:sz w:val="22"/>
                <w:szCs w:val="22"/>
                <w:lang w:eastAsia="cs-CZ"/>
              </w:rPr>
            </w:pPr>
            <w:r w:rsidRPr="00CC1789">
              <w:rPr>
                <w:sz w:val="22"/>
                <w:szCs w:val="22"/>
                <w:lang w:eastAsia="cs-CZ"/>
              </w:rPr>
              <w:t> </w:t>
            </w:r>
          </w:p>
        </w:tc>
      </w:tr>
      <w:tr w:rsidR="00C261BC" w:rsidRPr="00CC1789" w:rsidTr="003F60AB">
        <w:trPr>
          <w:trHeight w:val="300"/>
        </w:trPr>
        <w:tc>
          <w:tcPr>
            <w:tcW w:w="3440" w:type="dxa"/>
            <w:tcBorders>
              <w:top w:val="nil"/>
              <w:left w:val="single" w:sz="8" w:space="0" w:color="auto"/>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left"/>
              <w:rPr>
                <w:b/>
                <w:bCs/>
                <w:sz w:val="22"/>
                <w:szCs w:val="22"/>
                <w:lang w:eastAsia="cs-CZ"/>
              </w:rPr>
            </w:pPr>
            <w:r w:rsidRPr="00CC1789">
              <w:rPr>
                <w:b/>
                <w:bCs/>
                <w:sz w:val="22"/>
                <w:szCs w:val="22"/>
                <w:lang w:eastAsia="cs-CZ"/>
              </w:rPr>
              <w:t>Daňové příjmy celkem</w:t>
            </w:r>
          </w:p>
        </w:tc>
        <w:tc>
          <w:tcPr>
            <w:tcW w:w="118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b/>
                <w:bCs/>
                <w:sz w:val="22"/>
                <w:szCs w:val="22"/>
                <w:lang w:eastAsia="cs-CZ"/>
              </w:rPr>
            </w:pPr>
            <w:r w:rsidRPr="00CC1789">
              <w:rPr>
                <w:b/>
                <w:bCs/>
                <w:sz w:val="22"/>
                <w:szCs w:val="22"/>
                <w:lang w:eastAsia="cs-CZ"/>
              </w:rPr>
              <w:t>492,39</w:t>
            </w:r>
          </w:p>
        </w:tc>
        <w:tc>
          <w:tcPr>
            <w:tcW w:w="112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b/>
                <w:bCs/>
                <w:sz w:val="22"/>
                <w:szCs w:val="22"/>
                <w:lang w:eastAsia="cs-CZ"/>
              </w:rPr>
            </w:pPr>
            <w:r w:rsidRPr="00CC1789">
              <w:rPr>
                <w:b/>
                <w:bCs/>
                <w:sz w:val="22"/>
                <w:szCs w:val="22"/>
                <w:lang w:eastAsia="cs-CZ"/>
              </w:rPr>
              <w:t>901,86</w:t>
            </w:r>
          </w:p>
        </w:tc>
        <w:tc>
          <w:tcPr>
            <w:tcW w:w="1220" w:type="dxa"/>
            <w:tcBorders>
              <w:top w:val="nil"/>
              <w:left w:val="nil"/>
              <w:bottom w:val="single" w:sz="4" w:space="0" w:color="auto"/>
              <w:right w:val="single" w:sz="8" w:space="0" w:color="auto"/>
            </w:tcBorders>
            <w:shd w:val="clear" w:color="auto" w:fill="auto"/>
            <w:vAlign w:val="bottom"/>
            <w:hideMark/>
          </w:tcPr>
          <w:p w:rsidR="00C261BC" w:rsidRPr="00CC1789" w:rsidRDefault="00C261BC" w:rsidP="003F60AB">
            <w:pPr>
              <w:spacing w:line="240" w:lineRule="auto"/>
              <w:jc w:val="right"/>
              <w:rPr>
                <w:b/>
                <w:bCs/>
                <w:sz w:val="22"/>
                <w:szCs w:val="22"/>
                <w:lang w:eastAsia="cs-CZ"/>
              </w:rPr>
            </w:pPr>
            <w:r w:rsidRPr="00CC1789">
              <w:rPr>
                <w:b/>
                <w:bCs/>
                <w:sz w:val="22"/>
                <w:szCs w:val="22"/>
                <w:lang w:eastAsia="cs-CZ"/>
              </w:rPr>
              <w:t>502,85</w:t>
            </w:r>
          </w:p>
        </w:tc>
      </w:tr>
      <w:tr w:rsidR="00C261BC" w:rsidRPr="00CC1789" w:rsidTr="003F60AB">
        <w:trPr>
          <w:trHeight w:val="300"/>
        </w:trPr>
        <w:tc>
          <w:tcPr>
            <w:tcW w:w="3440" w:type="dxa"/>
            <w:tcBorders>
              <w:top w:val="nil"/>
              <w:left w:val="single" w:sz="8" w:space="0" w:color="auto"/>
              <w:bottom w:val="single" w:sz="4" w:space="0" w:color="auto"/>
              <w:right w:val="single" w:sz="4" w:space="0" w:color="auto"/>
            </w:tcBorders>
            <w:shd w:val="clear" w:color="auto" w:fill="auto"/>
            <w:noWrap/>
            <w:vAlign w:val="bottom"/>
            <w:hideMark/>
          </w:tcPr>
          <w:p w:rsidR="00C261BC" w:rsidRPr="00CC1789" w:rsidRDefault="00C261BC" w:rsidP="003F60AB">
            <w:pPr>
              <w:spacing w:line="240" w:lineRule="auto"/>
              <w:jc w:val="left"/>
              <w:rPr>
                <w:b/>
                <w:bCs/>
                <w:sz w:val="22"/>
                <w:szCs w:val="22"/>
                <w:lang w:eastAsia="cs-CZ"/>
              </w:rPr>
            </w:pPr>
            <w:r w:rsidRPr="00CC1789">
              <w:rPr>
                <w:b/>
                <w:bCs/>
                <w:sz w:val="22"/>
                <w:szCs w:val="22"/>
                <w:lang w:eastAsia="cs-CZ"/>
              </w:rPr>
              <w:t>Daňové příjmy (bez pojistného SZ)</w:t>
            </w:r>
          </w:p>
        </w:tc>
        <w:tc>
          <w:tcPr>
            <w:tcW w:w="118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b/>
                <w:bCs/>
                <w:sz w:val="22"/>
                <w:szCs w:val="22"/>
                <w:lang w:eastAsia="cs-CZ"/>
              </w:rPr>
            </w:pPr>
            <w:r w:rsidRPr="00CC1789">
              <w:rPr>
                <w:b/>
                <w:bCs/>
                <w:sz w:val="22"/>
                <w:szCs w:val="22"/>
                <w:lang w:eastAsia="cs-CZ"/>
              </w:rPr>
              <w:t>282,52</w:t>
            </w:r>
          </w:p>
        </w:tc>
        <w:tc>
          <w:tcPr>
            <w:tcW w:w="112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b/>
                <w:bCs/>
                <w:sz w:val="22"/>
                <w:szCs w:val="22"/>
                <w:lang w:eastAsia="cs-CZ"/>
              </w:rPr>
            </w:pPr>
            <w:r w:rsidRPr="00CC1789">
              <w:rPr>
                <w:b/>
                <w:bCs/>
                <w:sz w:val="22"/>
                <w:szCs w:val="22"/>
                <w:lang w:eastAsia="cs-CZ"/>
              </w:rPr>
              <w:t>534,74</w:t>
            </w:r>
          </w:p>
        </w:tc>
        <w:tc>
          <w:tcPr>
            <w:tcW w:w="1220" w:type="dxa"/>
            <w:tcBorders>
              <w:top w:val="nil"/>
              <w:left w:val="nil"/>
              <w:bottom w:val="single" w:sz="4" w:space="0" w:color="auto"/>
              <w:right w:val="single" w:sz="8" w:space="0" w:color="auto"/>
            </w:tcBorders>
            <w:shd w:val="clear" w:color="auto" w:fill="auto"/>
            <w:vAlign w:val="bottom"/>
            <w:hideMark/>
          </w:tcPr>
          <w:p w:rsidR="00C261BC" w:rsidRPr="00CC1789" w:rsidRDefault="00C261BC" w:rsidP="003F60AB">
            <w:pPr>
              <w:spacing w:line="240" w:lineRule="auto"/>
              <w:jc w:val="right"/>
              <w:rPr>
                <w:b/>
                <w:bCs/>
                <w:sz w:val="22"/>
                <w:szCs w:val="22"/>
                <w:lang w:eastAsia="cs-CZ"/>
              </w:rPr>
            </w:pPr>
            <w:r w:rsidRPr="00CC1789">
              <w:rPr>
                <w:b/>
                <w:bCs/>
                <w:sz w:val="22"/>
                <w:szCs w:val="22"/>
                <w:lang w:eastAsia="cs-CZ"/>
              </w:rPr>
              <w:t>298,79</w:t>
            </w:r>
          </w:p>
        </w:tc>
      </w:tr>
      <w:tr w:rsidR="00C261BC" w:rsidRPr="00CC1789" w:rsidTr="003F60AB">
        <w:trPr>
          <w:trHeight w:val="300"/>
        </w:trPr>
        <w:tc>
          <w:tcPr>
            <w:tcW w:w="3440" w:type="dxa"/>
            <w:tcBorders>
              <w:top w:val="nil"/>
              <w:left w:val="single" w:sz="8" w:space="0" w:color="auto"/>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left"/>
              <w:rPr>
                <w:sz w:val="22"/>
                <w:szCs w:val="22"/>
                <w:lang w:eastAsia="cs-CZ"/>
              </w:rPr>
            </w:pPr>
            <w:r w:rsidRPr="00CC1789">
              <w:rPr>
                <w:sz w:val="22"/>
                <w:szCs w:val="22"/>
                <w:lang w:eastAsia="cs-CZ"/>
              </w:rPr>
              <w:t>v tom:</w:t>
            </w:r>
          </w:p>
        </w:tc>
        <w:tc>
          <w:tcPr>
            <w:tcW w:w="3520" w:type="dxa"/>
            <w:gridSpan w:val="3"/>
            <w:tcBorders>
              <w:top w:val="single" w:sz="4" w:space="0" w:color="auto"/>
              <w:left w:val="nil"/>
              <w:bottom w:val="single" w:sz="4" w:space="0" w:color="auto"/>
              <w:right w:val="single" w:sz="8" w:space="0" w:color="000000"/>
            </w:tcBorders>
            <w:shd w:val="clear" w:color="auto" w:fill="auto"/>
            <w:vAlign w:val="bottom"/>
            <w:hideMark/>
          </w:tcPr>
          <w:p w:rsidR="00C261BC" w:rsidRPr="00CC1789" w:rsidRDefault="00C261BC" w:rsidP="003F60AB">
            <w:pPr>
              <w:spacing w:line="240" w:lineRule="auto"/>
              <w:jc w:val="center"/>
              <w:rPr>
                <w:sz w:val="22"/>
                <w:szCs w:val="22"/>
                <w:lang w:eastAsia="cs-CZ"/>
              </w:rPr>
            </w:pPr>
            <w:r w:rsidRPr="00CC1789">
              <w:rPr>
                <w:sz w:val="22"/>
                <w:szCs w:val="22"/>
                <w:lang w:eastAsia="cs-CZ"/>
              </w:rPr>
              <w:t> </w:t>
            </w:r>
          </w:p>
        </w:tc>
      </w:tr>
      <w:tr w:rsidR="00C261BC" w:rsidRPr="00CC1789" w:rsidTr="003F60AB">
        <w:trPr>
          <w:trHeight w:val="300"/>
        </w:trPr>
        <w:tc>
          <w:tcPr>
            <w:tcW w:w="3440" w:type="dxa"/>
            <w:tcBorders>
              <w:top w:val="nil"/>
              <w:left w:val="single" w:sz="8" w:space="0" w:color="auto"/>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left"/>
              <w:rPr>
                <w:sz w:val="22"/>
                <w:szCs w:val="22"/>
                <w:lang w:eastAsia="cs-CZ"/>
              </w:rPr>
            </w:pPr>
            <w:r w:rsidRPr="00CC1789">
              <w:rPr>
                <w:sz w:val="22"/>
                <w:szCs w:val="22"/>
                <w:lang w:eastAsia="cs-CZ"/>
              </w:rPr>
              <w:t>- DPH</w:t>
            </w:r>
          </w:p>
        </w:tc>
        <w:tc>
          <w:tcPr>
            <w:tcW w:w="118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108,02</w:t>
            </w:r>
          </w:p>
        </w:tc>
        <w:tc>
          <w:tcPr>
            <w:tcW w:w="112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188,60</w:t>
            </w:r>
          </w:p>
        </w:tc>
        <w:tc>
          <w:tcPr>
            <w:tcW w:w="1220" w:type="dxa"/>
            <w:tcBorders>
              <w:top w:val="nil"/>
              <w:left w:val="nil"/>
              <w:bottom w:val="single" w:sz="4" w:space="0" w:color="auto"/>
              <w:right w:val="single" w:sz="8"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117,89</w:t>
            </w:r>
          </w:p>
        </w:tc>
      </w:tr>
      <w:tr w:rsidR="00C261BC" w:rsidRPr="00CC1789" w:rsidTr="003F60AB">
        <w:trPr>
          <w:trHeight w:val="615"/>
        </w:trPr>
        <w:tc>
          <w:tcPr>
            <w:tcW w:w="3440" w:type="dxa"/>
            <w:tcBorders>
              <w:top w:val="nil"/>
              <w:left w:val="single" w:sz="8" w:space="0" w:color="auto"/>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left"/>
              <w:rPr>
                <w:sz w:val="22"/>
                <w:szCs w:val="22"/>
                <w:lang w:eastAsia="cs-CZ"/>
              </w:rPr>
            </w:pPr>
            <w:r w:rsidRPr="00CC1789">
              <w:rPr>
                <w:sz w:val="22"/>
                <w:szCs w:val="22"/>
                <w:lang w:eastAsia="cs-CZ"/>
              </w:rPr>
              <w:t>- spotřební daně (vč. tzv. ekologických daní)</w:t>
            </w:r>
          </w:p>
        </w:tc>
        <w:tc>
          <w:tcPr>
            <w:tcW w:w="118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66,81</w:t>
            </w:r>
          </w:p>
        </w:tc>
        <w:tc>
          <w:tcPr>
            <w:tcW w:w="112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141,10</w:t>
            </w:r>
          </w:p>
        </w:tc>
        <w:tc>
          <w:tcPr>
            <w:tcW w:w="1220" w:type="dxa"/>
            <w:tcBorders>
              <w:top w:val="nil"/>
              <w:left w:val="nil"/>
              <w:bottom w:val="single" w:sz="4" w:space="0" w:color="auto"/>
              <w:right w:val="single" w:sz="8"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74,12</w:t>
            </w:r>
          </w:p>
        </w:tc>
      </w:tr>
      <w:tr w:rsidR="00C261BC" w:rsidRPr="00CC1789" w:rsidTr="003F60AB">
        <w:trPr>
          <w:trHeight w:val="300"/>
        </w:trPr>
        <w:tc>
          <w:tcPr>
            <w:tcW w:w="3440" w:type="dxa"/>
            <w:tcBorders>
              <w:top w:val="nil"/>
              <w:left w:val="single" w:sz="8" w:space="0" w:color="auto"/>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left"/>
              <w:rPr>
                <w:sz w:val="22"/>
                <w:szCs w:val="22"/>
                <w:lang w:eastAsia="cs-CZ"/>
              </w:rPr>
            </w:pPr>
            <w:r w:rsidRPr="00CC1789">
              <w:rPr>
                <w:sz w:val="22"/>
                <w:szCs w:val="22"/>
                <w:lang w:eastAsia="cs-CZ"/>
              </w:rPr>
              <w:t>- daně z příjmů PO</w:t>
            </w:r>
          </w:p>
        </w:tc>
        <w:tc>
          <w:tcPr>
            <w:tcW w:w="118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51,18</w:t>
            </w:r>
          </w:p>
        </w:tc>
        <w:tc>
          <w:tcPr>
            <w:tcW w:w="112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100,30</w:t>
            </w:r>
          </w:p>
        </w:tc>
        <w:tc>
          <w:tcPr>
            <w:tcW w:w="1220" w:type="dxa"/>
            <w:tcBorders>
              <w:top w:val="nil"/>
              <w:left w:val="nil"/>
              <w:bottom w:val="single" w:sz="4" w:space="0" w:color="auto"/>
              <w:right w:val="single" w:sz="8"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50,44</w:t>
            </w:r>
          </w:p>
        </w:tc>
      </w:tr>
      <w:tr w:rsidR="00C261BC" w:rsidRPr="00CC1789" w:rsidTr="003F60AB">
        <w:trPr>
          <w:trHeight w:val="300"/>
        </w:trPr>
        <w:tc>
          <w:tcPr>
            <w:tcW w:w="3440" w:type="dxa"/>
            <w:tcBorders>
              <w:top w:val="nil"/>
              <w:left w:val="single" w:sz="8" w:space="0" w:color="auto"/>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left"/>
              <w:rPr>
                <w:sz w:val="22"/>
                <w:szCs w:val="22"/>
                <w:lang w:eastAsia="cs-CZ"/>
              </w:rPr>
            </w:pPr>
            <w:r w:rsidRPr="00CC1789">
              <w:rPr>
                <w:sz w:val="22"/>
                <w:szCs w:val="22"/>
                <w:lang w:eastAsia="cs-CZ"/>
              </w:rPr>
              <w:t>- daně z příjmů FO</w:t>
            </w:r>
          </w:p>
        </w:tc>
        <w:tc>
          <w:tcPr>
            <w:tcW w:w="118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46,98</w:t>
            </w:r>
          </w:p>
        </w:tc>
        <w:tc>
          <w:tcPr>
            <w:tcW w:w="112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88,30</w:t>
            </w:r>
          </w:p>
        </w:tc>
        <w:tc>
          <w:tcPr>
            <w:tcW w:w="1220" w:type="dxa"/>
            <w:tcBorders>
              <w:top w:val="nil"/>
              <w:left w:val="nil"/>
              <w:bottom w:val="single" w:sz="4" w:space="0" w:color="auto"/>
              <w:right w:val="single" w:sz="8"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47,43</w:t>
            </w:r>
          </w:p>
        </w:tc>
      </w:tr>
      <w:tr w:rsidR="00C261BC" w:rsidRPr="00CC1789" w:rsidTr="003F60AB">
        <w:trPr>
          <w:trHeight w:val="300"/>
        </w:trPr>
        <w:tc>
          <w:tcPr>
            <w:tcW w:w="3440" w:type="dxa"/>
            <w:tcBorders>
              <w:top w:val="nil"/>
              <w:left w:val="single" w:sz="8" w:space="0" w:color="auto"/>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left"/>
              <w:rPr>
                <w:sz w:val="22"/>
                <w:szCs w:val="22"/>
                <w:lang w:eastAsia="cs-CZ"/>
              </w:rPr>
            </w:pPr>
            <w:r w:rsidRPr="00CC1789">
              <w:rPr>
                <w:sz w:val="22"/>
                <w:szCs w:val="22"/>
                <w:lang w:eastAsia="cs-CZ"/>
              </w:rPr>
              <w:t>vybíraná srážkou</w:t>
            </w:r>
          </w:p>
        </w:tc>
        <w:tc>
          <w:tcPr>
            <w:tcW w:w="118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4,17</w:t>
            </w:r>
          </w:p>
        </w:tc>
        <w:tc>
          <w:tcPr>
            <w:tcW w:w="112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6,60</w:t>
            </w:r>
          </w:p>
        </w:tc>
        <w:tc>
          <w:tcPr>
            <w:tcW w:w="1220" w:type="dxa"/>
            <w:tcBorders>
              <w:top w:val="nil"/>
              <w:left w:val="nil"/>
              <w:bottom w:val="single" w:sz="4" w:space="0" w:color="auto"/>
              <w:right w:val="single" w:sz="8"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4,05</w:t>
            </w:r>
          </w:p>
        </w:tc>
      </w:tr>
      <w:tr w:rsidR="00C261BC" w:rsidRPr="00CC1789" w:rsidTr="003F60AB">
        <w:trPr>
          <w:trHeight w:val="300"/>
        </w:trPr>
        <w:tc>
          <w:tcPr>
            <w:tcW w:w="3440" w:type="dxa"/>
            <w:tcBorders>
              <w:top w:val="nil"/>
              <w:left w:val="single" w:sz="8" w:space="0" w:color="auto"/>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left"/>
              <w:rPr>
                <w:sz w:val="22"/>
                <w:szCs w:val="22"/>
                <w:lang w:eastAsia="cs-CZ"/>
              </w:rPr>
            </w:pPr>
            <w:r w:rsidRPr="00CC1789">
              <w:rPr>
                <w:sz w:val="22"/>
                <w:szCs w:val="22"/>
                <w:lang w:eastAsia="cs-CZ"/>
              </w:rPr>
              <w:t>ze závislé činnosti</w:t>
            </w:r>
          </w:p>
        </w:tc>
        <w:tc>
          <w:tcPr>
            <w:tcW w:w="118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41,72</w:t>
            </w:r>
          </w:p>
        </w:tc>
        <w:tc>
          <w:tcPr>
            <w:tcW w:w="112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71,80</w:t>
            </w:r>
          </w:p>
        </w:tc>
        <w:tc>
          <w:tcPr>
            <w:tcW w:w="1220" w:type="dxa"/>
            <w:tcBorders>
              <w:top w:val="nil"/>
              <w:left w:val="nil"/>
              <w:bottom w:val="single" w:sz="4" w:space="0" w:color="auto"/>
              <w:right w:val="single" w:sz="8"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41,71</w:t>
            </w:r>
          </w:p>
        </w:tc>
      </w:tr>
      <w:tr w:rsidR="00C261BC" w:rsidRPr="00CC1789" w:rsidTr="003F60AB">
        <w:trPr>
          <w:trHeight w:val="300"/>
        </w:trPr>
        <w:tc>
          <w:tcPr>
            <w:tcW w:w="3440" w:type="dxa"/>
            <w:tcBorders>
              <w:top w:val="nil"/>
              <w:left w:val="single" w:sz="8" w:space="0" w:color="auto"/>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left"/>
              <w:rPr>
                <w:sz w:val="22"/>
                <w:szCs w:val="22"/>
                <w:lang w:eastAsia="cs-CZ"/>
              </w:rPr>
            </w:pPr>
            <w:r w:rsidRPr="00CC1789">
              <w:rPr>
                <w:sz w:val="22"/>
                <w:szCs w:val="22"/>
                <w:lang w:eastAsia="cs-CZ"/>
              </w:rPr>
              <w:t>z přiznání</w:t>
            </w:r>
          </w:p>
        </w:tc>
        <w:tc>
          <w:tcPr>
            <w:tcW w:w="118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1,09</w:t>
            </w:r>
          </w:p>
        </w:tc>
        <w:tc>
          <w:tcPr>
            <w:tcW w:w="112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9,90</w:t>
            </w:r>
          </w:p>
        </w:tc>
        <w:tc>
          <w:tcPr>
            <w:tcW w:w="1220" w:type="dxa"/>
            <w:tcBorders>
              <w:top w:val="nil"/>
              <w:left w:val="nil"/>
              <w:bottom w:val="single" w:sz="4" w:space="0" w:color="auto"/>
              <w:right w:val="single" w:sz="8"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1,67</w:t>
            </w:r>
          </w:p>
        </w:tc>
      </w:tr>
      <w:tr w:rsidR="00C261BC" w:rsidRPr="00CC1789" w:rsidTr="003F60AB">
        <w:trPr>
          <w:trHeight w:val="300"/>
        </w:trPr>
        <w:tc>
          <w:tcPr>
            <w:tcW w:w="3440" w:type="dxa"/>
            <w:tcBorders>
              <w:top w:val="nil"/>
              <w:left w:val="single" w:sz="8" w:space="0" w:color="auto"/>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left"/>
              <w:rPr>
                <w:sz w:val="22"/>
                <w:szCs w:val="22"/>
                <w:lang w:eastAsia="cs-CZ"/>
              </w:rPr>
            </w:pPr>
            <w:r w:rsidRPr="00CC1789">
              <w:rPr>
                <w:sz w:val="22"/>
                <w:szCs w:val="22"/>
                <w:lang w:eastAsia="cs-CZ"/>
              </w:rPr>
              <w:t>- správní poplatky</w:t>
            </w:r>
          </w:p>
        </w:tc>
        <w:tc>
          <w:tcPr>
            <w:tcW w:w="118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1,52</w:t>
            </w:r>
          </w:p>
        </w:tc>
        <w:tc>
          <w:tcPr>
            <w:tcW w:w="112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2,42</w:t>
            </w:r>
          </w:p>
        </w:tc>
        <w:tc>
          <w:tcPr>
            <w:tcW w:w="1220" w:type="dxa"/>
            <w:tcBorders>
              <w:top w:val="nil"/>
              <w:left w:val="nil"/>
              <w:bottom w:val="single" w:sz="4" w:space="0" w:color="auto"/>
              <w:right w:val="single" w:sz="8"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1,49</w:t>
            </w:r>
          </w:p>
        </w:tc>
      </w:tr>
      <w:tr w:rsidR="00C261BC" w:rsidRPr="00CC1789" w:rsidTr="003F60AB">
        <w:trPr>
          <w:trHeight w:val="300"/>
        </w:trPr>
        <w:tc>
          <w:tcPr>
            <w:tcW w:w="3440" w:type="dxa"/>
            <w:tcBorders>
              <w:top w:val="nil"/>
              <w:left w:val="single" w:sz="8" w:space="0" w:color="auto"/>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left"/>
              <w:rPr>
                <w:sz w:val="22"/>
                <w:szCs w:val="22"/>
                <w:lang w:eastAsia="cs-CZ"/>
              </w:rPr>
            </w:pPr>
            <w:r w:rsidRPr="00CC1789">
              <w:rPr>
                <w:sz w:val="22"/>
                <w:szCs w:val="22"/>
                <w:lang w:eastAsia="cs-CZ"/>
              </w:rPr>
              <w:t>- majetkové daně</w:t>
            </w:r>
          </w:p>
        </w:tc>
        <w:tc>
          <w:tcPr>
            <w:tcW w:w="118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4,78</w:t>
            </w:r>
          </w:p>
        </w:tc>
        <w:tc>
          <w:tcPr>
            <w:tcW w:w="112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9,10</w:t>
            </w:r>
          </w:p>
        </w:tc>
        <w:tc>
          <w:tcPr>
            <w:tcW w:w="1220" w:type="dxa"/>
            <w:tcBorders>
              <w:top w:val="nil"/>
              <w:left w:val="nil"/>
              <w:bottom w:val="single" w:sz="4" w:space="0" w:color="auto"/>
              <w:right w:val="single" w:sz="8"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4,34</w:t>
            </w:r>
          </w:p>
        </w:tc>
      </w:tr>
      <w:tr w:rsidR="00C261BC" w:rsidRPr="00CC1789" w:rsidTr="003F60AB">
        <w:trPr>
          <w:trHeight w:val="300"/>
        </w:trPr>
        <w:tc>
          <w:tcPr>
            <w:tcW w:w="3440" w:type="dxa"/>
            <w:tcBorders>
              <w:top w:val="nil"/>
              <w:left w:val="single" w:sz="8" w:space="0" w:color="auto"/>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left"/>
              <w:rPr>
                <w:sz w:val="22"/>
                <w:szCs w:val="22"/>
                <w:lang w:eastAsia="cs-CZ"/>
              </w:rPr>
            </w:pPr>
            <w:r w:rsidRPr="00CC1789">
              <w:rPr>
                <w:sz w:val="22"/>
                <w:szCs w:val="22"/>
                <w:lang w:eastAsia="cs-CZ"/>
              </w:rPr>
              <w:t>- clo</w:t>
            </w:r>
          </w:p>
        </w:tc>
        <w:tc>
          <w:tcPr>
            <w:tcW w:w="118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0,84</w:t>
            </w:r>
          </w:p>
        </w:tc>
        <w:tc>
          <w:tcPr>
            <w:tcW w:w="112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1,30</w:t>
            </w:r>
          </w:p>
        </w:tc>
        <w:tc>
          <w:tcPr>
            <w:tcW w:w="1220" w:type="dxa"/>
            <w:tcBorders>
              <w:top w:val="nil"/>
              <w:left w:val="nil"/>
              <w:bottom w:val="single" w:sz="4" w:space="0" w:color="auto"/>
              <w:right w:val="single" w:sz="8"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0,90</w:t>
            </w:r>
          </w:p>
        </w:tc>
      </w:tr>
      <w:tr w:rsidR="00C261BC" w:rsidRPr="00CC1789" w:rsidTr="003F60AB">
        <w:trPr>
          <w:trHeight w:val="300"/>
        </w:trPr>
        <w:tc>
          <w:tcPr>
            <w:tcW w:w="3440" w:type="dxa"/>
            <w:tcBorders>
              <w:top w:val="nil"/>
              <w:left w:val="single" w:sz="8" w:space="0" w:color="auto"/>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left"/>
              <w:rPr>
                <w:sz w:val="22"/>
                <w:szCs w:val="22"/>
                <w:lang w:eastAsia="cs-CZ"/>
              </w:rPr>
            </w:pPr>
            <w:r w:rsidRPr="00CC1789">
              <w:rPr>
                <w:sz w:val="22"/>
                <w:szCs w:val="22"/>
                <w:lang w:eastAsia="cs-CZ"/>
              </w:rPr>
              <w:t>- poplatky za uložení odpad</w:t>
            </w:r>
          </w:p>
        </w:tc>
        <w:tc>
          <w:tcPr>
            <w:tcW w:w="118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0,81</w:t>
            </w:r>
          </w:p>
        </w:tc>
        <w:tc>
          <w:tcPr>
            <w:tcW w:w="112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1,35</w:t>
            </w:r>
          </w:p>
        </w:tc>
        <w:tc>
          <w:tcPr>
            <w:tcW w:w="1220" w:type="dxa"/>
            <w:tcBorders>
              <w:top w:val="nil"/>
              <w:left w:val="nil"/>
              <w:bottom w:val="single" w:sz="4" w:space="0" w:color="auto"/>
              <w:right w:val="single" w:sz="8"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0,87</w:t>
            </w:r>
          </w:p>
        </w:tc>
      </w:tr>
      <w:tr w:rsidR="00C261BC" w:rsidRPr="00CC1789" w:rsidTr="003F60AB">
        <w:trPr>
          <w:trHeight w:val="300"/>
        </w:trPr>
        <w:tc>
          <w:tcPr>
            <w:tcW w:w="3440" w:type="dxa"/>
            <w:tcBorders>
              <w:top w:val="nil"/>
              <w:left w:val="single" w:sz="8" w:space="0" w:color="auto"/>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left"/>
              <w:rPr>
                <w:sz w:val="22"/>
                <w:szCs w:val="22"/>
                <w:lang w:eastAsia="cs-CZ"/>
              </w:rPr>
            </w:pPr>
            <w:r w:rsidRPr="00CC1789">
              <w:rPr>
                <w:sz w:val="22"/>
                <w:szCs w:val="22"/>
                <w:lang w:eastAsia="cs-CZ"/>
              </w:rPr>
              <w:t>- ostatní daňové příjmy</w:t>
            </w:r>
          </w:p>
        </w:tc>
        <w:tc>
          <w:tcPr>
            <w:tcW w:w="118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1,58</w:t>
            </w:r>
          </w:p>
        </w:tc>
        <w:tc>
          <w:tcPr>
            <w:tcW w:w="112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2,27</w:t>
            </w:r>
          </w:p>
        </w:tc>
        <w:tc>
          <w:tcPr>
            <w:tcW w:w="1220" w:type="dxa"/>
            <w:tcBorders>
              <w:top w:val="nil"/>
              <w:left w:val="nil"/>
              <w:bottom w:val="single" w:sz="4" w:space="0" w:color="auto"/>
              <w:right w:val="single" w:sz="8"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1,31</w:t>
            </w:r>
          </w:p>
        </w:tc>
      </w:tr>
      <w:tr w:rsidR="00C261BC" w:rsidRPr="00CC1789" w:rsidTr="003F60AB">
        <w:trPr>
          <w:trHeight w:val="300"/>
        </w:trPr>
        <w:tc>
          <w:tcPr>
            <w:tcW w:w="3440" w:type="dxa"/>
            <w:tcBorders>
              <w:top w:val="nil"/>
              <w:left w:val="single" w:sz="8" w:space="0" w:color="auto"/>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left"/>
              <w:rPr>
                <w:b/>
                <w:bCs/>
                <w:sz w:val="22"/>
                <w:szCs w:val="22"/>
                <w:lang w:eastAsia="cs-CZ"/>
              </w:rPr>
            </w:pPr>
            <w:r w:rsidRPr="00CC1789">
              <w:rPr>
                <w:b/>
                <w:bCs/>
                <w:sz w:val="22"/>
                <w:szCs w:val="22"/>
                <w:lang w:eastAsia="cs-CZ"/>
              </w:rPr>
              <w:t>Pojistné na SZ</w:t>
            </w:r>
          </w:p>
        </w:tc>
        <w:tc>
          <w:tcPr>
            <w:tcW w:w="118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b/>
                <w:bCs/>
                <w:sz w:val="22"/>
                <w:szCs w:val="22"/>
                <w:lang w:eastAsia="cs-CZ"/>
              </w:rPr>
            </w:pPr>
            <w:r w:rsidRPr="00CC1789">
              <w:rPr>
                <w:b/>
                <w:bCs/>
                <w:sz w:val="22"/>
                <w:szCs w:val="22"/>
                <w:lang w:eastAsia="cs-CZ"/>
              </w:rPr>
              <w:t>209,87</w:t>
            </w:r>
          </w:p>
        </w:tc>
        <w:tc>
          <w:tcPr>
            <w:tcW w:w="1120" w:type="dxa"/>
            <w:tcBorders>
              <w:top w:val="nil"/>
              <w:left w:val="nil"/>
              <w:bottom w:val="single" w:sz="4" w:space="0" w:color="auto"/>
              <w:right w:val="single" w:sz="4" w:space="0" w:color="auto"/>
            </w:tcBorders>
            <w:shd w:val="clear" w:color="auto" w:fill="auto"/>
            <w:vAlign w:val="bottom"/>
            <w:hideMark/>
          </w:tcPr>
          <w:p w:rsidR="00C261BC" w:rsidRPr="00CC1789" w:rsidRDefault="00C261BC" w:rsidP="003F60AB">
            <w:pPr>
              <w:spacing w:line="240" w:lineRule="auto"/>
              <w:jc w:val="right"/>
              <w:rPr>
                <w:b/>
                <w:bCs/>
                <w:sz w:val="22"/>
                <w:szCs w:val="22"/>
                <w:lang w:eastAsia="cs-CZ"/>
              </w:rPr>
            </w:pPr>
            <w:r w:rsidRPr="00CC1789">
              <w:rPr>
                <w:b/>
                <w:bCs/>
                <w:sz w:val="22"/>
                <w:szCs w:val="22"/>
                <w:lang w:eastAsia="cs-CZ"/>
              </w:rPr>
              <w:t>367,13</w:t>
            </w:r>
          </w:p>
        </w:tc>
        <w:tc>
          <w:tcPr>
            <w:tcW w:w="1220" w:type="dxa"/>
            <w:tcBorders>
              <w:top w:val="nil"/>
              <w:left w:val="nil"/>
              <w:bottom w:val="single" w:sz="4" w:space="0" w:color="auto"/>
              <w:right w:val="single" w:sz="8" w:space="0" w:color="auto"/>
            </w:tcBorders>
            <w:shd w:val="clear" w:color="auto" w:fill="auto"/>
            <w:vAlign w:val="bottom"/>
            <w:hideMark/>
          </w:tcPr>
          <w:p w:rsidR="00C261BC" w:rsidRPr="00CC1789" w:rsidRDefault="00C261BC" w:rsidP="003F60AB">
            <w:pPr>
              <w:spacing w:line="240" w:lineRule="auto"/>
              <w:jc w:val="right"/>
              <w:rPr>
                <w:b/>
                <w:bCs/>
                <w:sz w:val="22"/>
                <w:szCs w:val="22"/>
                <w:lang w:eastAsia="cs-CZ"/>
              </w:rPr>
            </w:pPr>
            <w:r w:rsidRPr="00CC1789">
              <w:rPr>
                <w:b/>
                <w:bCs/>
                <w:sz w:val="22"/>
                <w:szCs w:val="22"/>
                <w:lang w:eastAsia="cs-CZ"/>
              </w:rPr>
              <w:t>204,06</w:t>
            </w:r>
          </w:p>
        </w:tc>
      </w:tr>
      <w:tr w:rsidR="00C261BC" w:rsidRPr="00CC1789" w:rsidTr="003F60AB">
        <w:trPr>
          <w:trHeight w:val="300"/>
        </w:trPr>
        <w:tc>
          <w:tcPr>
            <w:tcW w:w="3440" w:type="dxa"/>
            <w:tcBorders>
              <w:top w:val="nil"/>
              <w:left w:val="single" w:sz="8" w:space="0" w:color="auto"/>
              <w:bottom w:val="single" w:sz="8" w:space="0" w:color="auto"/>
              <w:right w:val="single" w:sz="4" w:space="0" w:color="auto"/>
            </w:tcBorders>
            <w:shd w:val="clear" w:color="auto" w:fill="auto"/>
            <w:vAlign w:val="bottom"/>
            <w:hideMark/>
          </w:tcPr>
          <w:p w:rsidR="00C261BC" w:rsidRPr="00CC1789" w:rsidRDefault="00C261BC" w:rsidP="003F60AB">
            <w:pPr>
              <w:spacing w:line="240" w:lineRule="auto"/>
              <w:jc w:val="left"/>
              <w:rPr>
                <w:sz w:val="22"/>
                <w:szCs w:val="22"/>
                <w:lang w:eastAsia="cs-CZ"/>
              </w:rPr>
            </w:pPr>
            <w:r w:rsidRPr="00CC1789">
              <w:rPr>
                <w:sz w:val="22"/>
                <w:szCs w:val="22"/>
                <w:lang w:eastAsia="cs-CZ"/>
              </w:rPr>
              <w:t>z toho: na důchodové pojištění</w:t>
            </w:r>
          </w:p>
        </w:tc>
        <w:tc>
          <w:tcPr>
            <w:tcW w:w="1180" w:type="dxa"/>
            <w:tcBorders>
              <w:top w:val="nil"/>
              <w:left w:val="nil"/>
              <w:bottom w:val="single" w:sz="8"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186,55</w:t>
            </w:r>
          </w:p>
        </w:tc>
        <w:tc>
          <w:tcPr>
            <w:tcW w:w="1120" w:type="dxa"/>
            <w:tcBorders>
              <w:top w:val="nil"/>
              <w:left w:val="nil"/>
              <w:bottom w:val="single" w:sz="8" w:space="0" w:color="auto"/>
              <w:right w:val="single" w:sz="4"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329,49</w:t>
            </w:r>
          </w:p>
        </w:tc>
        <w:tc>
          <w:tcPr>
            <w:tcW w:w="1220" w:type="dxa"/>
            <w:tcBorders>
              <w:top w:val="nil"/>
              <w:left w:val="nil"/>
              <w:bottom w:val="single" w:sz="8" w:space="0" w:color="auto"/>
              <w:right w:val="single" w:sz="8" w:space="0" w:color="auto"/>
            </w:tcBorders>
            <w:shd w:val="clear" w:color="auto" w:fill="auto"/>
            <w:vAlign w:val="bottom"/>
            <w:hideMark/>
          </w:tcPr>
          <w:p w:rsidR="00C261BC" w:rsidRPr="00CC1789" w:rsidRDefault="00C261BC" w:rsidP="003F60AB">
            <w:pPr>
              <w:spacing w:line="240" w:lineRule="auto"/>
              <w:jc w:val="right"/>
              <w:rPr>
                <w:sz w:val="22"/>
                <w:szCs w:val="22"/>
                <w:lang w:eastAsia="cs-CZ"/>
              </w:rPr>
            </w:pPr>
            <w:r w:rsidRPr="00CC1789">
              <w:rPr>
                <w:sz w:val="22"/>
                <w:szCs w:val="22"/>
                <w:lang w:eastAsia="cs-CZ"/>
              </w:rPr>
              <w:t>181,39</w:t>
            </w:r>
          </w:p>
        </w:tc>
      </w:tr>
    </w:tbl>
    <w:p w:rsidR="00C261BC" w:rsidRDefault="00C261BC" w:rsidP="00C261BC">
      <w:pPr>
        <w:rPr>
          <w:i/>
          <w:sz w:val="20"/>
        </w:rPr>
      </w:pPr>
      <w:r w:rsidRPr="007E3D67">
        <w:rPr>
          <w:i/>
          <w:sz w:val="20"/>
        </w:rPr>
        <w:t>Zdroj: Data –</w:t>
      </w:r>
      <w:r w:rsidRPr="007E3D67">
        <w:t xml:space="preserve"> </w:t>
      </w:r>
      <w:r w:rsidRPr="007E3D67">
        <w:rPr>
          <w:i/>
          <w:sz w:val="20"/>
        </w:rPr>
        <w:t>Zdroj: Data – Český statistický úřad,</w:t>
      </w:r>
      <w:r w:rsidRPr="007E3D67">
        <w:t xml:space="preserve"> </w:t>
      </w:r>
      <w:r w:rsidRPr="007E3D67">
        <w:rPr>
          <w:i/>
          <w:sz w:val="20"/>
        </w:rPr>
        <w:t>http://www.czso.cz,</w:t>
      </w:r>
      <w:r w:rsidRPr="007E3D67">
        <w:t xml:space="preserve"> </w:t>
      </w:r>
      <w:r w:rsidRPr="007E3D67">
        <w:rPr>
          <w:i/>
          <w:sz w:val="20"/>
        </w:rPr>
        <w:t>Tabulka: Vlastní konstrukce.</w:t>
      </w:r>
    </w:p>
    <w:p w:rsidR="00C261BC" w:rsidRDefault="00C261BC" w:rsidP="00C261BC"/>
    <w:p w:rsidR="00C261BC" w:rsidRDefault="00C261BC" w:rsidP="00C261BC"/>
    <w:p w:rsidR="00C261BC" w:rsidRPr="004E263B" w:rsidRDefault="00C261BC" w:rsidP="00C261BC">
      <w:pPr>
        <w:pStyle w:val="Titulek"/>
        <w:rPr>
          <w:b w:val="0"/>
        </w:rPr>
      </w:pPr>
      <w:bookmarkStart w:id="292" w:name="_Toc279696536"/>
      <w:r w:rsidRPr="004E263B">
        <w:rPr>
          <w:b w:val="0"/>
        </w:rPr>
        <w:t xml:space="preserve">Tab. </w:t>
      </w:r>
      <w:r>
        <w:rPr>
          <w:b w:val="0"/>
        </w:rPr>
        <w:t>3</w:t>
      </w:r>
      <w:r w:rsidRPr="004E263B">
        <w:rPr>
          <w:b w:val="0"/>
        </w:rPr>
        <w:t>: Hrubá míra úspor domácností v ČR (v letech 1995-2009)</w:t>
      </w:r>
      <w:bookmarkEnd w:id="292"/>
    </w:p>
    <w:tbl>
      <w:tblPr>
        <w:tblW w:w="8380" w:type="dxa"/>
        <w:tblInd w:w="-65" w:type="dxa"/>
        <w:tblCellMar>
          <w:left w:w="70" w:type="dxa"/>
          <w:right w:w="70" w:type="dxa"/>
        </w:tblCellMar>
        <w:tblLook w:val="04A0"/>
      </w:tblPr>
      <w:tblGrid>
        <w:gridCol w:w="1180"/>
        <w:gridCol w:w="720"/>
        <w:gridCol w:w="720"/>
        <w:gridCol w:w="720"/>
        <w:gridCol w:w="720"/>
        <w:gridCol w:w="720"/>
        <w:gridCol w:w="720"/>
        <w:gridCol w:w="720"/>
        <w:gridCol w:w="720"/>
        <w:gridCol w:w="720"/>
        <w:gridCol w:w="720"/>
      </w:tblGrid>
      <w:tr w:rsidR="00C261BC" w:rsidRPr="007E3D67" w:rsidTr="003F60AB">
        <w:trPr>
          <w:trHeight w:val="300"/>
        </w:trPr>
        <w:tc>
          <w:tcPr>
            <w:tcW w:w="1180" w:type="dxa"/>
            <w:tcBorders>
              <w:top w:val="single" w:sz="8" w:space="0" w:color="auto"/>
              <w:left w:val="single" w:sz="8" w:space="0" w:color="auto"/>
              <w:bottom w:val="single" w:sz="4" w:space="0" w:color="auto"/>
              <w:right w:val="single" w:sz="4" w:space="0" w:color="auto"/>
            </w:tcBorders>
            <w:shd w:val="clear" w:color="000000" w:fill="8DB4E3"/>
            <w:vAlign w:val="center"/>
            <w:hideMark/>
          </w:tcPr>
          <w:p w:rsidR="00C261BC" w:rsidRPr="007E3D67" w:rsidRDefault="00C261BC" w:rsidP="003F60AB">
            <w:pPr>
              <w:spacing w:line="240" w:lineRule="auto"/>
              <w:ind w:firstLineChars="100" w:firstLine="221"/>
              <w:jc w:val="left"/>
              <w:rPr>
                <w:b/>
                <w:bCs/>
                <w:color w:val="FFFFFF"/>
                <w:sz w:val="22"/>
                <w:szCs w:val="22"/>
                <w:lang w:eastAsia="cs-CZ"/>
              </w:rPr>
            </w:pPr>
            <w:r w:rsidRPr="007E3D67">
              <w:rPr>
                <w:b/>
                <w:bCs/>
                <w:color w:val="FFFFFF"/>
                <w:sz w:val="22"/>
                <w:szCs w:val="22"/>
                <w:lang w:eastAsia="cs-CZ"/>
              </w:rPr>
              <w:t> </w:t>
            </w:r>
          </w:p>
        </w:tc>
        <w:tc>
          <w:tcPr>
            <w:tcW w:w="720" w:type="dxa"/>
            <w:tcBorders>
              <w:top w:val="single" w:sz="8" w:space="0" w:color="auto"/>
              <w:left w:val="nil"/>
              <w:bottom w:val="single" w:sz="4" w:space="0" w:color="auto"/>
              <w:right w:val="single" w:sz="4" w:space="0" w:color="auto"/>
            </w:tcBorders>
            <w:shd w:val="clear" w:color="000000" w:fill="8DB4E3"/>
            <w:vAlign w:val="center"/>
            <w:hideMark/>
          </w:tcPr>
          <w:p w:rsidR="00C261BC" w:rsidRPr="007E3D67" w:rsidRDefault="00C261BC" w:rsidP="003F60AB">
            <w:pPr>
              <w:spacing w:line="240" w:lineRule="auto"/>
              <w:jc w:val="center"/>
              <w:rPr>
                <w:b/>
                <w:bCs/>
                <w:color w:val="FFFFFF"/>
                <w:sz w:val="22"/>
                <w:szCs w:val="22"/>
                <w:lang w:eastAsia="cs-CZ"/>
              </w:rPr>
            </w:pPr>
            <w:r w:rsidRPr="007E3D67">
              <w:rPr>
                <w:b/>
                <w:bCs/>
                <w:color w:val="FFFFFF"/>
                <w:sz w:val="22"/>
                <w:szCs w:val="22"/>
                <w:lang w:eastAsia="cs-CZ"/>
              </w:rPr>
              <w:t>2000</w:t>
            </w:r>
          </w:p>
        </w:tc>
        <w:tc>
          <w:tcPr>
            <w:tcW w:w="720" w:type="dxa"/>
            <w:tcBorders>
              <w:top w:val="single" w:sz="8" w:space="0" w:color="auto"/>
              <w:left w:val="nil"/>
              <w:bottom w:val="single" w:sz="4" w:space="0" w:color="auto"/>
              <w:right w:val="single" w:sz="4" w:space="0" w:color="auto"/>
            </w:tcBorders>
            <w:shd w:val="clear" w:color="000000" w:fill="8DB4E3"/>
            <w:vAlign w:val="center"/>
            <w:hideMark/>
          </w:tcPr>
          <w:p w:rsidR="00C261BC" w:rsidRPr="007E3D67" w:rsidRDefault="00C261BC" w:rsidP="003F60AB">
            <w:pPr>
              <w:spacing w:line="240" w:lineRule="auto"/>
              <w:jc w:val="center"/>
              <w:rPr>
                <w:b/>
                <w:bCs/>
                <w:color w:val="FFFFFF"/>
                <w:sz w:val="22"/>
                <w:szCs w:val="22"/>
                <w:lang w:eastAsia="cs-CZ"/>
              </w:rPr>
            </w:pPr>
            <w:r w:rsidRPr="007E3D67">
              <w:rPr>
                <w:b/>
                <w:bCs/>
                <w:color w:val="FFFFFF"/>
                <w:sz w:val="22"/>
                <w:szCs w:val="22"/>
                <w:lang w:eastAsia="cs-CZ"/>
              </w:rPr>
              <w:t>2001</w:t>
            </w:r>
          </w:p>
        </w:tc>
        <w:tc>
          <w:tcPr>
            <w:tcW w:w="720" w:type="dxa"/>
            <w:tcBorders>
              <w:top w:val="single" w:sz="8" w:space="0" w:color="auto"/>
              <w:left w:val="nil"/>
              <w:bottom w:val="single" w:sz="4" w:space="0" w:color="auto"/>
              <w:right w:val="single" w:sz="4" w:space="0" w:color="auto"/>
            </w:tcBorders>
            <w:shd w:val="clear" w:color="000000" w:fill="8DB4E3"/>
            <w:vAlign w:val="center"/>
            <w:hideMark/>
          </w:tcPr>
          <w:p w:rsidR="00C261BC" w:rsidRPr="007E3D67" w:rsidRDefault="00C261BC" w:rsidP="003F60AB">
            <w:pPr>
              <w:spacing w:line="240" w:lineRule="auto"/>
              <w:jc w:val="center"/>
              <w:rPr>
                <w:b/>
                <w:bCs/>
                <w:color w:val="FFFFFF"/>
                <w:sz w:val="22"/>
                <w:szCs w:val="22"/>
                <w:lang w:eastAsia="cs-CZ"/>
              </w:rPr>
            </w:pPr>
            <w:r w:rsidRPr="007E3D67">
              <w:rPr>
                <w:b/>
                <w:bCs/>
                <w:color w:val="FFFFFF"/>
                <w:sz w:val="22"/>
                <w:szCs w:val="22"/>
                <w:lang w:eastAsia="cs-CZ"/>
              </w:rPr>
              <w:t>2002</w:t>
            </w:r>
          </w:p>
        </w:tc>
        <w:tc>
          <w:tcPr>
            <w:tcW w:w="720" w:type="dxa"/>
            <w:tcBorders>
              <w:top w:val="single" w:sz="8" w:space="0" w:color="auto"/>
              <w:left w:val="nil"/>
              <w:bottom w:val="single" w:sz="4" w:space="0" w:color="auto"/>
              <w:right w:val="single" w:sz="4" w:space="0" w:color="auto"/>
            </w:tcBorders>
            <w:shd w:val="clear" w:color="000000" w:fill="8DB4E3"/>
            <w:vAlign w:val="center"/>
            <w:hideMark/>
          </w:tcPr>
          <w:p w:rsidR="00C261BC" w:rsidRPr="007E3D67" w:rsidRDefault="00C261BC" w:rsidP="003F60AB">
            <w:pPr>
              <w:spacing w:line="240" w:lineRule="auto"/>
              <w:jc w:val="center"/>
              <w:rPr>
                <w:b/>
                <w:bCs/>
                <w:color w:val="FFFFFF"/>
                <w:sz w:val="22"/>
                <w:szCs w:val="22"/>
                <w:lang w:eastAsia="cs-CZ"/>
              </w:rPr>
            </w:pPr>
            <w:r w:rsidRPr="007E3D67">
              <w:rPr>
                <w:b/>
                <w:bCs/>
                <w:color w:val="FFFFFF"/>
                <w:sz w:val="22"/>
                <w:szCs w:val="22"/>
                <w:lang w:eastAsia="cs-CZ"/>
              </w:rPr>
              <w:t>2003</w:t>
            </w:r>
          </w:p>
        </w:tc>
        <w:tc>
          <w:tcPr>
            <w:tcW w:w="720" w:type="dxa"/>
            <w:tcBorders>
              <w:top w:val="single" w:sz="8" w:space="0" w:color="auto"/>
              <w:left w:val="nil"/>
              <w:bottom w:val="single" w:sz="4" w:space="0" w:color="auto"/>
              <w:right w:val="single" w:sz="4" w:space="0" w:color="auto"/>
            </w:tcBorders>
            <w:shd w:val="clear" w:color="000000" w:fill="8DB4E3"/>
            <w:vAlign w:val="center"/>
            <w:hideMark/>
          </w:tcPr>
          <w:p w:rsidR="00C261BC" w:rsidRPr="007E3D67" w:rsidRDefault="00C261BC" w:rsidP="003F60AB">
            <w:pPr>
              <w:spacing w:line="240" w:lineRule="auto"/>
              <w:jc w:val="center"/>
              <w:rPr>
                <w:b/>
                <w:bCs/>
                <w:color w:val="FFFFFF"/>
                <w:sz w:val="22"/>
                <w:szCs w:val="22"/>
                <w:lang w:eastAsia="cs-CZ"/>
              </w:rPr>
            </w:pPr>
            <w:r w:rsidRPr="007E3D67">
              <w:rPr>
                <w:b/>
                <w:bCs/>
                <w:color w:val="FFFFFF"/>
                <w:sz w:val="22"/>
                <w:szCs w:val="22"/>
                <w:lang w:eastAsia="cs-CZ"/>
              </w:rPr>
              <w:t>2004</w:t>
            </w:r>
          </w:p>
        </w:tc>
        <w:tc>
          <w:tcPr>
            <w:tcW w:w="720" w:type="dxa"/>
            <w:tcBorders>
              <w:top w:val="single" w:sz="8" w:space="0" w:color="auto"/>
              <w:left w:val="nil"/>
              <w:bottom w:val="single" w:sz="4" w:space="0" w:color="auto"/>
              <w:right w:val="single" w:sz="4" w:space="0" w:color="auto"/>
            </w:tcBorders>
            <w:shd w:val="clear" w:color="000000" w:fill="8DB4E3"/>
            <w:vAlign w:val="center"/>
            <w:hideMark/>
          </w:tcPr>
          <w:p w:rsidR="00C261BC" w:rsidRPr="007E3D67" w:rsidRDefault="00C261BC" w:rsidP="003F60AB">
            <w:pPr>
              <w:spacing w:line="240" w:lineRule="auto"/>
              <w:jc w:val="center"/>
              <w:rPr>
                <w:b/>
                <w:bCs/>
                <w:color w:val="FFFFFF"/>
                <w:sz w:val="22"/>
                <w:szCs w:val="22"/>
                <w:lang w:eastAsia="cs-CZ"/>
              </w:rPr>
            </w:pPr>
            <w:r w:rsidRPr="007E3D67">
              <w:rPr>
                <w:b/>
                <w:bCs/>
                <w:color w:val="FFFFFF"/>
                <w:sz w:val="22"/>
                <w:szCs w:val="22"/>
                <w:lang w:eastAsia="cs-CZ"/>
              </w:rPr>
              <w:t>2005</w:t>
            </w:r>
          </w:p>
        </w:tc>
        <w:tc>
          <w:tcPr>
            <w:tcW w:w="720" w:type="dxa"/>
            <w:tcBorders>
              <w:top w:val="single" w:sz="8" w:space="0" w:color="auto"/>
              <w:left w:val="nil"/>
              <w:bottom w:val="single" w:sz="4" w:space="0" w:color="auto"/>
              <w:right w:val="single" w:sz="4" w:space="0" w:color="auto"/>
            </w:tcBorders>
            <w:shd w:val="clear" w:color="000000" w:fill="8DB4E3"/>
            <w:vAlign w:val="center"/>
            <w:hideMark/>
          </w:tcPr>
          <w:p w:rsidR="00C261BC" w:rsidRPr="007E3D67" w:rsidRDefault="00C261BC" w:rsidP="003F60AB">
            <w:pPr>
              <w:spacing w:line="240" w:lineRule="auto"/>
              <w:jc w:val="center"/>
              <w:rPr>
                <w:b/>
                <w:bCs/>
                <w:color w:val="FFFFFF"/>
                <w:sz w:val="22"/>
                <w:szCs w:val="22"/>
                <w:lang w:eastAsia="cs-CZ"/>
              </w:rPr>
            </w:pPr>
            <w:r w:rsidRPr="007E3D67">
              <w:rPr>
                <w:b/>
                <w:bCs/>
                <w:color w:val="FFFFFF"/>
                <w:sz w:val="22"/>
                <w:szCs w:val="22"/>
                <w:lang w:eastAsia="cs-CZ"/>
              </w:rPr>
              <w:t>2006</w:t>
            </w:r>
          </w:p>
        </w:tc>
        <w:tc>
          <w:tcPr>
            <w:tcW w:w="720" w:type="dxa"/>
            <w:tcBorders>
              <w:top w:val="single" w:sz="8" w:space="0" w:color="auto"/>
              <w:left w:val="nil"/>
              <w:bottom w:val="single" w:sz="4" w:space="0" w:color="auto"/>
              <w:right w:val="single" w:sz="4" w:space="0" w:color="auto"/>
            </w:tcBorders>
            <w:shd w:val="clear" w:color="000000" w:fill="8DB4E3"/>
            <w:vAlign w:val="center"/>
            <w:hideMark/>
          </w:tcPr>
          <w:p w:rsidR="00C261BC" w:rsidRPr="007E3D67" w:rsidRDefault="00C261BC" w:rsidP="003F60AB">
            <w:pPr>
              <w:spacing w:line="240" w:lineRule="auto"/>
              <w:jc w:val="center"/>
              <w:rPr>
                <w:b/>
                <w:bCs/>
                <w:color w:val="FFFFFF"/>
                <w:sz w:val="22"/>
                <w:szCs w:val="22"/>
                <w:lang w:eastAsia="cs-CZ"/>
              </w:rPr>
            </w:pPr>
            <w:r w:rsidRPr="007E3D67">
              <w:rPr>
                <w:b/>
                <w:bCs/>
                <w:color w:val="FFFFFF"/>
                <w:sz w:val="22"/>
                <w:szCs w:val="22"/>
                <w:lang w:eastAsia="cs-CZ"/>
              </w:rPr>
              <w:t>2007</w:t>
            </w:r>
          </w:p>
        </w:tc>
        <w:tc>
          <w:tcPr>
            <w:tcW w:w="720" w:type="dxa"/>
            <w:tcBorders>
              <w:top w:val="single" w:sz="8" w:space="0" w:color="auto"/>
              <w:left w:val="nil"/>
              <w:bottom w:val="single" w:sz="4" w:space="0" w:color="auto"/>
              <w:right w:val="single" w:sz="4" w:space="0" w:color="auto"/>
            </w:tcBorders>
            <w:shd w:val="clear" w:color="000000" w:fill="8DB4E3"/>
            <w:vAlign w:val="center"/>
            <w:hideMark/>
          </w:tcPr>
          <w:p w:rsidR="00C261BC" w:rsidRPr="007E3D67" w:rsidRDefault="00C261BC" w:rsidP="003F60AB">
            <w:pPr>
              <w:spacing w:line="240" w:lineRule="auto"/>
              <w:jc w:val="center"/>
              <w:rPr>
                <w:b/>
                <w:bCs/>
                <w:color w:val="FFFFFF"/>
                <w:sz w:val="22"/>
                <w:szCs w:val="22"/>
                <w:lang w:eastAsia="cs-CZ"/>
              </w:rPr>
            </w:pPr>
            <w:r w:rsidRPr="007E3D67">
              <w:rPr>
                <w:b/>
                <w:bCs/>
                <w:color w:val="FFFFFF"/>
                <w:sz w:val="22"/>
                <w:szCs w:val="22"/>
                <w:lang w:eastAsia="cs-CZ"/>
              </w:rPr>
              <w:t>2008</w:t>
            </w:r>
          </w:p>
        </w:tc>
        <w:tc>
          <w:tcPr>
            <w:tcW w:w="720" w:type="dxa"/>
            <w:tcBorders>
              <w:top w:val="single" w:sz="8" w:space="0" w:color="auto"/>
              <w:left w:val="nil"/>
              <w:bottom w:val="single" w:sz="4" w:space="0" w:color="auto"/>
              <w:right w:val="single" w:sz="8" w:space="0" w:color="auto"/>
            </w:tcBorders>
            <w:shd w:val="clear" w:color="000000" w:fill="8DB4E3"/>
            <w:vAlign w:val="center"/>
            <w:hideMark/>
          </w:tcPr>
          <w:p w:rsidR="00C261BC" w:rsidRPr="007E3D67" w:rsidRDefault="00C261BC" w:rsidP="003F60AB">
            <w:pPr>
              <w:spacing w:line="240" w:lineRule="auto"/>
              <w:jc w:val="center"/>
              <w:rPr>
                <w:b/>
                <w:bCs/>
                <w:color w:val="FFFFFF"/>
                <w:sz w:val="22"/>
                <w:szCs w:val="22"/>
                <w:lang w:eastAsia="cs-CZ"/>
              </w:rPr>
            </w:pPr>
            <w:r w:rsidRPr="007E3D67">
              <w:rPr>
                <w:b/>
                <w:bCs/>
                <w:color w:val="FFFFFF"/>
                <w:sz w:val="22"/>
                <w:szCs w:val="22"/>
                <w:lang w:eastAsia="cs-CZ"/>
              </w:rPr>
              <w:t>2009</w:t>
            </w:r>
          </w:p>
        </w:tc>
      </w:tr>
      <w:tr w:rsidR="00C261BC" w:rsidRPr="007E3D67" w:rsidTr="00A41C80">
        <w:trPr>
          <w:trHeight w:val="828"/>
        </w:trPr>
        <w:tc>
          <w:tcPr>
            <w:tcW w:w="1180" w:type="dxa"/>
            <w:tcBorders>
              <w:top w:val="nil"/>
              <w:left w:val="single" w:sz="8" w:space="0" w:color="auto"/>
              <w:bottom w:val="single" w:sz="8" w:space="0" w:color="auto"/>
              <w:right w:val="single" w:sz="4" w:space="0" w:color="auto"/>
            </w:tcBorders>
            <w:shd w:val="clear" w:color="000000" w:fill="FFFFFF"/>
            <w:hideMark/>
          </w:tcPr>
          <w:p w:rsidR="00C261BC" w:rsidRPr="007E3D67" w:rsidRDefault="00C261BC" w:rsidP="003F60AB">
            <w:pPr>
              <w:spacing w:line="240" w:lineRule="auto"/>
              <w:ind w:firstLineChars="100" w:firstLine="220"/>
              <w:jc w:val="left"/>
              <w:rPr>
                <w:color w:val="000000"/>
                <w:sz w:val="22"/>
                <w:szCs w:val="22"/>
                <w:lang w:eastAsia="cs-CZ"/>
              </w:rPr>
            </w:pPr>
            <w:r w:rsidRPr="007E3D67">
              <w:rPr>
                <w:color w:val="000000"/>
                <w:sz w:val="22"/>
                <w:szCs w:val="22"/>
                <w:lang w:eastAsia="cs-CZ"/>
              </w:rPr>
              <w:t>Hrubá míra úspor (v %)</w:t>
            </w:r>
          </w:p>
        </w:tc>
        <w:tc>
          <w:tcPr>
            <w:tcW w:w="720" w:type="dxa"/>
            <w:tcBorders>
              <w:top w:val="nil"/>
              <w:left w:val="nil"/>
              <w:bottom w:val="single" w:sz="8" w:space="0" w:color="auto"/>
              <w:right w:val="single" w:sz="4" w:space="0" w:color="auto"/>
            </w:tcBorders>
            <w:shd w:val="clear" w:color="000000" w:fill="FFFFFF"/>
            <w:vAlign w:val="center"/>
            <w:hideMark/>
          </w:tcPr>
          <w:p w:rsidR="00C261BC" w:rsidRPr="007E3D67" w:rsidRDefault="00C261BC" w:rsidP="003F60AB">
            <w:pPr>
              <w:spacing w:line="240" w:lineRule="auto"/>
              <w:jc w:val="center"/>
              <w:rPr>
                <w:b/>
                <w:bCs/>
                <w:color w:val="000000"/>
                <w:sz w:val="22"/>
                <w:szCs w:val="22"/>
                <w:lang w:eastAsia="cs-CZ"/>
              </w:rPr>
            </w:pPr>
            <w:r w:rsidRPr="007E3D67">
              <w:rPr>
                <w:b/>
                <w:bCs/>
                <w:color w:val="000000"/>
                <w:sz w:val="22"/>
                <w:szCs w:val="22"/>
                <w:lang w:eastAsia="cs-CZ"/>
              </w:rPr>
              <w:t>8,4</w:t>
            </w:r>
          </w:p>
        </w:tc>
        <w:tc>
          <w:tcPr>
            <w:tcW w:w="720" w:type="dxa"/>
            <w:tcBorders>
              <w:top w:val="nil"/>
              <w:left w:val="nil"/>
              <w:bottom w:val="single" w:sz="8" w:space="0" w:color="auto"/>
              <w:right w:val="single" w:sz="4" w:space="0" w:color="auto"/>
            </w:tcBorders>
            <w:shd w:val="clear" w:color="000000" w:fill="FFFFFF"/>
            <w:vAlign w:val="center"/>
            <w:hideMark/>
          </w:tcPr>
          <w:p w:rsidR="00C261BC" w:rsidRPr="007E3D67" w:rsidRDefault="00C261BC" w:rsidP="003F60AB">
            <w:pPr>
              <w:spacing w:line="240" w:lineRule="auto"/>
              <w:jc w:val="center"/>
              <w:rPr>
                <w:b/>
                <w:bCs/>
                <w:color w:val="000000"/>
                <w:sz w:val="22"/>
                <w:szCs w:val="22"/>
                <w:lang w:eastAsia="cs-CZ"/>
              </w:rPr>
            </w:pPr>
            <w:r w:rsidRPr="007E3D67">
              <w:rPr>
                <w:b/>
                <w:bCs/>
                <w:color w:val="000000"/>
                <w:sz w:val="22"/>
                <w:szCs w:val="22"/>
                <w:lang w:eastAsia="cs-CZ"/>
              </w:rPr>
              <w:t>7,4</w:t>
            </w:r>
          </w:p>
        </w:tc>
        <w:tc>
          <w:tcPr>
            <w:tcW w:w="720" w:type="dxa"/>
            <w:tcBorders>
              <w:top w:val="nil"/>
              <w:left w:val="nil"/>
              <w:bottom w:val="single" w:sz="8" w:space="0" w:color="auto"/>
              <w:right w:val="single" w:sz="4" w:space="0" w:color="auto"/>
            </w:tcBorders>
            <w:shd w:val="clear" w:color="000000" w:fill="FFFFFF"/>
            <w:vAlign w:val="center"/>
            <w:hideMark/>
          </w:tcPr>
          <w:p w:rsidR="00C261BC" w:rsidRPr="007E3D67" w:rsidRDefault="00C261BC" w:rsidP="003F60AB">
            <w:pPr>
              <w:spacing w:line="240" w:lineRule="auto"/>
              <w:jc w:val="center"/>
              <w:rPr>
                <w:b/>
                <w:bCs/>
                <w:color w:val="000000"/>
                <w:sz w:val="22"/>
                <w:szCs w:val="22"/>
                <w:lang w:eastAsia="cs-CZ"/>
              </w:rPr>
            </w:pPr>
            <w:r w:rsidRPr="007E3D67">
              <w:rPr>
                <w:b/>
                <w:bCs/>
                <w:color w:val="000000"/>
                <w:sz w:val="22"/>
                <w:szCs w:val="22"/>
                <w:lang w:eastAsia="cs-CZ"/>
              </w:rPr>
              <w:t>8,3</w:t>
            </w:r>
          </w:p>
        </w:tc>
        <w:tc>
          <w:tcPr>
            <w:tcW w:w="720" w:type="dxa"/>
            <w:tcBorders>
              <w:top w:val="nil"/>
              <w:left w:val="nil"/>
              <w:bottom w:val="single" w:sz="8" w:space="0" w:color="auto"/>
              <w:right w:val="single" w:sz="4" w:space="0" w:color="auto"/>
            </w:tcBorders>
            <w:shd w:val="clear" w:color="000000" w:fill="FFFFFF"/>
            <w:vAlign w:val="center"/>
            <w:hideMark/>
          </w:tcPr>
          <w:p w:rsidR="00C261BC" w:rsidRPr="007E3D67" w:rsidRDefault="00C261BC" w:rsidP="003F60AB">
            <w:pPr>
              <w:spacing w:line="240" w:lineRule="auto"/>
              <w:jc w:val="center"/>
              <w:rPr>
                <w:b/>
                <w:bCs/>
                <w:color w:val="000000"/>
                <w:sz w:val="22"/>
                <w:szCs w:val="22"/>
                <w:lang w:eastAsia="cs-CZ"/>
              </w:rPr>
            </w:pPr>
            <w:r w:rsidRPr="007E3D67">
              <w:rPr>
                <w:b/>
                <w:bCs/>
                <w:color w:val="000000"/>
                <w:sz w:val="22"/>
                <w:szCs w:val="22"/>
                <w:lang w:eastAsia="cs-CZ"/>
              </w:rPr>
              <w:t>7,4</w:t>
            </w:r>
          </w:p>
        </w:tc>
        <w:tc>
          <w:tcPr>
            <w:tcW w:w="720" w:type="dxa"/>
            <w:tcBorders>
              <w:top w:val="nil"/>
              <w:left w:val="nil"/>
              <w:bottom w:val="single" w:sz="8" w:space="0" w:color="auto"/>
              <w:right w:val="single" w:sz="4" w:space="0" w:color="auto"/>
            </w:tcBorders>
            <w:shd w:val="clear" w:color="000000" w:fill="FFFFFF"/>
            <w:vAlign w:val="center"/>
            <w:hideMark/>
          </w:tcPr>
          <w:p w:rsidR="00C261BC" w:rsidRPr="007E3D67" w:rsidRDefault="00C261BC" w:rsidP="003F60AB">
            <w:pPr>
              <w:spacing w:line="240" w:lineRule="auto"/>
              <w:jc w:val="center"/>
              <w:rPr>
                <w:b/>
                <w:bCs/>
                <w:color w:val="000000"/>
                <w:sz w:val="22"/>
                <w:szCs w:val="22"/>
                <w:lang w:eastAsia="cs-CZ"/>
              </w:rPr>
            </w:pPr>
            <w:r w:rsidRPr="007E3D67">
              <w:rPr>
                <w:b/>
                <w:bCs/>
                <w:color w:val="000000"/>
                <w:sz w:val="22"/>
                <w:szCs w:val="22"/>
                <w:lang w:eastAsia="cs-CZ"/>
              </w:rPr>
              <w:t>5,4</w:t>
            </w:r>
          </w:p>
        </w:tc>
        <w:tc>
          <w:tcPr>
            <w:tcW w:w="720" w:type="dxa"/>
            <w:tcBorders>
              <w:top w:val="nil"/>
              <w:left w:val="nil"/>
              <w:bottom w:val="single" w:sz="8" w:space="0" w:color="auto"/>
              <w:right w:val="single" w:sz="4" w:space="0" w:color="auto"/>
            </w:tcBorders>
            <w:shd w:val="clear" w:color="000000" w:fill="FFFFFF"/>
            <w:vAlign w:val="center"/>
            <w:hideMark/>
          </w:tcPr>
          <w:p w:rsidR="00C261BC" w:rsidRPr="007E3D67" w:rsidRDefault="00C261BC" w:rsidP="003F60AB">
            <w:pPr>
              <w:spacing w:line="240" w:lineRule="auto"/>
              <w:jc w:val="center"/>
              <w:rPr>
                <w:b/>
                <w:bCs/>
                <w:color w:val="000000"/>
                <w:sz w:val="22"/>
                <w:szCs w:val="22"/>
                <w:lang w:eastAsia="cs-CZ"/>
              </w:rPr>
            </w:pPr>
            <w:r w:rsidRPr="007E3D67">
              <w:rPr>
                <w:b/>
                <w:bCs/>
                <w:color w:val="000000"/>
                <w:sz w:val="22"/>
                <w:szCs w:val="22"/>
                <w:lang w:eastAsia="cs-CZ"/>
              </w:rPr>
              <w:t>8,2</w:t>
            </w:r>
          </w:p>
        </w:tc>
        <w:tc>
          <w:tcPr>
            <w:tcW w:w="720" w:type="dxa"/>
            <w:tcBorders>
              <w:top w:val="nil"/>
              <w:left w:val="nil"/>
              <w:bottom w:val="single" w:sz="8" w:space="0" w:color="auto"/>
              <w:right w:val="single" w:sz="4" w:space="0" w:color="auto"/>
            </w:tcBorders>
            <w:shd w:val="clear" w:color="000000" w:fill="FFFFFF"/>
            <w:vAlign w:val="center"/>
            <w:hideMark/>
          </w:tcPr>
          <w:p w:rsidR="00C261BC" w:rsidRPr="007E3D67" w:rsidRDefault="00C261BC" w:rsidP="003F60AB">
            <w:pPr>
              <w:spacing w:line="240" w:lineRule="auto"/>
              <w:jc w:val="center"/>
              <w:rPr>
                <w:b/>
                <w:bCs/>
                <w:color w:val="000000"/>
                <w:sz w:val="22"/>
                <w:szCs w:val="22"/>
                <w:lang w:eastAsia="cs-CZ"/>
              </w:rPr>
            </w:pPr>
            <w:r w:rsidRPr="007E3D67">
              <w:rPr>
                <w:b/>
                <w:bCs/>
                <w:color w:val="000000"/>
                <w:sz w:val="22"/>
                <w:szCs w:val="22"/>
                <w:lang w:eastAsia="cs-CZ"/>
              </w:rPr>
              <w:t>9,6</w:t>
            </w:r>
          </w:p>
        </w:tc>
        <w:tc>
          <w:tcPr>
            <w:tcW w:w="720" w:type="dxa"/>
            <w:tcBorders>
              <w:top w:val="nil"/>
              <w:left w:val="nil"/>
              <w:bottom w:val="single" w:sz="8" w:space="0" w:color="auto"/>
              <w:right w:val="single" w:sz="4" w:space="0" w:color="auto"/>
            </w:tcBorders>
            <w:shd w:val="clear" w:color="000000" w:fill="FFFFFF"/>
            <w:vAlign w:val="center"/>
            <w:hideMark/>
          </w:tcPr>
          <w:p w:rsidR="00C261BC" w:rsidRPr="007E3D67" w:rsidRDefault="00C261BC" w:rsidP="003F60AB">
            <w:pPr>
              <w:spacing w:line="240" w:lineRule="auto"/>
              <w:jc w:val="center"/>
              <w:rPr>
                <w:b/>
                <w:bCs/>
                <w:color w:val="000000"/>
                <w:sz w:val="22"/>
                <w:szCs w:val="22"/>
                <w:lang w:eastAsia="cs-CZ"/>
              </w:rPr>
            </w:pPr>
            <w:r w:rsidRPr="007E3D67">
              <w:rPr>
                <w:b/>
                <w:bCs/>
                <w:color w:val="000000"/>
                <w:sz w:val="22"/>
                <w:szCs w:val="22"/>
                <w:lang w:eastAsia="cs-CZ"/>
              </w:rPr>
              <w:t>10,9</w:t>
            </w:r>
          </w:p>
        </w:tc>
        <w:tc>
          <w:tcPr>
            <w:tcW w:w="720" w:type="dxa"/>
            <w:tcBorders>
              <w:top w:val="nil"/>
              <w:left w:val="nil"/>
              <w:bottom w:val="single" w:sz="8" w:space="0" w:color="auto"/>
              <w:right w:val="single" w:sz="4" w:space="0" w:color="auto"/>
            </w:tcBorders>
            <w:shd w:val="clear" w:color="000000" w:fill="FFFFFF"/>
            <w:vAlign w:val="center"/>
            <w:hideMark/>
          </w:tcPr>
          <w:p w:rsidR="00C261BC" w:rsidRPr="007E3D67" w:rsidRDefault="00C261BC" w:rsidP="003F60AB">
            <w:pPr>
              <w:spacing w:line="240" w:lineRule="auto"/>
              <w:jc w:val="center"/>
              <w:rPr>
                <w:b/>
                <w:bCs/>
                <w:color w:val="000000"/>
                <w:sz w:val="22"/>
                <w:szCs w:val="22"/>
                <w:lang w:eastAsia="cs-CZ"/>
              </w:rPr>
            </w:pPr>
            <w:r w:rsidRPr="007E3D67">
              <w:rPr>
                <w:b/>
                <w:bCs/>
                <w:color w:val="000000"/>
                <w:sz w:val="22"/>
                <w:szCs w:val="22"/>
                <w:lang w:eastAsia="cs-CZ"/>
              </w:rPr>
              <w:t>10,4</w:t>
            </w:r>
          </w:p>
        </w:tc>
        <w:tc>
          <w:tcPr>
            <w:tcW w:w="720" w:type="dxa"/>
            <w:tcBorders>
              <w:top w:val="nil"/>
              <w:left w:val="nil"/>
              <w:bottom w:val="single" w:sz="8" w:space="0" w:color="auto"/>
              <w:right w:val="single" w:sz="8" w:space="0" w:color="auto"/>
            </w:tcBorders>
            <w:shd w:val="clear" w:color="000000" w:fill="FFFFFF"/>
            <w:vAlign w:val="center"/>
            <w:hideMark/>
          </w:tcPr>
          <w:p w:rsidR="00C261BC" w:rsidRPr="007E3D67" w:rsidRDefault="00C261BC" w:rsidP="003F60AB">
            <w:pPr>
              <w:spacing w:line="240" w:lineRule="auto"/>
              <w:jc w:val="center"/>
              <w:rPr>
                <w:b/>
                <w:bCs/>
                <w:color w:val="000000"/>
                <w:sz w:val="22"/>
                <w:szCs w:val="22"/>
                <w:lang w:eastAsia="cs-CZ"/>
              </w:rPr>
            </w:pPr>
            <w:r w:rsidRPr="007E3D67">
              <w:rPr>
                <w:b/>
                <w:bCs/>
                <w:color w:val="000000"/>
                <w:sz w:val="22"/>
                <w:szCs w:val="22"/>
                <w:lang w:eastAsia="cs-CZ"/>
              </w:rPr>
              <w:t>9,4</w:t>
            </w:r>
          </w:p>
        </w:tc>
      </w:tr>
    </w:tbl>
    <w:p w:rsidR="00C261BC" w:rsidRPr="007E3D67" w:rsidRDefault="00C261BC" w:rsidP="00C261BC">
      <w:pPr>
        <w:rPr>
          <w:i/>
          <w:sz w:val="20"/>
        </w:rPr>
      </w:pPr>
      <w:r w:rsidRPr="007E3D67">
        <w:rPr>
          <w:i/>
          <w:sz w:val="20"/>
        </w:rPr>
        <w:t>Zdroj: Data –</w:t>
      </w:r>
      <w:r w:rsidRPr="007E3D67">
        <w:t xml:space="preserve"> </w:t>
      </w:r>
      <w:r w:rsidRPr="007E3D67">
        <w:rPr>
          <w:i/>
          <w:sz w:val="20"/>
        </w:rPr>
        <w:t>Zdroj: Data – Český statistický úřad,</w:t>
      </w:r>
      <w:r w:rsidRPr="007E3D67">
        <w:t xml:space="preserve"> </w:t>
      </w:r>
      <w:r w:rsidRPr="007E3D67">
        <w:rPr>
          <w:i/>
          <w:sz w:val="20"/>
        </w:rPr>
        <w:t>http://www.czso.cz,</w:t>
      </w:r>
      <w:r w:rsidRPr="007E3D67">
        <w:t xml:space="preserve"> </w:t>
      </w:r>
      <w:r w:rsidRPr="007E3D67">
        <w:rPr>
          <w:i/>
          <w:sz w:val="20"/>
        </w:rPr>
        <w:t>Tabulka: Vlastní konstrukce.</w:t>
      </w:r>
    </w:p>
    <w:p w:rsidR="00C261BC" w:rsidRDefault="00C261BC" w:rsidP="00C261BC"/>
    <w:p w:rsidR="00C261BC" w:rsidRPr="00C261BC" w:rsidRDefault="00C261BC" w:rsidP="00C261BC">
      <w:pPr>
        <w:pStyle w:val="Titulek"/>
        <w:rPr>
          <w:b w:val="0"/>
        </w:rPr>
      </w:pPr>
      <w:bookmarkStart w:id="293" w:name="_Toc279696537"/>
      <w:r w:rsidRPr="00C261BC">
        <w:rPr>
          <w:b w:val="0"/>
        </w:rPr>
        <w:t xml:space="preserve">Tab. </w:t>
      </w:r>
      <w:r>
        <w:rPr>
          <w:b w:val="0"/>
        </w:rPr>
        <w:t>4</w:t>
      </w:r>
      <w:r w:rsidRPr="00C261BC">
        <w:rPr>
          <w:b w:val="0"/>
        </w:rPr>
        <w:t>: Prodeje osobních automobilů v ČR (srovnání ve stejném období 2009 a 2010)</w:t>
      </w:r>
      <w:bookmarkEnd w:id="293"/>
    </w:p>
    <w:tbl>
      <w:tblPr>
        <w:tblW w:w="7260" w:type="dxa"/>
        <w:tblInd w:w="55" w:type="dxa"/>
        <w:tblCellMar>
          <w:left w:w="70" w:type="dxa"/>
          <w:right w:w="70" w:type="dxa"/>
        </w:tblCellMar>
        <w:tblLook w:val="04A0"/>
      </w:tblPr>
      <w:tblGrid>
        <w:gridCol w:w="800"/>
        <w:gridCol w:w="880"/>
        <w:gridCol w:w="880"/>
        <w:gridCol w:w="880"/>
        <w:gridCol w:w="880"/>
        <w:gridCol w:w="880"/>
        <w:gridCol w:w="900"/>
        <w:gridCol w:w="1160"/>
      </w:tblGrid>
      <w:tr w:rsidR="00C261BC" w:rsidRPr="004E263B" w:rsidTr="003F60AB">
        <w:trPr>
          <w:trHeight w:val="300"/>
        </w:trPr>
        <w:tc>
          <w:tcPr>
            <w:tcW w:w="800" w:type="dxa"/>
            <w:tcBorders>
              <w:top w:val="single" w:sz="8" w:space="0" w:color="auto"/>
              <w:left w:val="single" w:sz="8" w:space="0" w:color="auto"/>
              <w:bottom w:val="single" w:sz="4" w:space="0" w:color="auto"/>
              <w:right w:val="single" w:sz="4" w:space="0" w:color="auto"/>
            </w:tcBorders>
            <w:shd w:val="clear" w:color="000000" w:fill="8DB4E3"/>
            <w:noWrap/>
            <w:vAlign w:val="bottom"/>
            <w:hideMark/>
          </w:tcPr>
          <w:p w:rsidR="00C261BC" w:rsidRPr="004E263B" w:rsidRDefault="00C261BC" w:rsidP="003F60AB">
            <w:pPr>
              <w:spacing w:line="240" w:lineRule="auto"/>
              <w:jc w:val="center"/>
              <w:rPr>
                <w:b/>
                <w:bCs/>
                <w:color w:val="FFFFFF"/>
                <w:sz w:val="22"/>
                <w:szCs w:val="22"/>
                <w:lang w:eastAsia="cs-CZ"/>
              </w:rPr>
            </w:pPr>
            <w:r w:rsidRPr="004E263B">
              <w:rPr>
                <w:b/>
                <w:bCs/>
                <w:color w:val="FFFFFF"/>
                <w:sz w:val="22"/>
                <w:szCs w:val="22"/>
                <w:lang w:eastAsia="cs-CZ"/>
              </w:rPr>
              <w:t>Rok</w:t>
            </w:r>
          </w:p>
        </w:tc>
        <w:tc>
          <w:tcPr>
            <w:tcW w:w="880" w:type="dxa"/>
            <w:tcBorders>
              <w:top w:val="single" w:sz="8" w:space="0" w:color="auto"/>
              <w:left w:val="nil"/>
              <w:bottom w:val="single" w:sz="4" w:space="0" w:color="auto"/>
              <w:right w:val="single" w:sz="4" w:space="0" w:color="auto"/>
            </w:tcBorders>
            <w:shd w:val="clear" w:color="000000" w:fill="8DB4E3"/>
            <w:noWrap/>
            <w:vAlign w:val="bottom"/>
            <w:hideMark/>
          </w:tcPr>
          <w:p w:rsidR="00C261BC" w:rsidRPr="004E263B" w:rsidRDefault="00C261BC" w:rsidP="003F60AB">
            <w:pPr>
              <w:spacing w:line="240" w:lineRule="auto"/>
              <w:jc w:val="center"/>
              <w:rPr>
                <w:b/>
                <w:bCs/>
                <w:color w:val="FFFFFF"/>
                <w:sz w:val="22"/>
                <w:szCs w:val="22"/>
                <w:lang w:eastAsia="cs-CZ"/>
              </w:rPr>
            </w:pPr>
            <w:r w:rsidRPr="004E263B">
              <w:rPr>
                <w:b/>
                <w:bCs/>
                <w:color w:val="FFFFFF"/>
                <w:sz w:val="22"/>
                <w:szCs w:val="22"/>
                <w:lang w:eastAsia="cs-CZ"/>
              </w:rPr>
              <w:t>Leden</w:t>
            </w:r>
          </w:p>
        </w:tc>
        <w:tc>
          <w:tcPr>
            <w:tcW w:w="880" w:type="dxa"/>
            <w:tcBorders>
              <w:top w:val="single" w:sz="8" w:space="0" w:color="auto"/>
              <w:left w:val="nil"/>
              <w:bottom w:val="single" w:sz="4" w:space="0" w:color="auto"/>
              <w:right w:val="single" w:sz="4" w:space="0" w:color="auto"/>
            </w:tcBorders>
            <w:shd w:val="clear" w:color="000000" w:fill="8DB4E3"/>
            <w:noWrap/>
            <w:vAlign w:val="bottom"/>
            <w:hideMark/>
          </w:tcPr>
          <w:p w:rsidR="00C261BC" w:rsidRPr="004E263B" w:rsidRDefault="00C261BC" w:rsidP="003F60AB">
            <w:pPr>
              <w:spacing w:line="240" w:lineRule="auto"/>
              <w:jc w:val="center"/>
              <w:rPr>
                <w:b/>
                <w:bCs/>
                <w:color w:val="FFFFFF"/>
                <w:sz w:val="22"/>
                <w:szCs w:val="22"/>
                <w:lang w:eastAsia="cs-CZ"/>
              </w:rPr>
            </w:pPr>
            <w:r w:rsidRPr="004E263B">
              <w:rPr>
                <w:b/>
                <w:bCs/>
                <w:color w:val="FFFFFF"/>
                <w:sz w:val="22"/>
                <w:szCs w:val="22"/>
                <w:lang w:eastAsia="cs-CZ"/>
              </w:rPr>
              <w:t>Únor</w:t>
            </w:r>
          </w:p>
        </w:tc>
        <w:tc>
          <w:tcPr>
            <w:tcW w:w="880" w:type="dxa"/>
            <w:tcBorders>
              <w:top w:val="single" w:sz="8" w:space="0" w:color="auto"/>
              <w:left w:val="nil"/>
              <w:bottom w:val="single" w:sz="4" w:space="0" w:color="auto"/>
              <w:right w:val="single" w:sz="4" w:space="0" w:color="auto"/>
            </w:tcBorders>
            <w:shd w:val="clear" w:color="000000" w:fill="8DB4E3"/>
            <w:noWrap/>
            <w:vAlign w:val="bottom"/>
            <w:hideMark/>
          </w:tcPr>
          <w:p w:rsidR="00C261BC" w:rsidRPr="004E263B" w:rsidRDefault="00C261BC" w:rsidP="003F60AB">
            <w:pPr>
              <w:spacing w:line="240" w:lineRule="auto"/>
              <w:jc w:val="center"/>
              <w:rPr>
                <w:b/>
                <w:bCs/>
                <w:color w:val="FFFFFF"/>
                <w:sz w:val="22"/>
                <w:szCs w:val="22"/>
                <w:lang w:eastAsia="cs-CZ"/>
              </w:rPr>
            </w:pPr>
            <w:r w:rsidRPr="004E263B">
              <w:rPr>
                <w:b/>
                <w:bCs/>
                <w:color w:val="FFFFFF"/>
                <w:sz w:val="22"/>
                <w:szCs w:val="22"/>
                <w:lang w:eastAsia="cs-CZ"/>
              </w:rPr>
              <w:t>Březen</w:t>
            </w:r>
          </w:p>
        </w:tc>
        <w:tc>
          <w:tcPr>
            <w:tcW w:w="880" w:type="dxa"/>
            <w:tcBorders>
              <w:top w:val="single" w:sz="8" w:space="0" w:color="auto"/>
              <w:left w:val="nil"/>
              <w:bottom w:val="single" w:sz="4" w:space="0" w:color="auto"/>
              <w:right w:val="single" w:sz="4" w:space="0" w:color="auto"/>
            </w:tcBorders>
            <w:shd w:val="clear" w:color="000000" w:fill="8DB4E3"/>
            <w:noWrap/>
            <w:vAlign w:val="bottom"/>
            <w:hideMark/>
          </w:tcPr>
          <w:p w:rsidR="00C261BC" w:rsidRPr="004E263B" w:rsidRDefault="00C261BC" w:rsidP="003F60AB">
            <w:pPr>
              <w:spacing w:line="240" w:lineRule="auto"/>
              <w:jc w:val="center"/>
              <w:rPr>
                <w:b/>
                <w:bCs/>
                <w:color w:val="FFFFFF"/>
                <w:sz w:val="22"/>
                <w:szCs w:val="22"/>
                <w:lang w:eastAsia="cs-CZ"/>
              </w:rPr>
            </w:pPr>
            <w:r w:rsidRPr="004E263B">
              <w:rPr>
                <w:b/>
                <w:bCs/>
                <w:color w:val="FFFFFF"/>
                <w:sz w:val="22"/>
                <w:szCs w:val="22"/>
                <w:lang w:eastAsia="cs-CZ"/>
              </w:rPr>
              <w:t>Duben</w:t>
            </w:r>
          </w:p>
        </w:tc>
        <w:tc>
          <w:tcPr>
            <w:tcW w:w="880" w:type="dxa"/>
            <w:tcBorders>
              <w:top w:val="single" w:sz="8" w:space="0" w:color="auto"/>
              <w:left w:val="nil"/>
              <w:bottom w:val="single" w:sz="4" w:space="0" w:color="auto"/>
              <w:right w:val="single" w:sz="4" w:space="0" w:color="auto"/>
            </w:tcBorders>
            <w:shd w:val="clear" w:color="000000" w:fill="8DB4E3"/>
            <w:noWrap/>
            <w:vAlign w:val="bottom"/>
            <w:hideMark/>
          </w:tcPr>
          <w:p w:rsidR="00C261BC" w:rsidRPr="004E263B" w:rsidRDefault="00C261BC" w:rsidP="003F60AB">
            <w:pPr>
              <w:spacing w:line="240" w:lineRule="auto"/>
              <w:jc w:val="center"/>
              <w:rPr>
                <w:b/>
                <w:bCs/>
                <w:color w:val="FFFFFF"/>
                <w:sz w:val="22"/>
                <w:szCs w:val="22"/>
                <w:lang w:eastAsia="cs-CZ"/>
              </w:rPr>
            </w:pPr>
            <w:r w:rsidRPr="004E263B">
              <w:rPr>
                <w:b/>
                <w:bCs/>
                <w:color w:val="FFFFFF"/>
                <w:sz w:val="22"/>
                <w:szCs w:val="22"/>
                <w:lang w:eastAsia="cs-CZ"/>
              </w:rPr>
              <w:t>Květen</w:t>
            </w:r>
          </w:p>
        </w:tc>
        <w:tc>
          <w:tcPr>
            <w:tcW w:w="900" w:type="dxa"/>
            <w:tcBorders>
              <w:top w:val="single" w:sz="8" w:space="0" w:color="auto"/>
              <w:left w:val="nil"/>
              <w:bottom w:val="single" w:sz="4" w:space="0" w:color="auto"/>
              <w:right w:val="single" w:sz="4" w:space="0" w:color="auto"/>
            </w:tcBorders>
            <w:shd w:val="clear" w:color="000000" w:fill="8DB4E3"/>
            <w:noWrap/>
            <w:vAlign w:val="bottom"/>
            <w:hideMark/>
          </w:tcPr>
          <w:p w:rsidR="00C261BC" w:rsidRPr="004E263B" w:rsidRDefault="00C261BC" w:rsidP="003F60AB">
            <w:pPr>
              <w:spacing w:line="240" w:lineRule="auto"/>
              <w:jc w:val="center"/>
              <w:rPr>
                <w:b/>
                <w:bCs/>
                <w:color w:val="FFFFFF"/>
                <w:sz w:val="22"/>
                <w:szCs w:val="22"/>
                <w:lang w:eastAsia="cs-CZ"/>
              </w:rPr>
            </w:pPr>
            <w:r w:rsidRPr="004E263B">
              <w:rPr>
                <w:b/>
                <w:bCs/>
                <w:color w:val="FFFFFF"/>
                <w:sz w:val="22"/>
                <w:szCs w:val="22"/>
                <w:lang w:eastAsia="cs-CZ"/>
              </w:rPr>
              <w:t>Červen</w:t>
            </w:r>
          </w:p>
        </w:tc>
        <w:tc>
          <w:tcPr>
            <w:tcW w:w="1160" w:type="dxa"/>
            <w:tcBorders>
              <w:top w:val="single" w:sz="8" w:space="0" w:color="auto"/>
              <w:left w:val="nil"/>
              <w:bottom w:val="single" w:sz="4" w:space="0" w:color="auto"/>
              <w:right w:val="single" w:sz="8" w:space="0" w:color="auto"/>
            </w:tcBorders>
            <w:shd w:val="clear" w:color="000000" w:fill="8DB4E3"/>
            <w:noWrap/>
            <w:vAlign w:val="bottom"/>
            <w:hideMark/>
          </w:tcPr>
          <w:p w:rsidR="00C261BC" w:rsidRPr="004E263B" w:rsidRDefault="00C261BC" w:rsidP="003F60AB">
            <w:pPr>
              <w:spacing w:line="240" w:lineRule="auto"/>
              <w:jc w:val="center"/>
              <w:rPr>
                <w:b/>
                <w:bCs/>
                <w:color w:val="FFFFFF"/>
                <w:sz w:val="22"/>
                <w:szCs w:val="22"/>
                <w:lang w:eastAsia="cs-CZ"/>
              </w:rPr>
            </w:pPr>
            <w:r w:rsidRPr="004E263B">
              <w:rPr>
                <w:b/>
                <w:bCs/>
                <w:color w:val="FFFFFF"/>
                <w:sz w:val="22"/>
                <w:szCs w:val="22"/>
                <w:lang w:eastAsia="cs-CZ"/>
              </w:rPr>
              <w:t>Červenec</w:t>
            </w:r>
          </w:p>
        </w:tc>
      </w:tr>
      <w:tr w:rsidR="00C261BC" w:rsidRPr="004E263B" w:rsidTr="003F60AB">
        <w:trPr>
          <w:trHeight w:val="300"/>
        </w:trPr>
        <w:tc>
          <w:tcPr>
            <w:tcW w:w="800" w:type="dxa"/>
            <w:tcBorders>
              <w:top w:val="nil"/>
              <w:left w:val="single" w:sz="8" w:space="0" w:color="auto"/>
              <w:bottom w:val="single" w:sz="4" w:space="0" w:color="auto"/>
              <w:right w:val="single" w:sz="4" w:space="0" w:color="auto"/>
            </w:tcBorders>
            <w:shd w:val="clear" w:color="auto" w:fill="auto"/>
            <w:noWrap/>
            <w:vAlign w:val="bottom"/>
            <w:hideMark/>
          </w:tcPr>
          <w:p w:rsidR="00C261BC" w:rsidRPr="004E263B" w:rsidRDefault="00C261BC" w:rsidP="003F60AB">
            <w:pPr>
              <w:spacing w:line="240" w:lineRule="auto"/>
              <w:jc w:val="right"/>
              <w:rPr>
                <w:b/>
                <w:bCs/>
                <w:color w:val="000000"/>
                <w:sz w:val="22"/>
                <w:szCs w:val="22"/>
                <w:lang w:eastAsia="cs-CZ"/>
              </w:rPr>
            </w:pPr>
            <w:r w:rsidRPr="004E263B">
              <w:rPr>
                <w:b/>
                <w:bCs/>
                <w:color w:val="000000"/>
                <w:sz w:val="22"/>
                <w:szCs w:val="22"/>
                <w:lang w:eastAsia="cs-CZ"/>
              </w:rPr>
              <w:t>2009</w:t>
            </w:r>
          </w:p>
        </w:tc>
        <w:tc>
          <w:tcPr>
            <w:tcW w:w="880" w:type="dxa"/>
            <w:tcBorders>
              <w:top w:val="nil"/>
              <w:left w:val="nil"/>
              <w:bottom w:val="single" w:sz="4" w:space="0" w:color="auto"/>
              <w:right w:val="single" w:sz="4" w:space="0" w:color="auto"/>
            </w:tcBorders>
            <w:shd w:val="clear" w:color="auto" w:fill="auto"/>
            <w:noWrap/>
            <w:vAlign w:val="bottom"/>
            <w:hideMark/>
          </w:tcPr>
          <w:p w:rsidR="00C261BC" w:rsidRPr="004E263B" w:rsidRDefault="00C261BC" w:rsidP="00C261BC">
            <w:pPr>
              <w:spacing w:line="240" w:lineRule="auto"/>
              <w:jc w:val="center"/>
              <w:rPr>
                <w:color w:val="000000"/>
                <w:sz w:val="22"/>
                <w:szCs w:val="22"/>
                <w:lang w:eastAsia="cs-CZ"/>
              </w:rPr>
            </w:pPr>
            <w:r w:rsidRPr="004E263B">
              <w:rPr>
                <w:color w:val="000000"/>
                <w:sz w:val="22"/>
                <w:szCs w:val="22"/>
                <w:lang w:eastAsia="cs-CZ"/>
              </w:rPr>
              <w:t>12 999</w:t>
            </w:r>
          </w:p>
        </w:tc>
        <w:tc>
          <w:tcPr>
            <w:tcW w:w="880" w:type="dxa"/>
            <w:tcBorders>
              <w:top w:val="nil"/>
              <w:left w:val="nil"/>
              <w:bottom w:val="single" w:sz="4" w:space="0" w:color="auto"/>
              <w:right w:val="single" w:sz="4" w:space="0" w:color="auto"/>
            </w:tcBorders>
            <w:shd w:val="clear" w:color="auto" w:fill="auto"/>
            <w:noWrap/>
            <w:vAlign w:val="bottom"/>
            <w:hideMark/>
          </w:tcPr>
          <w:p w:rsidR="00C261BC" w:rsidRPr="004E263B" w:rsidRDefault="00C261BC" w:rsidP="00C261BC">
            <w:pPr>
              <w:spacing w:line="240" w:lineRule="auto"/>
              <w:jc w:val="center"/>
              <w:rPr>
                <w:color w:val="000000"/>
                <w:sz w:val="22"/>
                <w:szCs w:val="22"/>
                <w:lang w:eastAsia="cs-CZ"/>
              </w:rPr>
            </w:pPr>
            <w:r w:rsidRPr="004E263B">
              <w:rPr>
                <w:color w:val="000000"/>
                <w:sz w:val="22"/>
                <w:szCs w:val="22"/>
                <w:lang w:eastAsia="cs-CZ"/>
              </w:rPr>
              <w:t>13 142</w:t>
            </w:r>
          </w:p>
        </w:tc>
        <w:tc>
          <w:tcPr>
            <w:tcW w:w="880" w:type="dxa"/>
            <w:tcBorders>
              <w:top w:val="nil"/>
              <w:left w:val="nil"/>
              <w:bottom w:val="single" w:sz="4" w:space="0" w:color="auto"/>
              <w:right w:val="single" w:sz="4" w:space="0" w:color="auto"/>
            </w:tcBorders>
            <w:shd w:val="clear" w:color="auto" w:fill="auto"/>
            <w:noWrap/>
            <w:vAlign w:val="bottom"/>
            <w:hideMark/>
          </w:tcPr>
          <w:p w:rsidR="00C261BC" w:rsidRPr="004E263B" w:rsidRDefault="00C261BC" w:rsidP="00C261BC">
            <w:pPr>
              <w:spacing w:line="240" w:lineRule="auto"/>
              <w:jc w:val="center"/>
              <w:rPr>
                <w:color w:val="000000"/>
                <w:sz w:val="22"/>
                <w:szCs w:val="22"/>
                <w:lang w:eastAsia="cs-CZ"/>
              </w:rPr>
            </w:pPr>
            <w:r w:rsidRPr="004E263B">
              <w:rPr>
                <w:color w:val="000000"/>
                <w:sz w:val="22"/>
                <w:szCs w:val="22"/>
                <w:lang w:eastAsia="cs-CZ"/>
              </w:rPr>
              <w:t>15 711</w:t>
            </w:r>
          </w:p>
        </w:tc>
        <w:tc>
          <w:tcPr>
            <w:tcW w:w="880" w:type="dxa"/>
            <w:tcBorders>
              <w:top w:val="nil"/>
              <w:left w:val="nil"/>
              <w:bottom w:val="single" w:sz="4" w:space="0" w:color="auto"/>
              <w:right w:val="single" w:sz="4" w:space="0" w:color="auto"/>
            </w:tcBorders>
            <w:shd w:val="clear" w:color="auto" w:fill="auto"/>
            <w:noWrap/>
            <w:vAlign w:val="bottom"/>
            <w:hideMark/>
          </w:tcPr>
          <w:p w:rsidR="00C261BC" w:rsidRPr="004E263B" w:rsidRDefault="00C261BC" w:rsidP="00C261BC">
            <w:pPr>
              <w:spacing w:line="240" w:lineRule="auto"/>
              <w:jc w:val="center"/>
              <w:rPr>
                <w:color w:val="000000"/>
                <w:sz w:val="22"/>
                <w:szCs w:val="22"/>
                <w:lang w:eastAsia="cs-CZ"/>
              </w:rPr>
            </w:pPr>
            <w:r w:rsidRPr="004E263B">
              <w:rPr>
                <w:color w:val="000000"/>
                <w:sz w:val="22"/>
                <w:szCs w:val="22"/>
                <w:lang w:eastAsia="cs-CZ"/>
              </w:rPr>
              <w:t>19 710</w:t>
            </w:r>
          </w:p>
        </w:tc>
        <w:tc>
          <w:tcPr>
            <w:tcW w:w="880" w:type="dxa"/>
            <w:tcBorders>
              <w:top w:val="nil"/>
              <w:left w:val="nil"/>
              <w:bottom w:val="single" w:sz="4" w:space="0" w:color="auto"/>
              <w:right w:val="single" w:sz="4" w:space="0" w:color="auto"/>
            </w:tcBorders>
            <w:shd w:val="clear" w:color="auto" w:fill="auto"/>
            <w:noWrap/>
            <w:vAlign w:val="bottom"/>
            <w:hideMark/>
          </w:tcPr>
          <w:p w:rsidR="00C261BC" w:rsidRPr="004E263B" w:rsidRDefault="00C261BC" w:rsidP="00C261BC">
            <w:pPr>
              <w:spacing w:line="240" w:lineRule="auto"/>
              <w:jc w:val="center"/>
              <w:rPr>
                <w:color w:val="000000"/>
                <w:sz w:val="22"/>
                <w:szCs w:val="22"/>
                <w:lang w:eastAsia="cs-CZ"/>
              </w:rPr>
            </w:pPr>
            <w:r w:rsidRPr="004E263B">
              <w:rPr>
                <w:color w:val="000000"/>
                <w:sz w:val="22"/>
                <w:szCs w:val="22"/>
                <w:lang w:eastAsia="cs-CZ"/>
              </w:rPr>
              <w:t>15 640</w:t>
            </w:r>
          </w:p>
        </w:tc>
        <w:tc>
          <w:tcPr>
            <w:tcW w:w="900" w:type="dxa"/>
            <w:tcBorders>
              <w:top w:val="nil"/>
              <w:left w:val="nil"/>
              <w:bottom w:val="single" w:sz="4" w:space="0" w:color="auto"/>
              <w:right w:val="single" w:sz="4" w:space="0" w:color="auto"/>
            </w:tcBorders>
            <w:shd w:val="clear" w:color="auto" w:fill="auto"/>
            <w:noWrap/>
            <w:vAlign w:val="bottom"/>
            <w:hideMark/>
          </w:tcPr>
          <w:p w:rsidR="00C261BC" w:rsidRPr="004E263B" w:rsidRDefault="00C261BC" w:rsidP="00C261BC">
            <w:pPr>
              <w:spacing w:line="240" w:lineRule="auto"/>
              <w:jc w:val="center"/>
              <w:rPr>
                <w:color w:val="000000"/>
                <w:sz w:val="22"/>
                <w:szCs w:val="22"/>
                <w:lang w:eastAsia="cs-CZ"/>
              </w:rPr>
            </w:pPr>
            <w:r w:rsidRPr="004E263B">
              <w:rPr>
                <w:color w:val="000000"/>
                <w:sz w:val="22"/>
                <w:szCs w:val="22"/>
                <w:lang w:eastAsia="cs-CZ"/>
              </w:rPr>
              <w:t>17 854</w:t>
            </w:r>
          </w:p>
        </w:tc>
        <w:tc>
          <w:tcPr>
            <w:tcW w:w="1160" w:type="dxa"/>
            <w:tcBorders>
              <w:top w:val="nil"/>
              <w:left w:val="nil"/>
              <w:bottom w:val="single" w:sz="4" w:space="0" w:color="auto"/>
              <w:right w:val="single" w:sz="8" w:space="0" w:color="auto"/>
            </w:tcBorders>
            <w:shd w:val="clear" w:color="auto" w:fill="auto"/>
            <w:noWrap/>
            <w:vAlign w:val="bottom"/>
            <w:hideMark/>
          </w:tcPr>
          <w:p w:rsidR="00C261BC" w:rsidRPr="004E263B" w:rsidRDefault="00C261BC" w:rsidP="00C261BC">
            <w:pPr>
              <w:spacing w:line="240" w:lineRule="auto"/>
              <w:jc w:val="center"/>
              <w:rPr>
                <w:color w:val="000000"/>
                <w:sz w:val="22"/>
                <w:szCs w:val="22"/>
                <w:lang w:eastAsia="cs-CZ"/>
              </w:rPr>
            </w:pPr>
            <w:r w:rsidRPr="004E263B">
              <w:rPr>
                <w:color w:val="000000"/>
                <w:sz w:val="22"/>
                <w:szCs w:val="22"/>
                <w:lang w:eastAsia="cs-CZ"/>
              </w:rPr>
              <w:t>15 600</w:t>
            </w:r>
          </w:p>
        </w:tc>
      </w:tr>
      <w:tr w:rsidR="00C261BC" w:rsidRPr="004E263B" w:rsidTr="003F60AB">
        <w:trPr>
          <w:trHeight w:val="315"/>
        </w:trPr>
        <w:tc>
          <w:tcPr>
            <w:tcW w:w="800" w:type="dxa"/>
            <w:tcBorders>
              <w:top w:val="nil"/>
              <w:left w:val="single" w:sz="8" w:space="0" w:color="auto"/>
              <w:bottom w:val="single" w:sz="8" w:space="0" w:color="auto"/>
              <w:right w:val="single" w:sz="4" w:space="0" w:color="auto"/>
            </w:tcBorders>
            <w:shd w:val="clear" w:color="auto" w:fill="auto"/>
            <w:noWrap/>
            <w:vAlign w:val="bottom"/>
            <w:hideMark/>
          </w:tcPr>
          <w:p w:rsidR="00C261BC" w:rsidRPr="004E263B" w:rsidRDefault="00C261BC" w:rsidP="003F60AB">
            <w:pPr>
              <w:spacing w:line="240" w:lineRule="auto"/>
              <w:jc w:val="right"/>
              <w:rPr>
                <w:b/>
                <w:bCs/>
                <w:color w:val="000000"/>
                <w:sz w:val="22"/>
                <w:szCs w:val="22"/>
                <w:lang w:eastAsia="cs-CZ"/>
              </w:rPr>
            </w:pPr>
            <w:r w:rsidRPr="004E263B">
              <w:rPr>
                <w:b/>
                <w:bCs/>
                <w:color w:val="000000"/>
                <w:sz w:val="22"/>
                <w:szCs w:val="22"/>
                <w:lang w:eastAsia="cs-CZ"/>
              </w:rPr>
              <w:t>2010</w:t>
            </w:r>
          </w:p>
        </w:tc>
        <w:tc>
          <w:tcPr>
            <w:tcW w:w="880" w:type="dxa"/>
            <w:tcBorders>
              <w:top w:val="nil"/>
              <w:left w:val="nil"/>
              <w:bottom w:val="single" w:sz="8" w:space="0" w:color="auto"/>
              <w:right w:val="single" w:sz="4" w:space="0" w:color="auto"/>
            </w:tcBorders>
            <w:shd w:val="clear" w:color="auto" w:fill="auto"/>
            <w:noWrap/>
            <w:vAlign w:val="bottom"/>
            <w:hideMark/>
          </w:tcPr>
          <w:p w:rsidR="00C261BC" w:rsidRPr="004E263B" w:rsidRDefault="00C261BC" w:rsidP="00C261BC">
            <w:pPr>
              <w:spacing w:line="240" w:lineRule="auto"/>
              <w:jc w:val="center"/>
              <w:rPr>
                <w:color w:val="000000"/>
                <w:sz w:val="22"/>
                <w:szCs w:val="22"/>
                <w:lang w:eastAsia="cs-CZ"/>
              </w:rPr>
            </w:pPr>
            <w:r w:rsidRPr="004E263B">
              <w:rPr>
                <w:color w:val="000000"/>
                <w:sz w:val="22"/>
                <w:szCs w:val="22"/>
                <w:lang w:eastAsia="cs-CZ"/>
              </w:rPr>
              <w:t>11 927</w:t>
            </w:r>
          </w:p>
        </w:tc>
        <w:tc>
          <w:tcPr>
            <w:tcW w:w="880" w:type="dxa"/>
            <w:tcBorders>
              <w:top w:val="nil"/>
              <w:left w:val="nil"/>
              <w:bottom w:val="single" w:sz="8" w:space="0" w:color="auto"/>
              <w:right w:val="single" w:sz="4" w:space="0" w:color="auto"/>
            </w:tcBorders>
            <w:shd w:val="clear" w:color="auto" w:fill="auto"/>
            <w:noWrap/>
            <w:vAlign w:val="bottom"/>
            <w:hideMark/>
          </w:tcPr>
          <w:p w:rsidR="00C261BC" w:rsidRPr="004E263B" w:rsidRDefault="00C261BC" w:rsidP="00C261BC">
            <w:pPr>
              <w:spacing w:line="240" w:lineRule="auto"/>
              <w:jc w:val="center"/>
              <w:rPr>
                <w:color w:val="000000"/>
                <w:sz w:val="22"/>
                <w:szCs w:val="22"/>
                <w:lang w:eastAsia="cs-CZ"/>
              </w:rPr>
            </w:pPr>
            <w:r w:rsidRPr="004E263B">
              <w:rPr>
                <w:color w:val="000000"/>
                <w:sz w:val="22"/>
                <w:szCs w:val="22"/>
                <w:lang w:eastAsia="cs-CZ"/>
              </w:rPr>
              <w:t>12 088</w:t>
            </w:r>
          </w:p>
        </w:tc>
        <w:tc>
          <w:tcPr>
            <w:tcW w:w="880" w:type="dxa"/>
            <w:tcBorders>
              <w:top w:val="nil"/>
              <w:left w:val="nil"/>
              <w:bottom w:val="single" w:sz="8" w:space="0" w:color="auto"/>
              <w:right w:val="single" w:sz="4" w:space="0" w:color="auto"/>
            </w:tcBorders>
            <w:shd w:val="clear" w:color="auto" w:fill="auto"/>
            <w:noWrap/>
            <w:vAlign w:val="bottom"/>
            <w:hideMark/>
          </w:tcPr>
          <w:p w:rsidR="00C261BC" w:rsidRPr="004E263B" w:rsidRDefault="00C261BC" w:rsidP="00C261BC">
            <w:pPr>
              <w:spacing w:line="240" w:lineRule="auto"/>
              <w:jc w:val="center"/>
              <w:rPr>
                <w:color w:val="000000"/>
                <w:sz w:val="22"/>
                <w:szCs w:val="22"/>
                <w:lang w:eastAsia="cs-CZ"/>
              </w:rPr>
            </w:pPr>
            <w:r w:rsidRPr="004E263B">
              <w:rPr>
                <w:color w:val="000000"/>
                <w:sz w:val="22"/>
                <w:szCs w:val="22"/>
                <w:lang w:eastAsia="cs-CZ"/>
              </w:rPr>
              <w:t>18 693</w:t>
            </w:r>
          </w:p>
        </w:tc>
        <w:tc>
          <w:tcPr>
            <w:tcW w:w="880" w:type="dxa"/>
            <w:tcBorders>
              <w:top w:val="nil"/>
              <w:left w:val="nil"/>
              <w:bottom w:val="single" w:sz="8" w:space="0" w:color="auto"/>
              <w:right w:val="single" w:sz="4" w:space="0" w:color="auto"/>
            </w:tcBorders>
            <w:shd w:val="clear" w:color="auto" w:fill="auto"/>
            <w:noWrap/>
            <w:vAlign w:val="bottom"/>
            <w:hideMark/>
          </w:tcPr>
          <w:p w:rsidR="00C261BC" w:rsidRPr="004E263B" w:rsidRDefault="00C261BC" w:rsidP="00C261BC">
            <w:pPr>
              <w:spacing w:line="240" w:lineRule="auto"/>
              <w:jc w:val="center"/>
              <w:rPr>
                <w:color w:val="000000"/>
                <w:sz w:val="22"/>
                <w:szCs w:val="22"/>
                <w:lang w:eastAsia="cs-CZ"/>
              </w:rPr>
            </w:pPr>
            <w:r w:rsidRPr="004E263B">
              <w:rPr>
                <w:color w:val="000000"/>
                <w:sz w:val="22"/>
                <w:szCs w:val="22"/>
                <w:lang w:eastAsia="cs-CZ"/>
              </w:rPr>
              <w:t>16 726</w:t>
            </w:r>
          </w:p>
        </w:tc>
        <w:tc>
          <w:tcPr>
            <w:tcW w:w="880" w:type="dxa"/>
            <w:tcBorders>
              <w:top w:val="nil"/>
              <w:left w:val="nil"/>
              <w:bottom w:val="single" w:sz="8" w:space="0" w:color="auto"/>
              <w:right w:val="single" w:sz="4" w:space="0" w:color="auto"/>
            </w:tcBorders>
            <w:shd w:val="clear" w:color="auto" w:fill="auto"/>
            <w:noWrap/>
            <w:vAlign w:val="bottom"/>
            <w:hideMark/>
          </w:tcPr>
          <w:p w:rsidR="00C261BC" w:rsidRPr="004E263B" w:rsidRDefault="00C261BC" w:rsidP="00C261BC">
            <w:pPr>
              <w:spacing w:line="240" w:lineRule="auto"/>
              <w:jc w:val="center"/>
              <w:rPr>
                <w:color w:val="000000"/>
                <w:sz w:val="22"/>
                <w:szCs w:val="22"/>
                <w:lang w:eastAsia="cs-CZ"/>
              </w:rPr>
            </w:pPr>
            <w:r w:rsidRPr="004E263B">
              <w:rPr>
                <w:color w:val="000000"/>
                <w:sz w:val="22"/>
                <w:szCs w:val="22"/>
                <w:lang w:eastAsia="cs-CZ"/>
              </w:rPr>
              <w:t>17 427</w:t>
            </w:r>
          </w:p>
        </w:tc>
        <w:tc>
          <w:tcPr>
            <w:tcW w:w="900" w:type="dxa"/>
            <w:tcBorders>
              <w:top w:val="nil"/>
              <w:left w:val="nil"/>
              <w:bottom w:val="single" w:sz="8" w:space="0" w:color="auto"/>
              <w:right w:val="single" w:sz="4" w:space="0" w:color="auto"/>
            </w:tcBorders>
            <w:shd w:val="clear" w:color="auto" w:fill="auto"/>
            <w:noWrap/>
            <w:vAlign w:val="bottom"/>
            <w:hideMark/>
          </w:tcPr>
          <w:p w:rsidR="00C261BC" w:rsidRPr="004E263B" w:rsidRDefault="00C261BC" w:rsidP="00C261BC">
            <w:pPr>
              <w:spacing w:line="240" w:lineRule="auto"/>
              <w:jc w:val="center"/>
              <w:rPr>
                <w:color w:val="000000"/>
                <w:sz w:val="22"/>
                <w:szCs w:val="22"/>
                <w:lang w:eastAsia="cs-CZ"/>
              </w:rPr>
            </w:pPr>
            <w:r w:rsidRPr="004E263B">
              <w:rPr>
                <w:color w:val="000000"/>
                <w:sz w:val="22"/>
                <w:szCs w:val="22"/>
                <w:lang w:eastAsia="cs-CZ"/>
              </w:rPr>
              <w:t>20 704</w:t>
            </w:r>
          </w:p>
        </w:tc>
        <w:tc>
          <w:tcPr>
            <w:tcW w:w="1160" w:type="dxa"/>
            <w:tcBorders>
              <w:top w:val="nil"/>
              <w:left w:val="nil"/>
              <w:bottom w:val="single" w:sz="8" w:space="0" w:color="auto"/>
              <w:right w:val="single" w:sz="8" w:space="0" w:color="auto"/>
            </w:tcBorders>
            <w:shd w:val="clear" w:color="auto" w:fill="auto"/>
            <w:noWrap/>
            <w:vAlign w:val="bottom"/>
            <w:hideMark/>
          </w:tcPr>
          <w:p w:rsidR="00C261BC" w:rsidRPr="004E263B" w:rsidRDefault="00C261BC" w:rsidP="00C261BC">
            <w:pPr>
              <w:spacing w:line="240" w:lineRule="auto"/>
              <w:jc w:val="center"/>
              <w:rPr>
                <w:color w:val="000000"/>
                <w:sz w:val="22"/>
                <w:szCs w:val="22"/>
                <w:lang w:eastAsia="cs-CZ"/>
              </w:rPr>
            </w:pPr>
            <w:r w:rsidRPr="004E263B">
              <w:rPr>
                <w:color w:val="000000"/>
                <w:sz w:val="22"/>
                <w:szCs w:val="22"/>
                <w:lang w:eastAsia="cs-CZ"/>
              </w:rPr>
              <w:t>12 389</w:t>
            </w:r>
          </w:p>
        </w:tc>
      </w:tr>
    </w:tbl>
    <w:p w:rsidR="00C261BC" w:rsidRDefault="00C261BC" w:rsidP="00C261BC">
      <w:pPr>
        <w:rPr>
          <w:i/>
          <w:sz w:val="20"/>
        </w:rPr>
      </w:pPr>
      <w:r w:rsidRPr="007E3D67">
        <w:rPr>
          <w:i/>
          <w:sz w:val="20"/>
        </w:rPr>
        <w:t>Zdroj: Data –</w:t>
      </w:r>
      <w:r w:rsidRPr="007E3D67">
        <w:t xml:space="preserve"> </w:t>
      </w:r>
      <w:r w:rsidRPr="007E3D67">
        <w:rPr>
          <w:i/>
          <w:sz w:val="20"/>
        </w:rPr>
        <w:t>Zdroj: Data – Český statistický úřad,</w:t>
      </w:r>
      <w:r w:rsidRPr="007E3D67">
        <w:t xml:space="preserve"> </w:t>
      </w:r>
      <w:r w:rsidRPr="007E3D67">
        <w:rPr>
          <w:i/>
          <w:sz w:val="20"/>
        </w:rPr>
        <w:t>http://www.czso.cz,</w:t>
      </w:r>
      <w:r w:rsidRPr="007E3D67">
        <w:t xml:space="preserve"> </w:t>
      </w:r>
      <w:r w:rsidRPr="007E3D67">
        <w:rPr>
          <w:i/>
          <w:sz w:val="20"/>
        </w:rPr>
        <w:t>Tabulka: Vlastní konstrukce.</w:t>
      </w:r>
    </w:p>
    <w:p w:rsidR="00C261BC" w:rsidRDefault="00C261BC" w:rsidP="004E263B">
      <w:pPr>
        <w:pStyle w:val="Titulek"/>
        <w:rPr>
          <w:b w:val="0"/>
        </w:rPr>
      </w:pPr>
    </w:p>
    <w:p w:rsidR="00C509E5" w:rsidRPr="004E263B" w:rsidRDefault="00C509E5" w:rsidP="004E263B">
      <w:pPr>
        <w:pStyle w:val="Titulek"/>
        <w:rPr>
          <w:b w:val="0"/>
        </w:rPr>
      </w:pPr>
      <w:bookmarkStart w:id="294" w:name="_Toc279696538"/>
      <w:r w:rsidRPr="004E263B">
        <w:rPr>
          <w:b w:val="0"/>
        </w:rPr>
        <w:t xml:space="preserve">Tab. </w:t>
      </w:r>
      <w:r w:rsidR="00C261BC">
        <w:rPr>
          <w:b w:val="0"/>
        </w:rPr>
        <w:t>5</w:t>
      </w:r>
      <w:r w:rsidRPr="004E263B">
        <w:rPr>
          <w:b w:val="0"/>
        </w:rPr>
        <w:t xml:space="preserve">: </w:t>
      </w:r>
      <w:r w:rsidRPr="004E263B">
        <w:rPr>
          <w:b w:val="0"/>
          <w:lang w:eastAsia="cs-CZ"/>
        </w:rPr>
        <w:t xml:space="preserve">Meziroční srovnání celostátního inkasa daní </w:t>
      </w:r>
      <w:r w:rsidR="004E263B" w:rsidRPr="004E263B">
        <w:rPr>
          <w:b w:val="0"/>
          <w:lang w:eastAsia="cs-CZ"/>
        </w:rPr>
        <w:t xml:space="preserve">v ČR </w:t>
      </w:r>
      <w:r w:rsidR="004E263B" w:rsidRPr="004E263B">
        <w:rPr>
          <w:b w:val="0"/>
        </w:rPr>
        <w:t>(srovnání ve stejném období 2009 a 2010)</w:t>
      </w:r>
      <w:bookmarkEnd w:id="294"/>
    </w:p>
    <w:tbl>
      <w:tblPr>
        <w:tblW w:w="7103" w:type="dxa"/>
        <w:tblInd w:w="55" w:type="dxa"/>
        <w:tblCellMar>
          <w:left w:w="70" w:type="dxa"/>
          <w:right w:w="70" w:type="dxa"/>
        </w:tblCellMar>
        <w:tblLook w:val="04A0"/>
      </w:tblPr>
      <w:tblGrid>
        <w:gridCol w:w="2079"/>
        <w:gridCol w:w="1338"/>
        <w:gridCol w:w="1276"/>
        <w:gridCol w:w="1276"/>
        <w:gridCol w:w="1134"/>
      </w:tblGrid>
      <w:tr w:rsidR="00C509E5" w:rsidRPr="00C509E5" w:rsidTr="004E263B">
        <w:trPr>
          <w:trHeight w:val="840"/>
        </w:trPr>
        <w:tc>
          <w:tcPr>
            <w:tcW w:w="2079" w:type="dxa"/>
            <w:vMerge w:val="restart"/>
            <w:tcBorders>
              <w:top w:val="single" w:sz="8" w:space="0" w:color="auto"/>
              <w:left w:val="single" w:sz="8" w:space="0" w:color="auto"/>
              <w:bottom w:val="single" w:sz="4" w:space="0" w:color="000000"/>
              <w:right w:val="single" w:sz="4" w:space="0" w:color="auto"/>
            </w:tcBorders>
            <w:shd w:val="clear" w:color="000000" w:fill="8DB4E3"/>
            <w:vAlign w:val="center"/>
            <w:hideMark/>
          </w:tcPr>
          <w:p w:rsidR="00C509E5" w:rsidRPr="00C509E5" w:rsidRDefault="00C509E5" w:rsidP="00C509E5">
            <w:pPr>
              <w:spacing w:line="240" w:lineRule="auto"/>
              <w:jc w:val="center"/>
              <w:rPr>
                <w:b/>
                <w:bCs/>
                <w:color w:val="FFFFFF"/>
                <w:sz w:val="22"/>
                <w:szCs w:val="22"/>
                <w:lang w:eastAsia="cs-CZ"/>
              </w:rPr>
            </w:pPr>
            <w:r w:rsidRPr="00C509E5">
              <w:rPr>
                <w:b/>
                <w:bCs/>
                <w:color w:val="FFFFFF"/>
                <w:sz w:val="22"/>
                <w:szCs w:val="22"/>
                <w:lang w:eastAsia="cs-CZ"/>
              </w:rPr>
              <w:t>Meziroční srovnání celostátního inkasa daní</w:t>
            </w:r>
          </w:p>
        </w:tc>
        <w:tc>
          <w:tcPr>
            <w:tcW w:w="1338" w:type="dxa"/>
            <w:tcBorders>
              <w:top w:val="single" w:sz="8" w:space="0" w:color="auto"/>
              <w:left w:val="nil"/>
              <w:bottom w:val="single" w:sz="4" w:space="0" w:color="auto"/>
              <w:right w:val="nil"/>
            </w:tcBorders>
            <w:shd w:val="clear" w:color="000000" w:fill="8DB4E3"/>
            <w:vAlign w:val="center"/>
            <w:hideMark/>
          </w:tcPr>
          <w:p w:rsidR="00C509E5" w:rsidRPr="00C509E5" w:rsidRDefault="00C509E5" w:rsidP="00C509E5">
            <w:pPr>
              <w:spacing w:line="240" w:lineRule="auto"/>
              <w:jc w:val="left"/>
              <w:rPr>
                <w:b/>
                <w:bCs/>
                <w:color w:val="FFFFFF"/>
                <w:sz w:val="22"/>
                <w:szCs w:val="22"/>
                <w:lang w:eastAsia="cs-CZ"/>
              </w:rPr>
            </w:pPr>
            <w:r w:rsidRPr="00C509E5">
              <w:rPr>
                <w:b/>
                <w:bCs/>
                <w:color w:val="FFFFFF"/>
                <w:sz w:val="22"/>
                <w:szCs w:val="22"/>
                <w:lang w:eastAsia="cs-CZ"/>
              </w:rPr>
              <w:t>Celkem v roce 2009</w:t>
            </w:r>
          </w:p>
        </w:tc>
        <w:tc>
          <w:tcPr>
            <w:tcW w:w="3686" w:type="dxa"/>
            <w:gridSpan w:val="3"/>
            <w:tcBorders>
              <w:top w:val="single" w:sz="8" w:space="0" w:color="auto"/>
              <w:left w:val="single" w:sz="4" w:space="0" w:color="auto"/>
              <w:bottom w:val="single" w:sz="4" w:space="0" w:color="auto"/>
              <w:right w:val="single" w:sz="4" w:space="0" w:color="000000"/>
            </w:tcBorders>
            <w:shd w:val="clear" w:color="000000" w:fill="8DB4E3"/>
            <w:vAlign w:val="center"/>
            <w:hideMark/>
          </w:tcPr>
          <w:p w:rsidR="00C509E5" w:rsidRPr="00C509E5" w:rsidRDefault="00C509E5" w:rsidP="00C509E5">
            <w:pPr>
              <w:spacing w:line="240" w:lineRule="auto"/>
              <w:jc w:val="center"/>
              <w:rPr>
                <w:b/>
                <w:bCs/>
                <w:color w:val="FFFFFF"/>
                <w:sz w:val="22"/>
                <w:szCs w:val="22"/>
                <w:lang w:eastAsia="cs-CZ"/>
              </w:rPr>
            </w:pPr>
            <w:r w:rsidRPr="00C509E5">
              <w:rPr>
                <w:b/>
                <w:bCs/>
                <w:color w:val="FFFFFF"/>
                <w:sz w:val="22"/>
                <w:szCs w:val="22"/>
                <w:lang w:eastAsia="cs-CZ"/>
              </w:rPr>
              <w:t>Celkem v roce 2010</w:t>
            </w:r>
          </w:p>
        </w:tc>
      </w:tr>
      <w:tr w:rsidR="00C509E5" w:rsidRPr="00C509E5" w:rsidTr="004E263B">
        <w:trPr>
          <w:trHeight w:val="570"/>
        </w:trPr>
        <w:tc>
          <w:tcPr>
            <w:tcW w:w="2079" w:type="dxa"/>
            <w:vMerge/>
            <w:tcBorders>
              <w:top w:val="single" w:sz="8" w:space="0" w:color="auto"/>
              <w:left w:val="single" w:sz="8" w:space="0" w:color="auto"/>
              <w:bottom w:val="single" w:sz="4" w:space="0" w:color="000000"/>
              <w:right w:val="single" w:sz="4" w:space="0" w:color="auto"/>
            </w:tcBorders>
            <w:vAlign w:val="center"/>
            <w:hideMark/>
          </w:tcPr>
          <w:p w:rsidR="00C509E5" w:rsidRPr="00C509E5" w:rsidRDefault="00C509E5" w:rsidP="00C509E5">
            <w:pPr>
              <w:spacing w:line="240" w:lineRule="auto"/>
              <w:jc w:val="left"/>
              <w:rPr>
                <w:b/>
                <w:bCs/>
                <w:color w:val="FFFFFF"/>
                <w:sz w:val="22"/>
                <w:szCs w:val="22"/>
                <w:lang w:eastAsia="cs-CZ"/>
              </w:rPr>
            </w:pPr>
          </w:p>
        </w:tc>
        <w:tc>
          <w:tcPr>
            <w:tcW w:w="1338" w:type="dxa"/>
            <w:vMerge w:val="restart"/>
            <w:tcBorders>
              <w:top w:val="nil"/>
              <w:left w:val="single" w:sz="4" w:space="0" w:color="auto"/>
              <w:bottom w:val="single" w:sz="4" w:space="0" w:color="auto"/>
              <w:right w:val="single" w:sz="4" w:space="0" w:color="auto"/>
            </w:tcBorders>
            <w:shd w:val="clear" w:color="000000" w:fill="8DB4E3"/>
            <w:vAlign w:val="center"/>
            <w:hideMark/>
          </w:tcPr>
          <w:p w:rsidR="00C509E5" w:rsidRPr="00C509E5" w:rsidRDefault="004E263B" w:rsidP="004E263B">
            <w:pPr>
              <w:spacing w:line="240" w:lineRule="auto"/>
              <w:jc w:val="center"/>
              <w:rPr>
                <w:b/>
                <w:bCs/>
                <w:color w:val="FFFFFF"/>
                <w:sz w:val="22"/>
                <w:szCs w:val="22"/>
                <w:lang w:eastAsia="cs-CZ"/>
              </w:rPr>
            </w:pPr>
            <w:r w:rsidRPr="00C509E5">
              <w:rPr>
                <w:b/>
                <w:bCs/>
                <w:color w:val="FFFFFF"/>
                <w:sz w:val="22"/>
                <w:szCs w:val="22"/>
                <w:lang w:eastAsia="cs-CZ"/>
              </w:rPr>
              <w:t>S</w:t>
            </w:r>
            <w:r w:rsidR="00C509E5" w:rsidRPr="00C509E5">
              <w:rPr>
                <w:b/>
                <w:bCs/>
                <w:color w:val="FFFFFF"/>
                <w:sz w:val="22"/>
                <w:szCs w:val="22"/>
                <w:lang w:eastAsia="cs-CZ"/>
              </w:rPr>
              <w:t>k</w:t>
            </w:r>
            <w:r>
              <w:rPr>
                <w:b/>
                <w:bCs/>
                <w:color w:val="FFFFFF"/>
                <w:sz w:val="22"/>
                <w:szCs w:val="22"/>
                <w:lang w:eastAsia="cs-CZ"/>
              </w:rPr>
              <w:t xml:space="preserve">utečnost </w:t>
            </w:r>
            <w:r w:rsidR="00C509E5" w:rsidRPr="00C509E5">
              <w:rPr>
                <w:b/>
                <w:bCs/>
                <w:color w:val="FFFFFF"/>
                <w:sz w:val="22"/>
                <w:szCs w:val="22"/>
                <w:lang w:eastAsia="cs-CZ"/>
              </w:rPr>
              <w:t xml:space="preserve"> k 31.7.</w:t>
            </w:r>
          </w:p>
        </w:tc>
        <w:tc>
          <w:tcPr>
            <w:tcW w:w="1276" w:type="dxa"/>
            <w:vMerge w:val="restart"/>
            <w:tcBorders>
              <w:top w:val="nil"/>
              <w:left w:val="single" w:sz="4" w:space="0" w:color="auto"/>
              <w:bottom w:val="single" w:sz="4" w:space="0" w:color="000000"/>
              <w:right w:val="single" w:sz="4" w:space="0" w:color="auto"/>
            </w:tcBorders>
            <w:shd w:val="clear" w:color="000000" w:fill="8DB4E3"/>
            <w:vAlign w:val="center"/>
            <w:hideMark/>
          </w:tcPr>
          <w:p w:rsidR="00C509E5" w:rsidRPr="00C509E5" w:rsidRDefault="00C509E5" w:rsidP="00C509E5">
            <w:pPr>
              <w:spacing w:line="240" w:lineRule="auto"/>
              <w:jc w:val="center"/>
              <w:rPr>
                <w:b/>
                <w:bCs/>
                <w:color w:val="FFFFFF"/>
                <w:sz w:val="22"/>
                <w:szCs w:val="22"/>
                <w:lang w:eastAsia="cs-CZ"/>
              </w:rPr>
            </w:pPr>
            <w:r w:rsidRPr="00C509E5">
              <w:rPr>
                <w:b/>
                <w:bCs/>
                <w:color w:val="FFFFFF"/>
                <w:sz w:val="22"/>
                <w:szCs w:val="22"/>
                <w:lang w:eastAsia="cs-CZ"/>
              </w:rPr>
              <w:t>Rozpočet schválený</w:t>
            </w:r>
          </w:p>
        </w:tc>
        <w:tc>
          <w:tcPr>
            <w:tcW w:w="1276" w:type="dxa"/>
            <w:vMerge w:val="restart"/>
            <w:tcBorders>
              <w:top w:val="nil"/>
              <w:left w:val="single" w:sz="4" w:space="0" w:color="auto"/>
              <w:bottom w:val="single" w:sz="4" w:space="0" w:color="auto"/>
              <w:right w:val="single" w:sz="4" w:space="0" w:color="auto"/>
            </w:tcBorders>
            <w:shd w:val="clear" w:color="000000" w:fill="8DB4E3"/>
            <w:vAlign w:val="center"/>
            <w:hideMark/>
          </w:tcPr>
          <w:p w:rsidR="00C509E5" w:rsidRPr="00C509E5" w:rsidRDefault="004E263B" w:rsidP="00C509E5">
            <w:pPr>
              <w:spacing w:line="240" w:lineRule="auto"/>
              <w:jc w:val="center"/>
              <w:rPr>
                <w:b/>
                <w:bCs/>
                <w:color w:val="FFFFFF"/>
                <w:sz w:val="22"/>
                <w:szCs w:val="22"/>
                <w:lang w:eastAsia="cs-CZ"/>
              </w:rPr>
            </w:pPr>
            <w:r w:rsidRPr="00C509E5">
              <w:rPr>
                <w:b/>
                <w:bCs/>
                <w:color w:val="FFFFFF"/>
                <w:sz w:val="22"/>
                <w:szCs w:val="22"/>
                <w:lang w:eastAsia="cs-CZ"/>
              </w:rPr>
              <w:t>Sk</w:t>
            </w:r>
            <w:r>
              <w:rPr>
                <w:b/>
                <w:bCs/>
                <w:color w:val="FFFFFF"/>
                <w:sz w:val="22"/>
                <w:szCs w:val="22"/>
                <w:lang w:eastAsia="cs-CZ"/>
              </w:rPr>
              <w:t xml:space="preserve">utečnost </w:t>
            </w:r>
            <w:r w:rsidRPr="00C509E5">
              <w:rPr>
                <w:b/>
                <w:bCs/>
                <w:color w:val="FFFFFF"/>
                <w:sz w:val="22"/>
                <w:szCs w:val="22"/>
                <w:lang w:eastAsia="cs-CZ"/>
              </w:rPr>
              <w:t xml:space="preserve"> k 31.7.</w:t>
            </w:r>
          </w:p>
        </w:tc>
        <w:tc>
          <w:tcPr>
            <w:tcW w:w="1134" w:type="dxa"/>
            <w:vMerge w:val="restart"/>
            <w:tcBorders>
              <w:top w:val="nil"/>
              <w:left w:val="single" w:sz="4" w:space="0" w:color="auto"/>
              <w:bottom w:val="single" w:sz="4" w:space="0" w:color="auto"/>
              <w:right w:val="single" w:sz="4" w:space="0" w:color="auto"/>
            </w:tcBorders>
            <w:shd w:val="clear" w:color="000000" w:fill="8DB4E3"/>
            <w:vAlign w:val="center"/>
            <w:hideMark/>
          </w:tcPr>
          <w:p w:rsidR="00C509E5" w:rsidRPr="00C509E5" w:rsidRDefault="00C509E5" w:rsidP="00C509E5">
            <w:pPr>
              <w:spacing w:line="240" w:lineRule="auto"/>
              <w:jc w:val="center"/>
              <w:rPr>
                <w:b/>
                <w:bCs/>
                <w:color w:val="FFFFFF"/>
                <w:sz w:val="22"/>
                <w:szCs w:val="22"/>
                <w:lang w:eastAsia="cs-CZ"/>
              </w:rPr>
            </w:pPr>
            <w:r w:rsidRPr="00C509E5">
              <w:rPr>
                <w:b/>
                <w:bCs/>
                <w:color w:val="FFFFFF"/>
                <w:sz w:val="22"/>
                <w:szCs w:val="22"/>
                <w:lang w:eastAsia="cs-CZ"/>
              </w:rPr>
              <w:t>% plnění</w:t>
            </w:r>
          </w:p>
        </w:tc>
      </w:tr>
      <w:tr w:rsidR="00C509E5" w:rsidRPr="00C509E5" w:rsidTr="004E263B">
        <w:trPr>
          <w:trHeight w:val="300"/>
        </w:trPr>
        <w:tc>
          <w:tcPr>
            <w:tcW w:w="2079" w:type="dxa"/>
            <w:vMerge/>
            <w:tcBorders>
              <w:top w:val="single" w:sz="8" w:space="0" w:color="auto"/>
              <w:left w:val="single" w:sz="8" w:space="0" w:color="auto"/>
              <w:bottom w:val="single" w:sz="4" w:space="0" w:color="000000"/>
              <w:right w:val="single" w:sz="4" w:space="0" w:color="auto"/>
            </w:tcBorders>
            <w:vAlign w:val="center"/>
            <w:hideMark/>
          </w:tcPr>
          <w:p w:rsidR="00C509E5" w:rsidRPr="00C509E5" w:rsidRDefault="00C509E5" w:rsidP="00C509E5">
            <w:pPr>
              <w:spacing w:line="240" w:lineRule="auto"/>
              <w:jc w:val="left"/>
              <w:rPr>
                <w:b/>
                <w:bCs/>
                <w:color w:val="FFFFFF"/>
                <w:sz w:val="22"/>
                <w:szCs w:val="22"/>
                <w:lang w:eastAsia="cs-CZ"/>
              </w:rPr>
            </w:pPr>
          </w:p>
        </w:tc>
        <w:tc>
          <w:tcPr>
            <w:tcW w:w="1338" w:type="dxa"/>
            <w:vMerge/>
            <w:tcBorders>
              <w:top w:val="nil"/>
              <w:left w:val="single" w:sz="4" w:space="0" w:color="auto"/>
              <w:bottom w:val="single" w:sz="4" w:space="0" w:color="auto"/>
              <w:right w:val="single" w:sz="4" w:space="0" w:color="auto"/>
            </w:tcBorders>
            <w:vAlign w:val="center"/>
            <w:hideMark/>
          </w:tcPr>
          <w:p w:rsidR="00C509E5" w:rsidRPr="00C509E5" w:rsidRDefault="00C509E5" w:rsidP="00C509E5">
            <w:pPr>
              <w:spacing w:line="240" w:lineRule="auto"/>
              <w:jc w:val="left"/>
              <w:rPr>
                <w:b/>
                <w:bCs/>
                <w:color w:val="FFFFFF"/>
                <w:sz w:val="22"/>
                <w:szCs w:val="22"/>
                <w:lang w:eastAsia="cs-CZ"/>
              </w:rPr>
            </w:pPr>
          </w:p>
        </w:tc>
        <w:tc>
          <w:tcPr>
            <w:tcW w:w="1276" w:type="dxa"/>
            <w:vMerge/>
            <w:tcBorders>
              <w:top w:val="nil"/>
              <w:left w:val="single" w:sz="4" w:space="0" w:color="auto"/>
              <w:bottom w:val="single" w:sz="4" w:space="0" w:color="000000"/>
              <w:right w:val="single" w:sz="4" w:space="0" w:color="auto"/>
            </w:tcBorders>
            <w:vAlign w:val="center"/>
            <w:hideMark/>
          </w:tcPr>
          <w:p w:rsidR="00C509E5" w:rsidRPr="00C509E5" w:rsidRDefault="00C509E5" w:rsidP="00C509E5">
            <w:pPr>
              <w:spacing w:line="240" w:lineRule="auto"/>
              <w:jc w:val="left"/>
              <w:rPr>
                <w:b/>
                <w:bCs/>
                <w:color w:val="FFFFFF"/>
                <w:sz w:val="22"/>
                <w:szCs w:val="22"/>
                <w:lang w:eastAsia="cs-CZ"/>
              </w:rPr>
            </w:pPr>
          </w:p>
        </w:tc>
        <w:tc>
          <w:tcPr>
            <w:tcW w:w="1276" w:type="dxa"/>
            <w:vMerge/>
            <w:tcBorders>
              <w:top w:val="nil"/>
              <w:left w:val="single" w:sz="4" w:space="0" w:color="auto"/>
              <w:bottom w:val="single" w:sz="4" w:space="0" w:color="auto"/>
              <w:right w:val="single" w:sz="4" w:space="0" w:color="auto"/>
            </w:tcBorders>
            <w:vAlign w:val="center"/>
            <w:hideMark/>
          </w:tcPr>
          <w:p w:rsidR="00C509E5" w:rsidRPr="00C509E5" w:rsidRDefault="00C509E5" w:rsidP="00C509E5">
            <w:pPr>
              <w:spacing w:line="240" w:lineRule="auto"/>
              <w:jc w:val="left"/>
              <w:rPr>
                <w:b/>
                <w:bCs/>
                <w:color w:val="FFFFFF"/>
                <w:sz w:val="22"/>
                <w:szCs w:val="22"/>
                <w:lang w:eastAsia="cs-CZ"/>
              </w:rPr>
            </w:pPr>
          </w:p>
        </w:tc>
        <w:tc>
          <w:tcPr>
            <w:tcW w:w="1134" w:type="dxa"/>
            <w:vMerge/>
            <w:tcBorders>
              <w:top w:val="nil"/>
              <w:left w:val="single" w:sz="4" w:space="0" w:color="auto"/>
              <w:bottom w:val="single" w:sz="4" w:space="0" w:color="auto"/>
              <w:right w:val="single" w:sz="4" w:space="0" w:color="auto"/>
            </w:tcBorders>
            <w:vAlign w:val="center"/>
            <w:hideMark/>
          </w:tcPr>
          <w:p w:rsidR="00C509E5" w:rsidRPr="00C509E5" w:rsidRDefault="00C509E5" w:rsidP="00C509E5">
            <w:pPr>
              <w:spacing w:line="240" w:lineRule="auto"/>
              <w:jc w:val="left"/>
              <w:rPr>
                <w:b/>
                <w:bCs/>
                <w:color w:val="FFFFFF"/>
                <w:sz w:val="22"/>
                <w:szCs w:val="22"/>
                <w:lang w:eastAsia="cs-CZ"/>
              </w:rPr>
            </w:pPr>
          </w:p>
        </w:tc>
      </w:tr>
      <w:tr w:rsidR="00C509E5" w:rsidRPr="00C509E5" w:rsidTr="004E263B">
        <w:trPr>
          <w:trHeight w:val="300"/>
        </w:trPr>
        <w:tc>
          <w:tcPr>
            <w:tcW w:w="2079" w:type="dxa"/>
            <w:tcBorders>
              <w:top w:val="nil"/>
              <w:left w:val="single" w:sz="8" w:space="0" w:color="auto"/>
              <w:bottom w:val="single" w:sz="4" w:space="0" w:color="auto"/>
              <w:right w:val="single" w:sz="4" w:space="0" w:color="auto"/>
            </w:tcBorders>
            <w:shd w:val="clear" w:color="000000" w:fill="FFFFFF"/>
            <w:vAlign w:val="center"/>
            <w:hideMark/>
          </w:tcPr>
          <w:p w:rsidR="00C509E5" w:rsidRPr="00C509E5" w:rsidRDefault="00C509E5" w:rsidP="00C509E5">
            <w:pPr>
              <w:spacing w:line="240" w:lineRule="auto"/>
              <w:jc w:val="center"/>
              <w:rPr>
                <w:b/>
                <w:bCs/>
                <w:sz w:val="22"/>
                <w:szCs w:val="22"/>
                <w:lang w:eastAsia="cs-CZ"/>
              </w:rPr>
            </w:pPr>
            <w:r w:rsidRPr="00C509E5">
              <w:rPr>
                <w:b/>
                <w:bCs/>
                <w:sz w:val="22"/>
                <w:szCs w:val="22"/>
                <w:lang w:eastAsia="cs-CZ"/>
              </w:rPr>
              <w:t>1</w:t>
            </w:r>
          </w:p>
        </w:tc>
        <w:tc>
          <w:tcPr>
            <w:tcW w:w="1338" w:type="dxa"/>
            <w:tcBorders>
              <w:top w:val="nil"/>
              <w:left w:val="nil"/>
              <w:bottom w:val="single" w:sz="4" w:space="0" w:color="auto"/>
              <w:right w:val="single" w:sz="4" w:space="0" w:color="auto"/>
            </w:tcBorders>
            <w:shd w:val="clear" w:color="000000" w:fill="FFFFFF"/>
            <w:vAlign w:val="center"/>
            <w:hideMark/>
          </w:tcPr>
          <w:p w:rsidR="00C509E5" w:rsidRPr="00C509E5" w:rsidRDefault="00C509E5" w:rsidP="00C509E5">
            <w:pPr>
              <w:spacing w:line="240" w:lineRule="auto"/>
              <w:jc w:val="center"/>
              <w:rPr>
                <w:b/>
                <w:bCs/>
                <w:sz w:val="22"/>
                <w:szCs w:val="22"/>
                <w:lang w:eastAsia="cs-CZ"/>
              </w:rPr>
            </w:pPr>
            <w:r w:rsidRPr="00C509E5">
              <w:rPr>
                <w:b/>
                <w:bCs/>
                <w:sz w:val="22"/>
                <w:szCs w:val="22"/>
                <w:lang w:eastAsia="cs-CZ"/>
              </w:rPr>
              <w:t>2</w:t>
            </w:r>
          </w:p>
        </w:tc>
        <w:tc>
          <w:tcPr>
            <w:tcW w:w="1276" w:type="dxa"/>
            <w:tcBorders>
              <w:top w:val="nil"/>
              <w:left w:val="nil"/>
              <w:bottom w:val="single" w:sz="4" w:space="0" w:color="auto"/>
              <w:right w:val="single" w:sz="4" w:space="0" w:color="auto"/>
            </w:tcBorders>
            <w:shd w:val="clear" w:color="000000" w:fill="FFFFFF"/>
            <w:vAlign w:val="center"/>
            <w:hideMark/>
          </w:tcPr>
          <w:p w:rsidR="00C509E5" w:rsidRPr="00C509E5" w:rsidRDefault="00C509E5" w:rsidP="00C509E5">
            <w:pPr>
              <w:spacing w:line="240" w:lineRule="auto"/>
              <w:jc w:val="center"/>
              <w:rPr>
                <w:b/>
                <w:bCs/>
                <w:sz w:val="22"/>
                <w:szCs w:val="22"/>
                <w:lang w:eastAsia="cs-CZ"/>
              </w:rPr>
            </w:pPr>
            <w:r w:rsidRPr="00C509E5">
              <w:rPr>
                <w:b/>
                <w:bCs/>
                <w:sz w:val="22"/>
                <w:szCs w:val="22"/>
                <w:lang w:eastAsia="cs-CZ"/>
              </w:rPr>
              <w:t>4</w:t>
            </w:r>
          </w:p>
        </w:tc>
        <w:tc>
          <w:tcPr>
            <w:tcW w:w="1276" w:type="dxa"/>
            <w:tcBorders>
              <w:top w:val="nil"/>
              <w:left w:val="nil"/>
              <w:bottom w:val="single" w:sz="4" w:space="0" w:color="auto"/>
              <w:right w:val="single" w:sz="4" w:space="0" w:color="auto"/>
            </w:tcBorders>
            <w:shd w:val="clear" w:color="000000" w:fill="FFFFFF"/>
            <w:vAlign w:val="center"/>
            <w:hideMark/>
          </w:tcPr>
          <w:p w:rsidR="00C509E5" w:rsidRPr="00C509E5" w:rsidRDefault="00C509E5" w:rsidP="00C509E5">
            <w:pPr>
              <w:spacing w:line="240" w:lineRule="auto"/>
              <w:jc w:val="center"/>
              <w:rPr>
                <w:b/>
                <w:bCs/>
                <w:sz w:val="22"/>
                <w:szCs w:val="22"/>
                <w:lang w:eastAsia="cs-CZ"/>
              </w:rPr>
            </w:pPr>
            <w:r w:rsidRPr="00C509E5">
              <w:rPr>
                <w:b/>
                <w:bCs/>
                <w:sz w:val="22"/>
                <w:szCs w:val="22"/>
                <w:lang w:eastAsia="cs-CZ"/>
              </w:rPr>
              <w:t>5</w:t>
            </w:r>
          </w:p>
        </w:tc>
        <w:tc>
          <w:tcPr>
            <w:tcW w:w="1134" w:type="dxa"/>
            <w:tcBorders>
              <w:top w:val="nil"/>
              <w:left w:val="nil"/>
              <w:bottom w:val="single" w:sz="4" w:space="0" w:color="auto"/>
              <w:right w:val="single" w:sz="4" w:space="0" w:color="auto"/>
            </w:tcBorders>
            <w:shd w:val="clear" w:color="000000" w:fill="FFFFFF"/>
            <w:vAlign w:val="center"/>
            <w:hideMark/>
          </w:tcPr>
          <w:p w:rsidR="00C509E5" w:rsidRPr="00C509E5" w:rsidRDefault="00C509E5" w:rsidP="00C509E5">
            <w:pPr>
              <w:spacing w:line="240" w:lineRule="auto"/>
              <w:jc w:val="center"/>
              <w:rPr>
                <w:b/>
                <w:bCs/>
                <w:sz w:val="22"/>
                <w:szCs w:val="22"/>
                <w:lang w:eastAsia="cs-CZ"/>
              </w:rPr>
            </w:pPr>
            <w:r>
              <w:rPr>
                <w:b/>
                <w:bCs/>
                <w:sz w:val="22"/>
                <w:szCs w:val="22"/>
                <w:lang w:eastAsia="cs-CZ"/>
              </w:rPr>
              <w:t>5/4</w:t>
            </w:r>
          </w:p>
        </w:tc>
      </w:tr>
      <w:tr w:rsidR="00C509E5" w:rsidRPr="00C509E5" w:rsidTr="004E263B">
        <w:trPr>
          <w:trHeight w:val="300"/>
        </w:trPr>
        <w:tc>
          <w:tcPr>
            <w:tcW w:w="2079" w:type="dxa"/>
            <w:tcBorders>
              <w:top w:val="nil"/>
              <w:left w:val="single" w:sz="8" w:space="0" w:color="auto"/>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left"/>
              <w:rPr>
                <w:b/>
                <w:bCs/>
                <w:sz w:val="22"/>
                <w:szCs w:val="22"/>
                <w:lang w:eastAsia="cs-CZ"/>
              </w:rPr>
            </w:pPr>
            <w:r w:rsidRPr="00C509E5">
              <w:rPr>
                <w:b/>
                <w:bCs/>
                <w:sz w:val="22"/>
                <w:szCs w:val="22"/>
                <w:lang w:eastAsia="cs-CZ"/>
              </w:rPr>
              <w:t>Daňové příjmy</w:t>
            </w:r>
          </w:p>
        </w:tc>
        <w:tc>
          <w:tcPr>
            <w:tcW w:w="1338"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385,49</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732,24</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410,49</w:t>
            </w:r>
          </w:p>
        </w:tc>
        <w:tc>
          <w:tcPr>
            <w:tcW w:w="1134"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56,1</w:t>
            </w:r>
          </w:p>
        </w:tc>
      </w:tr>
      <w:tr w:rsidR="00C509E5" w:rsidRPr="00C509E5" w:rsidTr="004E263B">
        <w:trPr>
          <w:trHeight w:val="300"/>
        </w:trPr>
        <w:tc>
          <w:tcPr>
            <w:tcW w:w="2079" w:type="dxa"/>
            <w:tcBorders>
              <w:top w:val="nil"/>
              <w:left w:val="single" w:sz="8" w:space="0" w:color="auto"/>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left"/>
              <w:rPr>
                <w:sz w:val="22"/>
                <w:szCs w:val="22"/>
                <w:lang w:eastAsia="cs-CZ"/>
              </w:rPr>
            </w:pPr>
            <w:r w:rsidRPr="00C509E5">
              <w:rPr>
                <w:sz w:val="22"/>
                <w:szCs w:val="22"/>
                <w:lang w:eastAsia="cs-CZ"/>
              </w:rPr>
              <w:t>- DPH</w:t>
            </w:r>
          </w:p>
        </w:tc>
        <w:tc>
          <w:tcPr>
            <w:tcW w:w="1338"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154,9</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270,8</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169,03</w:t>
            </w:r>
          </w:p>
        </w:tc>
        <w:tc>
          <w:tcPr>
            <w:tcW w:w="1134"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62,4</w:t>
            </w:r>
          </w:p>
        </w:tc>
      </w:tr>
      <w:tr w:rsidR="00C509E5" w:rsidRPr="00C509E5" w:rsidTr="004E263B">
        <w:trPr>
          <w:trHeight w:val="300"/>
        </w:trPr>
        <w:tc>
          <w:tcPr>
            <w:tcW w:w="2079" w:type="dxa"/>
            <w:tcBorders>
              <w:top w:val="nil"/>
              <w:left w:val="single" w:sz="8" w:space="0" w:color="auto"/>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left"/>
              <w:rPr>
                <w:sz w:val="22"/>
                <w:szCs w:val="22"/>
                <w:lang w:eastAsia="cs-CZ"/>
              </w:rPr>
            </w:pPr>
            <w:r w:rsidRPr="00C509E5">
              <w:rPr>
                <w:sz w:val="22"/>
                <w:szCs w:val="22"/>
                <w:lang w:eastAsia="cs-CZ"/>
              </w:rPr>
              <w:t>- spotřební daň</w:t>
            </w:r>
          </w:p>
        </w:tc>
        <w:tc>
          <w:tcPr>
            <w:tcW w:w="1338"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70,81</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149,2</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78,2</w:t>
            </w:r>
          </w:p>
        </w:tc>
        <w:tc>
          <w:tcPr>
            <w:tcW w:w="1134"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52,4</w:t>
            </w:r>
          </w:p>
        </w:tc>
      </w:tr>
      <w:tr w:rsidR="00C509E5" w:rsidRPr="00C509E5" w:rsidTr="004E263B">
        <w:trPr>
          <w:trHeight w:val="300"/>
        </w:trPr>
        <w:tc>
          <w:tcPr>
            <w:tcW w:w="2079" w:type="dxa"/>
            <w:tcBorders>
              <w:top w:val="nil"/>
              <w:left w:val="single" w:sz="8" w:space="0" w:color="auto"/>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left"/>
              <w:rPr>
                <w:sz w:val="22"/>
                <w:szCs w:val="22"/>
                <w:lang w:eastAsia="cs-CZ"/>
              </w:rPr>
            </w:pPr>
            <w:r w:rsidRPr="00C509E5">
              <w:rPr>
                <w:sz w:val="22"/>
                <w:szCs w:val="22"/>
                <w:lang w:eastAsia="cs-CZ"/>
              </w:rPr>
              <w:t>- clo</w:t>
            </w:r>
          </w:p>
        </w:tc>
        <w:tc>
          <w:tcPr>
            <w:tcW w:w="1338"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0,84</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1,3</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0,9</w:t>
            </w:r>
          </w:p>
        </w:tc>
        <w:tc>
          <w:tcPr>
            <w:tcW w:w="1134"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69</w:t>
            </w:r>
          </w:p>
        </w:tc>
      </w:tr>
      <w:tr w:rsidR="00C509E5" w:rsidRPr="00C509E5" w:rsidTr="004E263B">
        <w:trPr>
          <w:trHeight w:val="300"/>
        </w:trPr>
        <w:tc>
          <w:tcPr>
            <w:tcW w:w="2079" w:type="dxa"/>
            <w:tcBorders>
              <w:top w:val="nil"/>
              <w:left w:val="single" w:sz="8" w:space="0" w:color="auto"/>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left"/>
              <w:rPr>
                <w:sz w:val="22"/>
                <w:szCs w:val="22"/>
                <w:lang w:eastAsia="cs-CZ"/>
              </w:rPr>
            </w:pPr>
            <w:r w:rsidRPr="00C509E5">
              <w:rPr>
                <w:sz w:val="22"/>
                <w:szCs w:val="22"/>
                <w:lang w:eastAsia="cs-CZ"/>
              </w:rPr>
              <w:t>- daně z příjmů PO</w:t>
            </w:r>
          </w:p>
        </w:tc>
        <w:tc>
          <w:tcPr>
            <w:tcW w:w="1338"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72,03</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143,9</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73,02</w:t>
            </w:r>
          </w:p>
        </w:tc>
        <w:tc>
          <w:tcPr>
            <w:tcW w:w="1134"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50,7</w:t>
            </w:r>
          </w:p>
        </w:tc>
      </w:tr>
      <w:tr w:rsidR="00C509E5" w:rsidRPr="00C509E5" w:rsidTr="004E263B">
        <w:trPr>
          <w:trHeight w:val="300"/>
        </w:trPr>
        <w:tc>
          <w:tcPr>
            <w:tcW w:w="2079" w:type="dxa"/>
            <w:tcBorders>
              <w:top w:val="nil"/>
              <w:left w:val="single" w:sz="8" w:space="0" w:color="auto"/>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left"/>
              <w:rPr>
                <w:sz w:val="22"/>
                <w:szCs w:val="22"/>
                <w:lang w:eastAsia="cs-CZ"/>
              </w:rPr>
            </w:pPr>
            <w:r w:rsidRPr="00C509E5">
              <w:rPr>
                <w:sz w:val="22"/>
                <w:szCs w:val="22"/>
                <w:lang w:eastAsia="cs-CZ"/>
              </w:rPr>
              <w:t>- daně z příjmů FO</w:t>
            </w:r>
          </w:p>
        </w:tc>
        <w:tc>
          <w:tcPr>
            <w:tcW w:w="1338"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69,13</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134,2</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70,26</w:t>
            </w:r>
          </w:p>
        </w:tc>
        <w:tc>
          <w:tcPr>
            <w:tcW w:w="1134"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52,4</w:t>
            </w:r>
          </w:p>
        </w:tc>
      </w:tr>
      <w:tr w:rsidR="00C509E5" w:rsidRPr="00C509E5" w:rsidTr="004E263B">
        <w:trPr>
          <w:trHeight w:val="300"/>
        </w:trPr>
        <w:tc>
          <w:tcPr>
            <w:tcW w:w="2079" w:type="dxa"/>
            <w:tcBorders>
              <w:top w:val="nil"/>
              <w:left w:val="single" w:sz="8" w:space="0" w:color="auto"/>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left"/>
              <w:rPr>
                <w:i/>
                <w:iCs/>
                <w:sz w:val="22"/>
                <w:szCs w:val="22"/>
                <w:lang w:eastAsia="cs-CZ"/>
              </w:rPr>
            </w:pPr>
            <w:r w:rsidRPr="00C509E5">
              <w:rPr>
                <w:i/>
                <w:iCs/>
                <w:sz w:val="22"/>
                <w:szCs w:val="22"/>
                <w:lang w:eastAsia="cs-CZ"/>
              </w:rPr>
              <w:t>vybíraná srážkou</w:t>
            </w:r>
          </w:p>
        </w:tc>
        <w:tc>
          <w:tcPr>
            <w:tcW w:w="1338"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i/>
                <w:iCs/>
                <w:sz w:val="22"/>
                <w:szCs w:val="22"/>
                <w:lang w:eastAsia="cs-CZ"/>
              </w:rPr>
            </w:pPr>
            <w:r w:rsidRPr="00C509E5">
              <w:rPr>
                <w:i/>
                <w:iCs/>
                <w:sz w:val="22"/>
                <w:szCs w:val="22"/>
                <w:lang w:eastAsia="cs-CZ"/>
              </w:rPr>
              <w:t>5,82</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i/>
                <w:iCs/>
                <w:sz w:val="22"/>
                <w:szCs w:val="22"/>
                <w:lang w:eastAsia="cs-CZ"/>
              </w:rPr>
            </w:pPr>
            <w:r w:rsidRPr="00C509E5">
              <w:rPr>
                <w:i/>
                <w:iCs/>
                <w:sz w:val="22"/>
                <w:szCs w:val="22"/>
                <w:lang w:eastAsia="cs-CZ"/>
              </w:rPr>
              <w:t>9,6</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i/>
                <w:iCs/>
                <w:sz w:val="22"/>
                <w:szCs w:val="22"/>
                <w:lang w:eastAsia="cs-CZ"/>
              </w:rPr>
            </w:pPr>
            <w:r w:rsidRPr="00C509E5">
              <w:rPr>
                <w:i/>
                <w:iCs/>
                <w:sz w:val="22"/>
                <w:szCs w:val="22"/>
                <w:lang w:eastAsia="cs-CZ"/>
              </w:rPr>
              <w:t>5,78</w:t>
            </w:r>
          </w:p>
        </w:tc>
        <w:tc>
          <w:tcPr>
            <w:tcW w:w="1134"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i/>
                <w:iCs/>
                <w:sz w:val="22"/>
                <w:szCs w:val="22"/>
                <w:lang w:eastAsia="cs-CZ"/>
              </w:rPr>
            </w:pPr>
            <w:r w:rsidRPr="00C509E5">
              <w:rPr>
                <w:i/>
                <w:iCs/>
                <w:sz w:val="22"/>
                <w:szCs w:val="22"/>
                <w:lang w:eastAsia="cs-CZ"/>
              </w:rPr>
              <w:t>60,2</w:t>
            </w:r>
          </w:p>
        </w:tc>
      </w:tr>
      <w:tr w:rsidR="00C509E5" w:rsidRPr="00C509E5" w:rsidTr="004E263B">
        <w:trPr>
          <w:trHeight w:val="300"/>
        </w:trPr>
        <w:tc>
          <w:tcPr>
            <w:tcW w:w="2079" w:type="dxa"/>
            <w:tcBorders>
              <w:top w:val="nil"/>
              <w:left w:val="single" w:sz="8" w:space="0" w:color="auto"/>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left"/>
              <w:rPr>
                <w:i/>
                <w:iCs/>
                <w:sz w:val="22"/>
                <w:szCs w:val="22"/>
                <w:lang w:eastAsia="cs-CZ"/>
              </w:rPr>
            </w:pPr>
            <w:r w:rsidRPr="00C509E5">
              <w:rPr>
                <w:i/>
                <w:iCs/>
                <w:sz w:val="22"/>
                <w:szCs w:val="22"/>
                <w:lang w:eastAsia="cs-CZ"/>
              </w:rPr>
              <w:t>závislá činnost</w:t>
            </w:r>
          </w:p>
        </w:tc>
        <w:tc>
          <w:tcPr>
            <w:tcW w:w="1338"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i/>
                <w:iCs/>
                <w:sz w:val="22"/>
                <w:szCs w:val="22"/>
                <w:lang w:eastAsia="cs-CZ"/>
              </w:rPr>
            </w:pPr>
            <w:r w:rsidRPr="00C509E5">
              <w:rPr>
                <w:i/>
                <w:iCs/>
                <w:sz w:val="22"/>
                <w:szCs w:val="22"/>
                <w:lang w:eastAsia="cs-CZ"/>
              </w:rPr>
              <w:t>61,17</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i/>
                <w:iCs/>
                <w:sz w:val="22"/>
                <w:szCs w:val="22"/>
                <w:lang w:eastAsia="cs-CZ"/>
              </w:rPr>
            </w:pPr>
            <w:r w:rsidRPr="00C509E5">
              <w:rPr>
                <w:i/>
                <w:iCs/>
                <w:sz w:val="22"/>
                <w:szCs w:val="22"/>
                <w:lang w:eastAsia="cs-CZ"/>
              </w:rPr>
              <w:t>105,3</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i/>
                <w:iCs/>
                <w:sz w:val="22"/>
                <w:szCs w:val="22"/>
                <w:lang w:eastAsia="cs-CZ"/>
              </w:rPr>
            </w:pPr>
            <w:r w:rsidRPr="00C509E5">
              <w:rPr>
                <w:i/>
                <w:iCs/>
                <w:sz w:val="22"/>
                <w:szCs w:val="22"/>
                <w:lang w:eastAsia="cs-CZ"/>
              </w:rPr>
              <w:t>61,16</w:t>
            </w:r>
          </w:p>
        </w:tc>
        <w:tc>
          <w:tcPr>
            <w:tcW w:w="1134"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i/>
                <w:iCs/>
                <w:sz w:val="22"/>
                <w:szCs w:val="22"/>
                <w:lang w:eastAsia="cs-CZ"/>
              </w:rPr>
            </w:pPr>
            <w:r w:rsidRPr="00C509E5">
              <w:rPr>
                <w:i/>
                <w:iCs/>
                <w:sz w:val="22"/>
                <w:szCs w:val="22"/>
                <w:lang w:eastAsia="cs-CZ"/>
              </w:rPr>
              <w:t>58,1</w:t>
            </w:r>
          </w:p>
        </w:tc>
      </w:tr>
      <w:tr w:rsidR="00C509E5" w:rsidRPr="00C509E5" w:rsidTr="004E263B">
        <w:trPr>
          <w:trHeight w:val="300"/>
        </w:trPr>
        <w:tc>
          <w:tcPr>
            <w:tcW w:w="2079" w:type="dxa"/>
            <w:tcBorders>
              <w:top w:val="nil"/>
              <w:left w:val="single" w:sz="8" w:space="0" w:color="auto"/>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left"/>
              <w:rPr>
                <w:i/>
                <w:iCs/>
                <w:sz w:val="22"/>
                <w:szCs w:val="22"/>
                <w:lang w:eastAsia="cs-CZ"/>
              </w:rPr>
            </w:pPr>
            <w:r w:rsidRPr="00C509E5">
              <w:rPr>
                <w:i/>
                <w:iCs/>
                <w:sz w:val="22"/>
                <w:szCs w:val="22"/>
                <w:lang w:eastAsia="cs-CZ"/>
              </w:rPr>
              <w:t>z přiznání</w:t>
            </w:r>
          </w:p>
        </w:tc>
        <w:tc>
          <w:tcPr>
            <w:tcW w:w="1338"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i/>
                <w:iCs/>
                <w:sz w:val="22"/>
                <w:szCs w:val="22"/>
                <w:lang w:eastAsia="cs-CZ"/>
              </w:rPr>
            </w:pPr>
            <w:r w:rsidRPr="00C509E5">
              <w:rPr>
                <w:i/>
                <w:iCs/>
                <w:sz w:val="22"/>
                <w:szCs w:val="22"/>
                <w:lang w:eastAsia="cs-CZ"/>
              </w:rPr>
              <w:t>2,15</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i/>
                <w:iCs/>
                <w:sz w:val="22"/>
                <w:szCs w:val="22"/>
                <w:lang w:eastAsia="cs-CZ"/>
              </w:rPr>
            </w:pPr>
            <w:r w:rsidRPr="00C509E5">
              <w:rPr>
                <w:i/>
                <w:iCs/>
                <w:sz w:val="22"/>
                <w:szCs w:val="22"/>
                <w:lang w:eastAsia="cs-CZ"/>
              </w:rPr>
              <w:t>19,3</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i/>
                <w:iCs/>
                <w:sz w:val="22"/>
                <w:szCs w:val="22"/>
                <w:lang w:eastAsia="cs-CZ"/>
              </w:rPr>
            </w:pPr>
            <w:r w:rsidRPr="00C509E5">
              <w:rPr>
                <w:i/>
                <w:iCs/>
                <w:sz w:val="22"/>
                <w:szCs w:val="22"/>
                <w:lang w:eastAsia="cs-CZ"/>
              </w:rPr>
              <w:t>3,33</w:t>
            </w:r>
          </w:p>
        </w:tc>
        <w:tc>
          <w:tcPr>
            <w:tcW w:w="1134"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i/>
                <w:iCs/>
                <w:sz w:val="22"/>
                <w:szCs w:val="22"/>
                <w:lang w:eastAsia="cs-CZ"/>
              </w:rPr>
            </w:pPr>
            <w:r w:rsidRPr="00C509E5">
              <w:rPr>
                <w:i/>
                <w:iCs/>
                <w:sz w:val="22"/>
                <w:szCs w:val="22"/>
                <w:lang w:eastAsia="cs-CZ"/>
              </w:rPr>
              <w:t>17,3</w:t>
            </w:r>
          </w:p>
        </w:tc>
      </w:tr>
      <w:tr w:rsidR="00C509E5" w:rsidRPr="00C509E5" w:rsidTr="004E263B">
        <w:trPr>
          <w:trHeight w:val="300"/>
        </w:trPr>
        <w:tc>
          <w:tcPr>
            <w:tcW w:w="2079" w:type="dxa"/>
            <w:tcBorders>
              <w:top w:val="nil"/>
              <w:left w:val="single" w:sz="8" w:space="0" w:color="auto"/>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left"/>
              <w:rPr>
                <w:sz w:val="22"/>
                <w:szCs w:val="22"/>
                <w:lang w:eastAsia="cs-CZ"/>
              </w:rPr>
            </w:pPr>
            <w:r w:rsidRPr="00C509E5">
              <w:rPr>
                <w:sz w:val="22"/>
                <w:szCs w:val="22"/>
                <w:lang w:eastAsia="cs-CZ"/>
              </w:rPr>
              <w:t>- silniční daň</w:t>
            </w:r>
          </w:p>
        </w:tc>
        <w:tc>
          <w:tcPr>
            <w:tcW w:w="1338"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2,81</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5,5</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2,89</w:t>
            </w:r>
          </w:p>
        </w:tc>
        <w:tc>
          <w:tcPr>
            <w:tcW w:w="1134"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52,5</w:t>
            </w:r>
          </w:p>
        </w:tc>
      </w:tr>
      <w:tr w:rsidR="00C509E5" w:rsidRPr="00C509E5" w:rsidTr="004E263B">
        <w:trPr>
          <w:trHeight w:val="300"/>
        </w:trPr>
        <w:tc>
          <w:tcPr>
            <w:tcW w:w="2079" w:type="dxa"/>
            <w:tcBorders>
              <w:top w:val="nil"/>
              <w:left w:val="single" w:sz="8" w:space="0" w:color="auto"/>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left"/>
              <w:rPr>
                <w:sz w:val="22"/>
                <w:szCs w:val="22"/>
                <w:lang w:eastAsia="cs-CZ"/>
              </w:rPr>
            </w:pPr>
            <w:r w:rsidRPr="00C509E5">
              <w:rPr>
                <w:sz w:val="22"/>
                <w:szCs w:val="22"/>
                <w:lang w:eastAsia="cs-CZ"/>
              </w:rPr>
              <w:t>- daň z nemovitosti</w:t>
            </w:r>
          </w:p>
        </w:tc>
        <w:tc>
          <w:tcPr>
            <w:tcW w:w="1338"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3,99</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9,6</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5,73</w:t>
            </w:r>
          </w:p>
        </w:tc>
        <w:tc>
          <w:tcPr>
            <w:tcW w:w="1134"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59,7</w:t>
            </w:r>
          </w:p>
        </w:tc>
      </w:tr>
      <w:tr w:rsidR="00C509E5" w:rsidRPr="00C509E5" w:rsidTr="004E263B">
        <w:trPr>
          <w:trHeight w:val="300"/>
        </w:trPr>
        <w:tc>
          <w:tcPr>
            <w:tcW w:w="2079" w:type="dxa"/>
            <w:tcBorders>
              <w:top w:val="nil"/>
              <w:left w:val="single" w:sz="8" w:space="0" w:color="auto"/>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left"/>
              <w:rPr>
                <w:sz w:val="22"/>
                <w:szCs w:val="22"/>
                <w:lang w:eastAsia="cs-CZ"/>
              </w:rPr>
            </w:pPr>
            <w:r w:rsidRPr="00C509E5">
              <w:rPr>
                <w:sz w:val="22"/>
                <w:szCs w:val="22"/>
                <w:lang w:eastAsia="cs-CZ"/>
              </w:rPr>
              <w:t>- majetkové daně</w:t>
            </w:r>
          </w:p>
        </w:tc>
        <w:tc>
          <w:tcPr>
            <w:tcW w:w="1338"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4,78</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9,1</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4,34</w:t>
            </w:r>
          </w:p>
        </w:tc>
        <w:tc>
          <w:tcPr>
            <w:tcW w:w="1134"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47,7</w:t>
            </w:r>
          </w:p>
        </w:tc>
      </w:tr>
      <w:tr w:rsidR="00C509E5" w:rsidRPr="00C509E5" w:rsidTr="004E263B">
        <w:trPr>
          <w:trHeight w:val="300"/>
        </w:trPr>
        <w:tc>
          <w:tcPr>
            <w:tcW w:w="2079" w:type="dxa"/>
            <w:tcBorders>
              <w:top w:val="nil"/>
              <w:left w:val="single" w:sz="8" w:space="0" w:color="auto"/>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left"/>
              <w:rPr>
                <w:sz w:val="22"/>
                <w:szCs w:val="22"/>
                <w:lang w:eastAsia="cs-CZ"/>
              </w:rPr>
            </w:pPr>
            <w:r w:rsidRPr="00C509E5">
              <w:rPr>
                <w:sz w:val="22"/>
                <w:szCs w:val="22"/>
                <w:lang w:eastAsia="cs-CZ"/>
              </w:rPr>
              <w:t>- dálniční poplatek</w:t>
            </w:r>
          </w:p>
        </w:tc>
        <w:tc>
          <w:tcPr>
            <w:tcW w:w="1338"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2,28</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2,6</w:t>
            </w:r>
          </w:p>
        </w:tc>
        <w:tc>
          <w:tcPr>
            <w:tcW w:w="1276"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2,45</w:t>
            </w:r>
          </w:p>
        </w:tc>
        <w:tc>
          <w:tcPr>
            <w:tcW w:w="1134" w:type="dxa"/>
            <w:tcBorders>
              <w:top w:val="nil"/>
              <w:left w:val="nil"/>
              <w:bottom w:val="single" w:sz="4"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94,2</w:t>
            </w:r>
          </w:p>
        </w:tc>
      </w:tr>
      <w:tr w:rsidR="00C509E5" w:rsidRPr="00C509E5" w:rsidTr="004E263B">
        <w:trPr>
          <w:trHeight w:val="300"/>
        </w:trPr>
        <w:tc>
          <w:tcPr>
            <w:tcW w:w="2079" w:type="dxa"/>
            <w:tcBorders>
              <w:top w:val="nil"/>
              <w:left w:val="single" w:sz="8" w:space="0" w:color="auto"/>
              <w:bottom w:val="single" w:sz="8" w:space="0" w:color="auto"/>
              <w:right w:val="single" w:sz="4" w:space="0" w:color="auto"/>
            </w:tcBorders>
            <w:shd w:val="clear" w:color="000000" w:fill="FFFFFF"/>
            <w:vAlign w:val="bottom"/>
            <w:hideMark/>
          </w:tcPr>
          <w:p w:rsidR="00C509E5" w:rsidRPr="00C509E5" w:rsidRDefault="00C509E5" w:rsidP="00C509E5">
            <w:pPr>
              <w:spacing w:line="240" w:lineRule="auto"/>
              <w:jc w:val="left"/>
              <w:rPr>
                <w:sz w:val="22"/>
                <w:szCs w:val="22"/>
                <w:lang w:eastAsia="cs-CZ"/>
              </w:rPr>
            </w:pPr>
            <w:r w:rsidRPr="00C509E5">
              <w:rPr>
                <w:sz w:val="22"/>
                <w:szCs w:val="22"/>
                <w:lang w:eastAsia="cs-CZ"/>
              </w:rPr>
              <w:t>- ostatní daně a poplatky</w:t>
            </w:r>
          </w:p>
        </w:tc>
        <w:tc>
          <w:tcPr>
            <w:tcW w:w="1338" w:type="dxa"/>
            <w:tcBorders>
              <w:top w:val="nil"/>
              <w:left w:val="nil"/>
              <w:bottom w:val="single" w:sz="8"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3,91</w:t>
            </w:r>
          </w:p>
        </w:tc>
        <w:tc>
          <w:tcPr>
            <w:tcW w:w="1276" w:type="dxa"/>
            <w:tcBorders>
              <w:top w:val="nil"/>
              <w:left w:val="nil"/>
              <w:bottom w:val="single" w:sz="8"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6,04</w:t>
            </w:r>
          </w:p>
        </w:tc>
        <w:tc>
          <w:tcPr>
            <w:tcW w:w="1276" w:type="dxa"/>
            <w:tcBorders>
              <w:top w:val="nil"/>
              <w:left w:val="nil"/>
              <w:bottom w:val="single" w:sz="8"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3,67</w:t>
            </w:r>
          </w:p>
        </w:tc>
        <w:tc>
          <w:tcPr>
            <w:tcW w:w="1134" w:type="dxa"/>
            <w:tcBorders>
              <w:top w:val="nil"/>
              <w:left w:val="nil"/>
              <w:bottom w:val="single" w:sz="8" w:space="0" w:color="auto"/>
              <w:right w:val="single" w:sz="4" w:space="0" w:color="auto"/>
            </w:tcBorders>
            <w:shd w:val="clear" w:color="000000" w:fill="FFFFFF"/>
            <w:vAlign w:val="bottom"/>
            <w:hideMark/>
          </w:tcPr>
          <w:p w:rsidR="00C509E5" w:rsidRPr="00C509E5" w:rsidRDefault="00C509E5" w:rsidP="00C509E5">
            <w:pPr>
              <w:spacing w:line="240" w:lineRule="auto"/>
              <w:jc w:val="right"/>
              <w:rPr>
                <w:b/>
                <w:bCs/>
                <w:sz w:val="22"/>
                <w:szCs w:val="22"/>
                <w:lang w:eastAsia="cs-CZ"/>
              </w:rPr>
            </w:pPr>
            <w:r w:rsidRPr="00C509E5">
              <w:rPr>
                <w:b/>
                <w:bCs/>
                <w:sz w:val="22"/>
                <w:szCs w:val="22"/>
                <w:lang w:eastAsia="cs-CZ"/>
              </w:rPr>
              <w:t>60,8</w:t>
            </w:r>
          </w:p>
        </w:tc>
      </w:tr>
    </w:tbl>
    <w:p w:rsidR="004E263B" w:rsidRDefault="004E263B" w:rsidP="004E263B">
      <w:pPr>
        <w:rPr>
          <w:i/>
          <w:sz w:val="20"/>
        </w:rPr>
      </w:pPr>
      <w:r w:rsidRPr="007E3D67">
        <w:rPr>
          <w:i/>
          <w:sz w:val="20"/>
        </w:rPr>
        <w:t>Zdroj: Data –</w:t>
      </w:r>
      <w:r w:rsidRPr="007E3D67">
        <w:t xml:space="preserve"> </w:t>
      </w:r>
      <w:r w:rsidRPr="007E3D67">
        <w:rPr>
          <w:i/>
          <w:sz w:val="20"/>
        </w:rPr>
        <w:t>Zdroj: Data – Český statistický úřad,</w:t>
      </w:r>
      <w:r w:rsidRPr="007E3D67">
        <w:t xml:space="preserve"> </w:t>
      </w:r>
      <w:r w:rsidRPr="007E3D67">
        <w:rPr>
          <w:i/>
          <w:sz w:val="20"/>
        </w:rPr>
        <w:t>http://www.czso.cz,</w:t>
      </w:r>
      <w:r w:rsidRPr="007E3D67">
        <w:t xml:space="preserve"> </w:t>
      </w:r>
      <w:r w:rsidRPr="007E3D67">
        <w:rPr>
          <w:i/>
          <w:sz w:val="20"/>
        </w:rPr>
        <w:t>Tabulka: Vlastní konstrukce.</w:t>
      </w:r>
    </w:p>
    <w:p w:rsidR="00C509E5" w:rsidRDefault="00C509E5" w:rsidP="007E3D67"/>
    <w:p w:rsidR="00C261BC" w:rsidRDefault="00C261BC" w:rsidP="007E3D67"/>
    <w:p w:rsidR="004E263B" w:rsidRDefault="004E263B" w:rsidP="007E3D67"/>
    <w:p w:rsidR="00C23397" w:rsidRPr="004E263B" w:rsidRDefault="00C23397" w:rsidP="004E263B">
      <w:pPr>
        <w:pStyle w:val="Titulek"/>
        <w:rPr>
          <w:b w:val="0"/>
        </w:rPr>
      </w:pPr>
      <w:bookmarkStart w:id="295" w:name="_Toc279696539"/>
      <w:r w:rsidRPr="004E263B">
        <w:rPr>
          <w:b w:val="0"/>
        </w:rPr>
        <w:t>Obr. 1</w:t>
      </w:r>
      <w:r w:rsidR="00196B6B" w:rsidRPr="004E263B">
        <w:rPr>
          <w:b w:val="0"/>
        </w:rPr>
        <w:t>: HDP v ČR (v letech 2000-2010, v %)</w:t>
      </w:r>
      <w:bookmarkEnd w:id="295"/>
    </w:p>
    <w:p w:rsidR="00C23397" w:rsidRDefault="00196B6B" w:rsidP="007E3D67">
      <w:r>
        <w:rPr>
          <w:noProof/>
          <w:lang w:eastAsia="cs-CZ"/>
        </w:rPr>
        <w:drawing>
          <wp:inline distT="0" distB="0" distL="0" distR="0">
            <wp:extent cx="5486400" cy="3200400"/>
            <wp:effectExtent l="19050" t="0" r="1905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EE5063" w:rsidRPr="007E3D67" w:rsidRDefault="00EE5063" w:rsidP="00EE5063">
      <w:pPr>
        <w:rPr>
          <w:i/>
          <w:sz w:val="20"/>
        </w:rPr>
      </w:pPr>
      <w:r w:rsidRPr="007E3D67">
        <w:rPr>
          <w:i/>
          <w:sz w:val="20"/>
        </w:rPr>
        <w:t>Zdroj: Data –</w:t>
      </w:r>
      <w:r w:rsidRPr="007E3D67">
        <w:t xml:space="preserve"> </w:t>
      </w:r>
      <w:r w:rsidRPr="007E3D67">
        <w:rPr>
          <w:i/>
          <w:sz w:val="20"/>
        </w:rPr>
        <w:t>Zdroj: Data – Český statistický úřad,</w:t>
      </w:r>
      <w:r w:rsidRPr="007E3D67">
        <w:t xml:space="preserve"> </w:t>
      </w:r>
      <w:r w:rsidRPr="007E3D67">
        <w:rPr>
          <w:i/>
          <w:sz w:val="20"/>
        </w:rPr>
        <w:t>http://www.czso.cz,</w:t>
      </w:r>
      <w:r w:rsidRPr="007E3D67">
        <w:t xml:space="preserve"> </w:t>
      </w:r>
      <w:r w:rsidRPr="007E3D67">
        <w:rPr>
          <w:i/>
          <w:sz w:val="20"/>
        </w:rPr>
        <w:t>Tabulka: Vlastní konstrukce.</w:t>
      </w:r>
    </w:p>
    <w:p w:rsidR="00EE5063" w:rsidRDefault="00EE5063" w:rsidP="007E3D67"/>
    <w:p w:rsidR="004E263B" w:rsidRPr="007E3D67" w:rsidRDefault="004E263B" w:rsidP="007E3D67"/>
    <w:sectPr w:rsidR="004E263B" w:rsidRPr="007E3D67" w:rsidSect="0066604C">
      <w:footerReference w:type="default" r:id="rId83"/>
      <w:pgSz w:w="11906" w:h="16838"/>
      <w:pgMar w:top="1701" w:right="1418" w:bottom="1701"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293B" w:rsidRDefault="0064293B" w:rsidP="00071F7D">
      <w:pPr>
        <w:spacing w:line="240" w:lineRule="auto"/>
      </w:pPr>
      <w:r>
        <w:separator/>
      </w:r>
    </w:p>
  </w:endnote>
  <w:endnote w:type="continuationSeparator" w:id="0">
    <w:p w:rsidR="0064293B" w:rsidRDefault="0064293B" w:rsidP="00071F7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00007843" w:usb2="00000001"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40007843" w:usb2="00000001"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0AFF" w:usb1="00007843" w:usb2="00000001" w:usb3="00000000" w:csb0="000001BF" w:csb1="00000000"/>
  </w:font>
  <w:font w:name="Calibri">
    <w:panose1 w:val="020F0502020204030204"/>
    <w:charset w:val="EE"/>
    <w:family w:val="swiss"/>
    <w:pitch w:val="variable"/>
    <w:sig w:usb0="A00002EF" w:usb1="4000207B" w:usb2="00000000" w:usb3="00000000" w:csb0="0000009F" w:csb1="00000000"/>
  </w:font>
  <w:font w:name="Times">
    <w:panose1 w:val="02020503050405090304"/>
    <w:charset w:val="EE"/>
    <w:family w:val="roman"/>
    <w:pitch w:val="variable"/>
    <w:sig w:usb0="E0002AFF" w:usb1="00007843" w:usb2="00000001" w:usb3="00000000" w:csb0="000001FF" w:csb1="00000000"/>
  </w:font>
  <w:font w:name="Tahoma">
    <w:panose1 w:val="020B0604030504040204"/>
    <w:charset w:val="EE"/>
    <w:family w:val="swiss"/>
    <w:pitch w:val="variable"/>
    <w:sig w:usb0="E1002AFF" w:usb1="C000605B" w:usb2="00000029" w:usb3="00000000" w:csb0="000101FF" w:csb1="00000000"/>
  </w:font>
  <w:font w:name="Cambria Math">
    <w:panose1 w:val="02040503050406030204"/>
    <w:charset w:val="EE"/>
    <w:family w:val="roman"/>
    <w:pitch w:val="variable"/>
    <w:sig w:usb0="A00002EF" w:usb1="420020EB" w:usb2="00000000" w:usb3="00000000" w:csb0="0000009F" w:csb1="00000000"/>
  </w:font>
  <w:font w:name="Trebuchet MS">
    <w:panose1 w:val="020B0603020202020204"/>
    <w:charset w:val="EE"/>
    <w:family w:val="swiss"/>
    <w:pitch w:val="variable"/>
    <w:sig w:usb0="00000287" w:usb1="00000000"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487185"/>
      <w:docPartObj>
        <w:docPartGallery w:val="Page Numbers (Bottom of Page)"/>
        <w:docPartUnique/>
      </w:docPartObj>
    </w:sdtPr>
    <w:sdtContent>
      <w:p w:rsidR="00093386" w:rsidRDefault="00D82A9D">
        <w:pPr>
          <w:pStyle w:val="Zpat"/>
          <w:jc w:val="center"/>
        </w:pPr>
        <w:fldSimple w:instr=" PAGE   \* MERGEFORMAT ">
          <w:r w:rsidR="007A33E1">
            <w:rPr>
              <w:noProof/>
            </w:rPr>
            <w:t>16</w:t>
          </w:r>
        </w:fldSimple>
      </w:p>
    </w:sdtContent>
  </w:sdt>
  <w:p w:rsidR="00093386" w:rsidRDefault="00093386">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293B" w:rsidRDefault="0064293B" w:rsidP="00071F7D">
      <w:pPr>
        <w:spacing w:line="240" w:lineRule="auto"/>
      </w:pPr>
      <w:r>
        <w:separator/>
      </w:r>
    </w:p>
  </w:footnote>
  <w:footnote w:type="continuationSeparator" w:id="0">
    <w:p w:rsidR="0064293B" w:rsidRDefault="0064293B" w:rsidP="00071F7D">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B736A"/>
    <w:multiLevelType w:val="hybridMultilevel"/>
    <w:tmpl w:val="F3989EE4"/>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081006E5"/>
    <w:multiLevelType w:val="hybridMultilevel"/>
    <w:tmpl w:val="D4BA8B72"/>
    <w:lvl w:ilvl="0" w:tplc="7384E94E">
      <w:start w:val="1"/>
      <w:numFmt w:val="decimal"/>
      <w:lvlText w:val="%1."/>
      <w:lvlJc w:val="left"/>
      <w:pPr>
        <w:ind w:left="720" w:hanging="360"/>
      </w:pPr>
      <w:rPr>
        <w:rFonts w:ascii="Times New Roman" w:hAnsi="Times New Roman" w:cs="Times New Roman" w:hint="default"/>
      </w:rPr>
    </w:lvl>
    <w:lvl w:ilvl="1" w:tplc="04050001">
      <w:start w:val="1"/>
      <w:numFmt w:val="bullet"/>
      <w:lvlText w:val=""/>
      <w:lvlJc w:val="left"/>
      <w:pPr>
        <w:ind w:left="1440" w:hanging="360"/>
      </w:pPr>
      <w:rPr>
        <w:rFonts w:ascii="Symbol" w:hAnsi="Symbol" w:hint="default"/>
      </w:rPr>
    </w:lvl>
    <w:lvl w:ilvl="2" w:tplc="C296869C">
      <w:start w:val="1"/>
      <w:numFmt w:val="decimal"/>
      <w:lvlText w:val="%3)"/>
      <w:lvlJc w:val="left"/>
      <w:pPr>
        <w:ind w:left="2340" w:hanging="360"/>
      </w:pPr>
      <w:rPr>
        <w:rFonts w:hint="default"/>
      </w:r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FEE4929"/>
    <w:multiLevelType w:val="hybridMultilevel"/>
    <w:tmpl w:val="BCAEE430"/>
    <w:lvl w:ilvl="0" w:tplc="0405000F">
      <w:start w:val="1"/>
      <w:numFmt w:val="decimal"/>
      <w:lvlText w:val="%1."/>
      <w:lvlJc w:val="left"/>
      <w:pPr>
        <w:ind w:left="1080" w:hanging="360"/>
      </w:p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3">
    <w:nsid w:val="10391A80"/>
    <w:multiLevelType w:val="hybridMultilevel"/>
    <w:tmpl w:val="ED28C96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106C36EA"/>
    <w:multiLevelType w:val="hybridMultilevel"/>
    <w:tmpl w:val="F404CAB0"/>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5">
    <w:nsid w:val="10D454FD"/>
    <w:multiLevelType w:val="hybridMultilevel"/>
    <w:tmpl w:val="4D066F76"/>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6">
    <w:nsid w:val="11FF2768"/>
    <w:multiLevelType w:val="hybridMultilevel"/>
    <w:tmpl w:val="ADB69E4A"/>
    <w:lvl w:ilvl="0" w:tplc="04050001">
      <w:start w:val="1"/>
      <w:numFmt w:val="bullet"/>
      <w:lvlText w:val=""/>
      <w:lvlJc w:val="left"/>
      <w:pPr>
        <w:tabs>
          <w:tab w:val="num" w:pos="720"/>
        </w:tabs>
        <w:ind w:left="720" w:hanging="360"/>
      </w:pPr>
      <w:rPr>
        <w:rFonts w:ascii="Symbol" w:hAnsi="Symbol" w:hint="default"/>
      </w:rPr>
    </w:lvl>
    <w:lvl w:ilvl="1" w:tplc="8D50B01A">
      <w:start w:val="479"/>
      <w:numFmt w:val="bullet"/>
      <w:lvlText w:val="•"/>
      <w:lvlJc w:val="left"/>
      <w:pPr>
        <w:tabs>
          <w:tab w:val="num" w:pos="1440"/>
        </w:tabs>
        <w:ind w:left="1440" w:hanging="360"/>
      </w:pPr>
      <w:rPr>
        <w:rFonts w:ascii="Times New Roman" w:hAnsi="Times New Roman" w:hint="default"/>
      </w:rPr>
    </w:lvl>
    <w:lvl w:ilvl="2" w:tplc="82962854" w:tentative="1">
      <w:start w:val="1"/>
      <w:numFmt w:val="bullet"/>
      <w:lvlText w:val="•"/>
      <w:lvlJc w:val="left"/>
      <w:pPr>
        <w:tabs>
          <w:tab w:val="num" w:pos="2160"/>
        </w:tabs>
        <w:ind w:left="2160" w:hanging="360"/>
      </w:pPr>
      <w:rPr>
        <w:rFonts w:ascii="Times New Roman" w:hAnsi="Times New Roman" w:hint="default"/>
      </w:rPr>
    </w:lvl>
    <w:lvl w:ilvl="3" w:tplc="79B464D2" w:tentative="1">
      <w:start w:val="1"/>
      <w:numFmt w:val="bullet"/>
      <w:lvlText w:val="•"/>
      <w:lvlJc w:val="left"/>
      <w:pPr>
        <w:tabs>
          <w:tab w:val="num" w:pos="2880"/>
        </w:tabs>
        <w:ind w:left="2880" w:hanging="360"/>
      </w:pPr>
      <w:rPr>
        <w:rFonts w:ascii="Times New Roman" w:hAnsi="Times New Roman" w:hint="default"/>
      </w:rPr>
    </w:lvl>
    <w:lvl w:ilvl="4" w:tplc="44D2A748" w:tentative="1">
      <w:start w:val="1"/>
      <w:numFmt w:val="bullet"/>
      <w:lvlText w:val="•"/>
      <w:lvlJc w:val="left"/>
      <w:pPr>
        <w:tabs>
          <w:tab w:val="num" w:pos="3600"/>
        </w:tabs>
        <w:ind w:left="3600" w:hanging="360"/>
      </w:pPr>
      <w:rPr>
        <w:rFonts w:ascii="Times New Roman" w:hAnsi="Times New Roman" w:hint="default"/>
      </w:rPr>
    </w:lvl>
    <w:lvl w:ilvl="5" w:tplc="DF08B872" w:tentative="1">
      <w:start w:val="1"/>
      <w:numFmt w:val="bullet"/>
      <w:lvlText w:val="•"/>
      <w:lvlJc w:val="left"/>
      <w:pPr>
        <w:tabs>
          <w:tab w:val="num" w:pos="4320"/>
        </w:tabs>
        <w:ind w:left="4320" w:hanging="360"/>
      </w:pPr>
      <w:rPr>
        <w:rFonts w:ascii="Times New Roman" w:hAnsi="Times New Roman" w:hint="default"/>
      </w:rPr>
    </w:lvl>
    <w:lvl w:ilvl="6" w:tplc="81484FA2" w:tentative="1">
      <w:start w:val="1"/>
      <w:numFmt w:val="bullet"/>
      <w:lvlText w:val="•"/>
      <w:lvlJc w:val="left"/>
      <w:pPr>
        <w:tabs>
          <w:tab w:val="num" w:pos="5040"/>
        </w:tabs>
        <w:ind w:left="5040" w:hanging="360"/>
      </w:pPr>
      <w:rPr>
        <w:rFonts w:ascii="Times New Roman" w:hAnsi="Times New Roman" w:hint="default"/>
      </w:rPr>
    </w:lvl>
    <w:lvl w:ilvl="7" w:tplc="615EB3CE" w:tentative="1">
      <w:start w:val="1"/>
      <w:numFmt w:val="bullet"/>
      <w:lvlText w:val="•"/>
      <w:lvlJc w:val="left"/>
      <w:pPr>
        <w:tabs>
          <w:tab w:val="num" w:pos="5760"/>
        </w:tabs>
        <w:ind w:left="5760" w:hanging="360"/>
      </w:pPr>
      <w:rPr>
        <w:rFonts w:ascii="Times New Roman" w:hAnsi="Times New Roman" w:hint="default"/>
      </w:rPr>
    </w:lvl>
    <w:lvl w:ilvl="8" w:tplc="8DDEFAF8" w:tentative="1">
      <w:start w:val="1"/>
      <w:numFmt w:val="bullet"/>
      <w:lvlText w:val="•"/>
      <w:lvlJc w:val="left"/>
      <w:pPr>
        <w:tabs>
          <w:tab w:val="num" w:pos="6480"/>
        </w:tabs>
        <w:ind w:left="6480" w:hanging="360"/>
      </w:pPr>
      <w:rPr>
        <w:rFonts w:ascii="Times New Roman" w:hAnsi="Times New Roman" w:hint="default"/>
      </w:rPr>
    </w:lvl>
  </w:abstractNum>
  <w:abstractNum w:abstractNumId="7">
    <w:nsid w:val="149E199A"/>
    <w:multiLevelType w:val="hybridMultilevel"/>
    <w:tmpl w:val="1D2C636E"/>
    <w:lvl w:ilvl="0" w:tplc="04050001">
      <w:start w:val="1"/>
      <w:numFmt w:val="bullet"/>
      <w:lvlText w:val=""/>
      <w:lvlJc w:val="left"/>
      <w:pPr>
        <w:ind w:left="1776" w:hanging="360"/>
      </w:pPr>
      <w:rPr>
        <w:rFonts w:ascii="Symbol" w:hAnsi="Symbol" w:hint="default"/>
      </w:rPr>
    </w:lvl>
    <w:lvl w:ilvl="1" w:tplc="04050003" w:tentative="1">
      <w:start w:val="1"/>
      <w:numFmt w:val="bullet"/>
      <w:lvlText w:val="o"/>
      <w:lvlJc w:val="left"/>
      <w:pPr>
        <w:ind w:left="2496" w:hanging="360"/>
      </w:pPr>
      <w:rPr>
        <w:rFonts w:ascii="Courier New" w:hAnsi="Courier New" w:cs="Courier New" w:hint="default"/>
      </w:rPr>
    </w:lvl>
    <w:lvl w:ilvl="2" w:tplc="04050005" w:tentative="1">
      <w:start w:val="1"/>
      <w:numFmt w:val="bullet"/>
      <w:lvlText w:val=""/>
      <w:lvlJc w:val="left"/>
      <w:pPr>
        <w:ind w:left="3216" w:hanging="360"/>
      </w:pPr>
      <w:rPr>
        <w:rFonts w:ascii="Wingdings" w:hAnsi="Wingdings" w:hint="default"/>
      </w:rPr>
    </w:lvl>
    <w:lvl w:ilvl="3" w:tplc="04050001" w:tentative="1">
      <w:start w:val="1"/>
      <w:numFmt w:val="bullet"/>
      <w:lvlText w:val=""/>
      <w:lvlJc w:val="left"/>
      <w:pPr>
        <w:ind w:left="3936" w:hanging="360"/>
      </w:pPr>
      <w:rPr>
        <w:rFonts w:ascii="Symbol" w:hAnsi="Symbol" w:hint="default"/>
      </w:rPr>
    </w:lvl>
    <w:lvl w:ilvl="4" w:tplc="04050003" w:tentative="1">
      <w:start w:val="1"/>
      <w:numFmt w:val="bullet"/>
      <w:lvlText w:val="o"/>
      <w:lvlJc w:val="left"/>
      <w:pPr>
        <w:ind w:left="4656" w:hanging="360"/>
      </w:pPr>
      <w:rPr>
        <w:rFonts w:ascii="Courier New" w:hAnsi="Courier New" w:cs="Courier New" w:hint="default"/>
      </w:rPr>
    </w:lvl>
    <w:lvl w:ilvl="5" w:tplc="04050005" w:tentative="1">
      <w:start w:val="1"/>
      <w:numFmt w:val="bullet"/>
      <w:lvlText w:val=""/>
      <w:lvlJc w:val="left"/>
      <w:pPr>
        <w:ind w:left="5376" w:hanging="360"/>
      </w:pPr>
      <w:rPr>
        <w:rFonts w:ascii="Wingdings" w:hAnsi="Wingdings" w:hint="default"/>
      </w:rPr>
    </w:lvl>
    <w:lvl w:ilvl="6" w:tplc="04050001" w:tentative="1">
      <w:start w:val="1"/>
      <w:numFmt w:val="bullet"/>
      <w:lvlText w:val=""/>
      <w:lvlJc w:val="left"/>
      <w:pPr>
        <w:ind w:left="6096" w:hanging="360"/>
      </w:pPr>
      <w:rPr>
        <w:rFonts w:ascii="Symbol" w:hAnsi="Symbol" w:hint="default"/>
      </w:rPr>
    </w:lvl>
    <w:lvl w:ilvl="7" w:tplc="04050003" w:tentative="1">
      <w:start w:val="1"/>
      <w:numFmt w:val="bullet"/>
      <w:lvlText w:val="o"/>
      <w:lvlJc w:val="left"/>
      <w:pPr>
        <w:ind w:left="6816" w:hanging="360"/>
      </w:pPr>
      <w:rPr>
        <w:rFonts w:ascii="Courier New" w:hAnsi="Courier New" w:cs="Courier New" w:hint="default"/>
      </w:rPr>
    </w:lvl>
    <w:lvl w:ilvl="8" w:tplc="04050005" w:tentative="1">
      <w:start w:val="1"/>
      <w:numFmt w:val="bullet"/>
      <w:lvlText w:val=""/>
      <w:lvlJc w:val="left"/>
      <w:pPr>
        <w:ind w:left="7536" w:hanging="360"/>
      </w:pPr>
      <w:rPr>
        <w:rFonts w:ascii="Wingdings" w:hAnsi="Wingdings" w:hint="default"/>
      </w:rPr>
    </w:lvl>
  </w:abstractNum>
  <w:abstractNum w:abstractNumId="8">
    <w:nsid w:val="15A2249F"/>
    <w:multiLevelType w:val="hybridMultilevel"/>
    <w:tmpl w:val="7A8CB934"/>
    <w:lvl w:ilvl="0" w:tplc="7B1EAE96">
      <w:start w:val="1"/>
      <w:numFmt w:val="bullet"/>
      <w:pStyle w:val="Bulletslevel2"/>
      <w:lvlText w:val=""/>
      <w:lvlJc w:val="left"/>
      <w:pPr>
        <w:ind w:left="1004" w:hanging="360"/>
      </w:pPr>
      <w:rPr>
        <w:rFonts w:ascii="Symbol" w:hAnsi="Symbol" w:hint="default"/>
      </w:rPr>
    </w:lvl>
    <w:lvl w:ilvl="1" w:tplc="380694E8" w:tentative="1">
      <w:start w:val="1"/>
      <w:numFmt w:val="bullet"/>
      <w:lvlText w:val="o"/>
      <w:lvlJc w:val="left"/>
      <w:pPr>
        <w:ind w:left="1724" w:hanging="360"/>
      </w:pPr>
      <w:rPr>
        <w:rFonts w:ascii="Courier New" w:hAnsi="Courier New" w:cs="Courier New" w:hint="default"/>
      </w:rPr>
    </w:lvl>
    <w:lvl w:ilvl="2" w:tplc="ED520640" w:tentative="1">
      <w:start w:val="1"/>
      <w:numFmt w:val="bullet"/>
      <w:lvlText w:val=""/>
      <w:lvlJc w:val="left"/>
      <w:pPr>
        <w:ind w:left="2444" w:hanging="360"/>
      </w:pPr>
      <w:rPr>
        <w:rFonts w:ascii="Wingdings" w:hAnsi="Wingdings" w:hint="default"/>
      </w:rPr>
    </w:lvl>
    <w:lvl w:ilvl="3" w:tplc="04C8B940" w:tentative="1">
      <w:start w:val="1"/>
      <w:numFmt w:val="bullet"/>
      <w:lvlText w:val=""/>
      <w:lvlJc w:val="left"/>
      <w:pPr>
        <w:ind w:left="3164" w:hanging="360"/>
      </w:pPr>
      <w:rPr>
        <w:rFonts w:ascii="Symbol" w:hAnsi="Symbol" w:hint="default"/>
      </w:rPr>
    </w:lvl>
    <w:lvl w:ilvl="4" w:tplc="686A4B56" w:tentative="1">
      <w:start w:val="1"/>
      <w:numFmt w:val="bullet"/>
      <w:lvlText w:val="o"/>
      <w:lvlJc w:val="left"/>
      <w:pPr>
        <w:ind w:left="3884" w:hanging="360"/>
      </w:pPr>
      <w:rPr>
        <w:rFonts w:ascii="Courier New" w:hAnsi="Courier New" w:cs="Courier New" w:hint="default"/>
      </w:rPr>
    </w:lvl>
    <w:lvl w:ilvl="5" w:tplc="7F0A0C28" w:tentative="1">
      <w:start w:val="1"/>
      <w:numFmt w:val="bullet"/>
      <w:lvlText w:val=""/>
      <w:lvlJc w:val="left"/>
      <w:pPr>
        <w:ind w:left="4604" w:hanging="360"/>
      </w:pPr>
      <w:rPr>
        <w:rFonts w:ascii="Wingdings" w:hAnsi="Wingdings" w:hint="default"/>
      </w:rPr>
    </w:lvl>
    <w:lvl w:ilvl="6" w:tplc="DB8620E4" w:tentative="1">
      <w:start w:val="1"/>
      <w:numFmt w:val="bullet"/>
      <w:lvlText w:val=""/>
      <w:lvlJc w:val="left"/>
      <w:pPr>
        <w:ind w:left="5324" w:hanging="360"/>
      </w:pPr>
      <w:rPr>
        <w:rFonts w:ascii="Symbol" w:hAnsi="Symbol" w:hint="default"/>
      </w:rPr>
    </w:lvl>
    <w:lvl w:ilvl="7" w:tplc="3A3EBDEC" w:tentative="1">
      <w:start w:val="1"/>
      <w:numFmt w:val="bullet"/>
      <w:lvlText w:val="o"/>
      <w:lvlJc w:val="left"/>
      <w:pPr>
        <w:ind w:left="6044" w:hanging="360"/>
      </w:pPr>
      <w:rPr>
        <w:rFonts w:ascii="Courier New" w:hAnsi="Courier New" w:cs="Courier New" w:hint="default"/>
      </w:rPr>
    </w:lvl>
    <w:lvl w:ilvl="8" w:tplc="AEEC1320" w:tentative="1">
      <w:start w:val="1"/>
      <w:numFmt w:val="bullet"/>
      <w:lvlText w:val=""/>
      <w:lvlJc w:val="left"/>
      <w:pPr>
        <w:ind w:left="6764" w:hanging="360"/>
      </w:pPr>
      <w:rPr>
        <w:rFonts w:ascii="Wingdings" w:hAnsi="Wingdings" w:hint="default"/>
      </w:rPr>
    </w:lvl>
  </w:abstractNum>
  <w:abstractNum w:abstractNumId="9">
    <w:nsid w:val="16003BB2"/>
    <w:multiLevelType w:val="hybridMultilevel"/>
    <w:tmpl w:val="9C40B92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185D678A"/>
    <w:multiLevelType w:val="hybridMultilevel"/>
    <w:tmpl w:val="D7C2EC2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1D2423CB"/>
    <w:multiLevelType w:val="hybridMultilevel"/>
    <w:tmpl w:val="9E86EEC4"/>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20AA4249"/>
    <w:multiLevelType w:val="hybridMultilevel"/>
    <w:tmpl w:val="98382A1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21765517"/>
    <w:multiLevelType w:val="hybridMultilevel"/>
    <w:tmpl w:val="8E68D89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25752339"/>
    <w:multiLevelType w:val="hybridMultilevel"/>
    <w:tmpl w:val="4D12019A"/>
    <w:lvl w:ilvl="0" w:tplc="CC7C307C">
      <w:start w:val="1"/>
      <w:numFmt w:val="decimal"/>
      <w:pStyle w:val="Seznamobrzk"/>
      <w:lvlText w:val="[%1]"/>
      <w:lvlJc w:val="left"/>
      <w:pPr>
        <w:tabs>
          <w:tab w:val="num" w:pos="567"/>
        </w:tabs>
        <w:ind w:left="567" w:hanging="56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284E796B"/>
    <w:multiLevelType w:val="hybridMultilevel"/>
    <w:tmpl w:val="2B0A791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nsid w:val="28C7162D"/>
    <w:multiLevelType w:val="hybridMultilevel"/>
    <w:tmpl w:val="D5FEFCF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nsid w:val="2D0F50A5"/>
    <w:multiLevelType w:val="hybridMultilevel"/>
    <w:tmpl w:val="3CDC16FE"/>
    <w:lvl w:ilvl="0" w:tplc="04050001">
      <w:start w:val="1"/>
      <w:numFmt w:val="bullet"/>
      <w:lvlText w:val=""/>
      <w:lvlJc w:val="left"/>
      <w:pPr>
        <w:ind w:left="1485" w:hanging="360"/>
      </w:pPr>
      <w:rPr>
        <w:rFonts w:ascii="Symbol" w:hAnsi="Symbol" w:hint="default"/>
      </w:rPr>
    </w:lvl>
    <w:lvl w:ilvl="1" w:tplc="04050003" w:tentative="1">
      <w:start w:val="1"/>
      <w:numFmt w:val="bullet"/>
      <w:lvlText w:val="o"/>
      <w:lvlJc w:val="left"/>
      <w:pPr>
        <w:ind w:left="2205" w:hanging="360"/>
      </w:pPr>
      <w:rPr>
        <w:rFonts w:ascii="Courier New" w:hAnsi="Courier New" w:cs="Courier New" w:hint="default"/>
      </w:rPr>
    </w:lvl>
    <w:lvl w:ilvl="2" w:tplc="04050005" w:tentative="1">
      <w:start w:val="1"/>
      <w:numFmt w:val="bullet"/>
      <w:lvlText w:val=""/>
      <w:lvlJc w:val="left"/>
      <w:pPr>
        <w:ind w:left="2925" w:hanging="360"/>
      </w:pPr>
      <w:rPr>
        <w:rFonts w:ascii="Wingdings" w:hAnsi="Wingdings" w:hint="default"/>
      </w:rPr>
    </w:lvl>
    <w:lvl w:ilvl="3" w:tplc="04050001" w:tentative="1">
      <w:start w:val="1"/>
      <w:numFmt w:val="bullet"/>
      <w:lvlText w:val=""/>
      <w:lvlJc w:val="left"/>
      <w:pPr>
        <w:ind w:left="3645" w:hanging="360"/>
      </w:pPr>
      <w:rPr>
        <w:rFonts w:ascii="Symbol" w:hAnsi="Symbol" w:hint="default"/>
      </w:rPr>
    </w:lvl>
    <w:lvl w:ilvl="4" w:tplc="04050003" w:tentative="1">
      <w:start w:val="1"/>
      <w:numFmt w:val="bullet"/>
      <w:lvlText w:val="o"/>
      <w:lvlJc w:val="left"/>
      <w:pPr>
        <w:ind w:left="4365" w:hanging="360"/>
      </w:pPr>
      <w:rPr>
        <w:rFonts w:ascii="Courier New" w:hAnsi="Courier New" w:cs="Courier New" w:hint="default"/>
      </w:rPr>
    </w:lvl>
    <w:lvl w:ilvl="5" w:tplc="04050005" w:tentative="1">
      <w:start w:val="1"/>
      <w:numFmt w:val="bullet"/>
      <w:lvlText w:val=""/>
      <w:lvlJc w:val="left"/>
      <w:pPr>
        <w:ind w:left="5085" w:hanging="360"/>
      </w:pPr>
      <w:rPr>
        <w:rFonts w:ascii="Wingdings" w:hAnsi="Wingdings" w:hint="default"/>
      </w:rPr>
    </w:lvl>
    <w:lvl w:ilvl="6" w:tplc="04050001" w:tentative="1">
      <w:start w:val="1"/>
      <w:numFmt w:val="bullet"/>
      <w:lvlText w:val=""/>
      <w:lvlJc w:val="left"/>
      <w:pPr>
        <w:ind w:left="5805" w:hanging="360"/>
      </w:pPr>
      <w:rPr>
        <w:rFonts w:ascii="Symbol" w:hAnsi="Symbol" w:hint="default"/>
      </w:rPr>
    </w:lvl>
    <w:lvl w:ilvl="7" w:tplc="04050003" w:tentative="1">
      <w:start w:val="1"/>
      <w:numFmt w:val="bullet"/>
      <w:lvlText w:val="o"/>
      <w:lvlJc w:val="left"/>
      <w:pPr>
        <w:ind w:left="6525" w:hanging="360"/>
      </w:pPr>
      <w:rPr>
        <w:rFonts w:ascii="Courier New" w:hAnsi="Courier New" w:cs="Courier New" w:hint="default"/>
      </w:rPr>
    </w:lvl>
    <w:lvl w:ilvl="8" w:tplc="04050005" w:tentative="1">
      <w:start w:val="1"/>
      <w:numFmt w:val="bullet"/>
      <w:lvlText w:val=""/>
      <w:lvlJc w:val="left"/>
      <w:pPr>
        <w:ind w:left="7245" w:hanging="360"/>
      </w:pPr>
      <w:rPr>
        <w:rFonts w:ascii="Wingdings" w:hAnsi="Wingdings" w:hint="default"/>
      </w:rPr>
    </w:lvl>
  </w:abstractNum>
  <w:abstractNum w:abstractNumId="18">
    <w:nsid w:val="2D9C73C9"/>
    <w:multiLevelType w:val="hybridMultilevel"/>
    <w:tmpl w:val="5BD0C5DA"/>
    <w:lvl w:ilvl="0" w:tplc="04050001">
      <w:start w:val="1"/>
      <w:numFmt w:val="bullet"/>
      <w:lvlText w:val=""/>
      <w:lvlJc w:val="left"/>
      <w:pPr>
        <w:ind w:left="780" w:hanging="360"/>
      </w:pPr>
      <w:rPr>
        <w:rFonts w:ascii="Symbol" w:hAnsi="Symbol" w:hint="default"/>
      </w:rPr>
    </w:lvl>
    <w:lvl w:ilvl="1" w:tplc="9AE6F2C6">
      <w:numFmt w:val="bullet"/>
      <w:lvlText w:val="•"/>
      <w:lvlJc w:val="left"/>
      <w:pPr>
        <w:ind w:left="1500" w:hanging="360"/>
      </w:pPr>
      <w:rPr>
        <w:rFonts w:ascii="Times New Roman" w:eastAsia="Times New Roman" w:hAnsi="Times New Roman" w:cs="Times New Roman" w:hint="default"/>
      </w:rPr>
    </w:lvl>
    <w:lvl w:ilvl="2" w:tplc="04050005" w:tentative="1">
      <w:start w:val="1"/>
      <w:numFmt w:val="bullet"/>
      <w:lvlText w:val=""/>
      <w:lvlJc w:val="left"/>
      <w:pPr>
        <w:ind w:left="2220" w:hanging="360"/>
      </w:pPr>
      <w:rPr>
        <w:rFonts w:ascii="Wingdings" w:hAnsi="Wingdings" w:hint="default"/>
      </w:rPr>
    </w:lvl>
    <w:lvl w:ilvl="3" w:tplc="04050001" w:tentative="1">
      <w:start w:val="1"/>
      <w:numFmt w:val="bullet"/>
      <w:lvlText w:val=""/>
      <w:lvlJc w:val="left"/>
      <w:pPr>
        <w:ind w:left="2940" w:hanging="360"/>
      </w:pPr>
      <w:rPr>
        <w:rFonts w:ascii="Symbol" w:hAnsi="Symbol" w:hint="default"/>
      </w:rPr>
    </w:lvl>
    <w:lvl w:ilvl="4" w:tplc="04050003" w:tentative="1">
      <w:start w:val="1"/>
      <w:numFmt w:val="bullet"/>
      <w:lvlText w:val="o"/>
      <w:lvlJc w:val="left"/>
      <w:pPr>
        <w:ind w:left="3660" w:hanging="360"/>
      </w:pPr>
      <w:rPr>
        <w:rFonts w:ascii="Courier New" w:hAnsi="Courier New" w:cs="Courier New" w:hint="default"/>
      </w:rPr>
    </w:lvl>
    <w:lvl w:ilvl="5" w:tplc="04050005" w:tentative="1">
      <w:start w:val="1"/>
      <w:numFmt w:val="bullet"/>
      <w:lvlText w:val=""/>
      <w:lvlJc w:val="left"/>
      <w:pPr>
        <w:ind w:left="4380" w:hanging="360"/>
      </w:pPr>
      <w:rPr>
        <w:rFonts w:ascii="Wingdings" w:hAnsi="Wingdings" w:hint="default"/>
      </w:rPr>
    </w:lvl>
    <w:lvl w:ilvl="6" w:tplc="04050001" w:tentative="1">
      <w:start w:val="1"/>
      <w:numFmt w:val="bullet"/>
      <w:lvlText w:val=""/>
      <w:lvlJc w:val="left"/>
      <w:pPr>
        <w:ind w:left="5100" w:hanging="360"/>
      </w:pPr>
      <w:rPr>
        <w:rFonts w:ascii="Symbol" w:hAnsi="Symbol" w:hint="default"/>
      </w:rPr>
    </w:lvl>
    <w:lvl w:ilvl="7" w:tplc="04050003" w:tentative="1">
      <w:start w:val="1"/>
      <w:numFmt w:val="bullet"/>
      <w:lvlText w:val="o"/>
      <w:lvlJc w:val="left"/>
      <w:pPr>
        <w:ind w:left="5820" w:hanging="360"/>
      </w:pPr>
      <w:rPr>
        <w:rFonts w:ascii="Courier New" w:hAnsi="Courier New" w:cs="Courier New" w:hint="default"/>
      </w:rPr>
    </w:lvl>
    <w:lvl w:ilvl="8" w:tplc="04050005" w:tentative="1">
      <w:start w:val="1"/>
      <w:numFmt w:val="bullet"/>
      <w:lvlText w:val=""/>
      <w:lvlJc w:val="left"/>
      <w:pPr>
        <w:ind w:left="6540" w:hanging="360"/>
      </w:pPr>
      <w:rPr>
        <w:rFonts w:ascii="Wingdings" w:hAnsi="Wingdings" w:hint="default"/>
      </w:rPr>
    </w:lvl>
  </w:abstractNum>
  <w:abstractNum w:abstractNumId="19">
    <w:nsid w:val="32011967"/>
    <w:multiLevelType w:val="hybridMultilevel"/>
    <w:tmpl w:val="95B84B3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32BE699B"/>
    <w:multiLevelType w:val="hybridMultilevel"/>
    <w:tmpl w:val="04A6A5C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nsid w:val="32E373C9"/>
    <w:multiLevelType w:val="hybridMultilevel"/>
    <w:tmpl w:val="662AD8C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37CB1438"/>
    <w:multiLevelType w:val="hybridMultilevel"/>
    <w:tmpl w:val="C25E2B6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
    <w:nsid w:val="3F7B055B"/>
    <w:multiLevelType w:val="multilevel"/>
    <w:tmpl w:val="4D10BB58"/>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1146"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24">
    <w:nsid w:val="45C718A3"/>
    <w:multiLevelType w:val="hybridMultilevel"/>
    <w:tmpl w:val="0E74C10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
    <w:nsid w:val="4DD655C0"/>
    <w:multiLevelType w:val="hybridMultilevel"/>
    <w:tmpl w:val="F9446F3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
    <w:nsid w:val="5345409B"/>
    <w:multiLevelType w:val="hybridMultilevel"/>
    <w:tmpl w:val="8AC66CC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7">
    <w:nsid w:val="550A19E6"/>
    <w:multiLevelType w:val="hybridMultilevel"/>
    <w:tmpl w:val="78CC84E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
    <w:nsid w:val="55560EBE"/>
    <w:multiLevelType w:val="hybridMultilevel"/>
    <w:tmpl w:val="7BFCF950"/>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29">
    <w:nsid w:val="5DC75335"/>
    <w:multiLevelType w:val="hybridMultilevel"/>
    <w:tmpl w:val="9CE68A8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0">
    <w:nsid w:val="5DF6754C"/>
    <w:multiLevelType w:val="hybridMultilevel"/>
    <w:tmpl w:val="4E32322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1">
    <w:nsid w:val="60AD12CF"/>
    <w:multiLevelType w:val="hybridMultilevel"/>
    <w:tmpl w:val="711A5B3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
    <w:nsid w:val="6297743B"/>
    <w:multiLevelType w:val="hybridMultilevel"/>
    <w:tmpl w:val="7FE61B1E"/>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33">
    <w:nsid w:val="62A4744F"/>
    <w:multiLevelType w:val="multilevel"/>
    <w:tmpl w:val="1054E2D0"/>
    <w:lvl w:ilvl="0">
      <w:start w:val="1"/>
      <w:numFmt w:val="decimal"/>
      <w:pStyle w:val="smlouvaheading1"/>
      <w:lvlText w:val="%1"/>
      <w:lvlJc w:val="left"/>
      <w:pPr>
        <w:ind w:left="360" w:hanging="360"/>
      </w:pPr>
      <w:rPr>
        <w:rFonts w:ascii="Arial" w:hAnsi="Arial" w:hint="default"/>
        <w:b/>
        <w:i w:val="0"/>
        <w:sz w:val="19"/>
      </w:rPr>
    </w:lvl>
    <w:lvl w:ilvl="1">
      <w:start w:val="1"/>
      <w:numFmt w:val="decimal"/>
      <w:pStyle w:val="smlouvaheading2"/>
      <w:lvlText w:val="%1.%2"/>
      <w:lvlJc w:val="left"/>
      <w:pPr>
        <w:ind w:left="720" w:hanging="360"/>
      </w:pPr>
      <w:rPr>
        <w:rFonts w:ascii="Arial" w:hAnsi="Arial" w:hint="default"/>
        <w:b w:val="0"/>
        <w:i w:val="0"/>
        <w:sz w:val="19"/>
      </w:rPr>
    </w:lvl>
    <w:lvl w:ilvl="2">
      <w:start w:val="1"/>
      <w:numFmt w:val="decimal"/>
      <w:pStyle w:val="smlouvaheading3"/>
      <w:lvlText w:val="%1.%2.%3"/>
      <w:lvlJc w:val="left"/>
      <w:pPr>
        <w:ind w:left="1080" w:hanging="360"/>
      </w:pPr>
      <w:rPr>
        <w:rFonts w:ascii="Arial" w:hAnsi="Arial" w:hint="default"/>
        <w:b w:val="0"/>
        <w:i w:val="0"/>
        <w:sz w:val="19"/>
      </w:rPr>
    </w:lvl>
    <w:lvl w:ilvl="3">
      <w:start w:val="1"/>
      <w:numFmt w:val="decimal"/>
      <w:pStyle w:val="smlouvaheading4"/>
      <w:lvlText w:val="%1.%2.%3.%4"/>
      <w:lvlJc w:val="left"/>
      <w:pPr>
        <w:ind w:left="1440" w:hanging="360"/>
      </w:pPr>
      <w:rPr>
        <w:rFonts w:ascii="Arial" w:hAnsi="Arial" w:hint="default"/>
        <w:b w:val="0"/>
        <w:i w:val="0"/>
        <w:sz w:val="19"/>
      </w:rPr>
    </w:lvl>
    <w:lvl w:ilvl="4">
      <w:start w:val="1"/>
      <w:numFmt w:val="none"/>
      <w:lvlText w:val=""/>
      <w:lvlJc w:val="left"/>
      <w:pPr>
        <w:ind w:left="1800" w:hanging="360"/>
      </w:pPr>
      <w:rPr>
        <w:rFonts w:ascii="Arial" w:hAnsi="Arial" w:hint="default"/>
        <w:b w:val="0"/>
        <w:i/>
        <w:sz w:val="19"/>
      </w:rPr>
    </w:lvl>
    <w:lvl w:ilvl="5">
      <w:start w:val="1"/>
      <w:numFmt w:val="none"/>
      <w:lvlText w:val=""/>
      <w:lvlJc w:val="left"/>
      <w:pPr>
        <w:ind w:left="2160" w:hanging="360"/>
      </w:pPr>
      <w:rPr>
        <w:rFonts w:ascii="Arial" w:hAnsi="Arial" w:hint="default"/>
        <w:b w:val="0"/>
        <w:i/>
        <w:sz w:val="19"/>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nsid w:val="634935A9"/>
    <w:multiLevelType w:val="hybridMultilevel"/>
    <w:tmpl w:val="CB063DE4"/>
    <w:lvl w:ilvl="0" w:tplc="AF84E7B0">
      <w:start w:val="1"/>
      <w:numFmt w:val="bullet"/>
      <w:pStyle w:val="Bulletslevel1"/>
      <w:lvlText w:val=""/>
      <w:lvlJc w:val="left"/>
      <w:pPr>
        <w:ind w:left="720" w:hanging="360"/>
      </w:pPr>
      <w:rPr>
        <w:rFonts w:ascii="Symbol" w:hAnsi="Symbol" w:hint="default"/>
        <w:b w:val="0"/>
        <w:i w:val="0"/>
        <w:sz w:val="19"/>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8431FFC"/>
    <w:multiLevelType w:val="hybridMultilevel"/>
    <w:tmpl w:val="8D88396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6">
    <w:nsid w:val="77E71FBA"/>
    <w:multiLevelType w:val="hybridMultilevel"/>
    <w:tmpl w:val="D1761130"/>
    <w:lvl w:ilvl="0" w:tplc="AFE0B04C">
      <w:start w:val="1"/>
      <w:numFmt w:val="bullet"/>
      <w:lvlText w:val="•"/>
      <w:lvlJc w:val="left"/>
      <w:pPr>
        <w:tabs>
          <w:tab w:val="num" w:pos="720"/>
        </w:tabs>
        <w:ind w:left="720" w:hanging="360"/>
      </w:pPr>
      <w:rPr>
        <w:rFonts w:ascii="Times New Roman" w:hAnsi="Times New Roman" w:hint="default"/>
      </w:rPr>
    </w:lvl>
    <w:lvl w:ilvl="1" w:tplc="F6FE2866" w:tentative="1">
      <w:start w:val="1"/>
      <w:numFmt w:val="bullet"/>
      <w:lvlText w:val="•"/>
      <w:lvlJc w:val="left"/>
      <w:pPr>
        <w:tabs>
          <w:tab w:val="num" w:pos="1440"/>
        </w:tabs>
        <w:ind w:left="1440" w:hanging="360"/>
      </w:pPr>
      <w:rPr>
        <w:rFonts w:ascii="Times New Roman" w:hAnsi="Times New Roman" w:hint="default"/>
      </w:rPr>
    </w:lvl>
    <w:lvl w:ilvl="2" w:tplc="143C7F7A" w:tentative="1">
      <w:start w:val="1"/>
      <w:numFmt w:val="bullet"/>
      <w:lvlText w:val="•"/>
      <w:lvlJc w:val="left"/>
      <w:pPr>
        <w:tabs>
          <w:tab w:val="num" w:pos="2160"/>
        </w:tabs>
        <w:ind w:left="2160" w:hanging="360"/>
      </w:pPr>
      <w:rPr>
        <w:rFonts w:ascii="Times New Roman" w:hAnsi="Times New Roman" w:hint="default"/>
      </w:rPr>
    </w:lvl>
    <w:lvl w:ilvl="3" w:tplc="D174F3DA" w:tentative="1">
      <w:start w:val="1"/>
      <w:numFmt w:val="bullet"/>
      <w:lvlText w:val="•"/>
      <w:lvlJc w:val="left"/>
      <w:pPr>
        <w:tabs>
          <w:tab w:val="num" w:pos="2880"/>
        </w:tabs>
        <w:ind w:left="2880" w:hanging="360"/>
      </w:pPr>
      <w:rPr>
        <w:rFonts w:ascii="Times New Roman" w:hAnsi="Times New Roman" w:hint="default"/>
      </w:rPr>
    </w:lvl>
    <w:lvl w:ilvl="4" w:tplc="71961974" w:tentative="1">
      <w:start w:val="1"/>
      <w:numFmt w:val="bullet"/>
      <w:lvlText w:val="•"/>
      <w:lvlJc w:val="left"/>
      <w:pPr>
        <w:tabs>
          <w:tab w:val="num" w:pos="3600"/>
        </w:tabs>
        <w:ind w:left="3600" w:hanging="360"/>
      </w:pPr>
      <w:rPr>
        <w:rFonts w:ascii="Times New Roman" w:hAnsi="Times New Roman" w:hint="default"/>
      </w:rPr>
    </w:lvl>
    <w:lvl w:ilvl="5" w:tplc="F8C65314" w:tentative="1">
      <w:start w:val="1"/>
      <w:numFmt w:val="bullet"/>
      <w:lvlText w:val="•"/>
      <w:lvlJc w:val="left"/>
      <w:pPr>
        <w:tabs>
          <w:tab w:val="num" w:pos="4320"/>
        </w:tabs>
        <w:ind w:left="4320" w:hanging="360"/>
      </w:pPr>
      <w:rPr>
        <w:rFonts w:ascii="Times New Roman" w:hAnsi="Times New Roman" w:hint="default"/>
      </w:rPr>
    </w:lvl>
    <w:lvl w:ilvl="6" w:tplc="9AA680A6" w:tentative="1">
      <w:start w:val="1"/>
      <w:numFmt w:val="bullet"/>
      <w:lvlText w:val="•"/>
      <w:lvlJc w:val="left"/>
      <w:pPr>
        <w:tabs>
          <w:tab w:val="num" w:pos="5040"/>
        </w:tabs>
        <w:ind w:left="5040" w:hanging="360"/>
      </w:pPr>
      <w:rPr>
        <w:rFonts w:ascii="Times New Roman" w:hAnsi="Times New Roman" w:hint="default"/>
      </w:rPr>
    </w:lvl>
    <w:lvl w:ilvl="7" w:tplc="E4E6EF36" w:tentative="1">
      <w:start w:val="1"/>
      <w:numFmt w:val="bullet"/>
      <w:lvlText w:val="•"/>
      <w:lvlJc w:val="left"/>
      <w:pPr>
        <w:tabs>
          <w:tab w:val="num" w:pos="5760"/>
        </w:tabs>
        <w:ind w:left="5760" w:hanging="360"/>
      </w:pPr>
      <w:rPr>
        <w:rFonts w:ascii="Times New Roman" w:hAnsi="Times New Roman" w:hint="default"/>
      </w:rPr>
    </w:lvl>
    <w:lvl w:ilvl="8" w:tplc="996A1852" w:tentative="1">
      <w:start w:val="1"/>
      <w:numFmt w:val="bullet"/>
      <w:lvlText w:val="•"/>
      <w:lvlJc w:val="left"/>
      <w:pPr>
        <w:tabs>
          <w:tab w:val="num" w:pos="6480"/>
        </w:tabs>
        <w:ind w:left="6480" w:hanging="360"/>
      </w:pPr>
      <w:rPr>
        <w:rFonts w:ascii="Times New Roman" w:hAnsi="Times New Roman" w:hint="default"/>
      </w:rPr>
    </w:lvl>
  </w:abstractNum>
  <w:abstractNum w:abstractNumId="37">
    <w:nsid w:val="7CD53CB3"/>
    <w:multiLevelType w:val="hybridMultilevel"/>
    <w:tmpl w:val="6DE0CB5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8">
    <w:nsid w:val="7D573CF2"/>
    <w:multiLevelType w:val="hybridMultilevel"/>
    <w:tmpl w:val="3FDE7E0A"/>
    <w:lvl w:ilvl="0" w:tplc="04050001">
      <w:start w:val="1"/>
      <w:numFmt w:val="bullet"/>
      <w:lvlText w:val=""/>
      <w:lvlJc w:val="left"/>
      <w:pPr>
        <w:ind w:left="720" w:hanging="360"/>
      </w:pPr>
      <w:rPr>
        <w:rFonts w:ascii="Symbol" w:hAnsi="Symbol" w:hint="default"/>
      </w:rPr>
    </w:lvl>
    <w:lvl w:ilvl="1" w:tplc="66683DA6">
      <w:numFmt w:val="bullet"/>
      <w:lvlText w:val="•"/>
      <w:lvlJc w:val="left"/>
      <w:pPr>
        <w:ind w:left="1440" w:hanging="360"/>
      </w:pPr>
      <w:rPr>
        <w:rFonts w:ascii="Times New Roman" w:eastAsia="Times New Roman" w:hAnsi="Times New Roman" w:cs="Times New Roman"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
    <w:nsid w:val="7E8620EF"/>
    <w:multiLevelType w:val="hybridMultilevel"/>
    <w:tmpl w:val="623297F0"/>
    <w:lvl w:ilvl="0" w:tplc="04050011">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3"/>
  </w:num>
  <w:num w:numId="2">
    <w:abstractNumId w:val="33"/>
  </w:num>
  <w:num w:numId="3">
    <w:abstractNumId w:val="34"/>
  </w:num>
  <w:num w:numId="4">
    <w:abstractNumId w:val="8"/>
  </w:num>
  <w:num w:numId="5">
    <w:abstractNumId w:val="5"/>
  </w:num>
  <w:num w:numId="6">
    <w:abstractNumId w:val="3"/>
  </w:num>
  <w:num w:numId="7">
    <w:abstractNumId w:val="6"/>
  </w:num>
  <w:num w:numId="8">
    <w:abstractNumId w:val="36"/>
  </w:num>
  <w:num w:numId="9">
    <w:abstractNumId w:val="10"/>
  </w:num>
  <w:num w:numId="10">
    <w:abstractNumId w:val="1"/>
  </w:num>
  <w:num w:numId="11">
    <w:abstractNumId w:val="17"/>
  </w:num>
  <w:num w:numId="12">
    <w:abstractNumId w:val="32"/>
  </w:num>
  <w:num w:numId="13">
    <w:abstractNumId w:val="28"/>
  </w:num>
  <w:num w:numId="14">
    <w:abstractNumId w:val="4"/>
  </w:num>
  <w:num w:numId="15">
    <w:abstractNumId w:val="7"/>
  </w:num>
  <w:num w:numId="16">
    <w:abstractNumId w:val="31"/>
  </w:num>
  <w:num w:numId="17">
    <w:abstractNumId w:val="25"/>
  </w:num>
  <w:num w:numId="18">
    <w:abstractNumId w:val="26"/>
  </w:num>
  <w:num w:numId="19">
    <w:abstractNumId w:val="24"/>
  </w:num>
  <w:num w:numId="20">
    <w:abstractNumId w:val="2"/>
  </w:num>
  <w:num w:numId="21">
    <w:abstractNumId w:val="19"/>
  </w:num>
  <w:num w:numId="22">
    <w:abstractNumId w:val="35"/>
  </w:num>
  <w:num w:numId="23">
    <w:abstractNumId w:val="27"/>
  </w:num>
  <w:num w:numId="24">
    <w:abstractNumId w:val="9"/>
  </w:num>
  <w:num w:numId="25">
    <w:abstractNumId w:val="12"/>
  </w:num>
  <w:num w:numId="26">
    <w:abstractNumId w:val="39"/>
  </w:num>
  <w:num w:numId="27">
    <w:abstractNumId w:val="21"/>
  </w:num>
  <w:num w:numId="28">
    <w:abstractNumId w:val="37"/>
  </w:num>
  <w:num w:numId="29">
    <w:abstractNumId w:val="15"/>
  </w:num>
  <w:num w:numId="30">
    <w:abstractNumId w:val="29"/>
  </w:num>
  <w:num w:numId="31">
    <w:abstractNumId w:val="38"/>
  </w:num>
  <w:num w:numId="32">
    <w:abstractNumId w:val="22"/>
  </w:num>
  <w:num w:numId="33">
    <w:abstractNumId w:val="18"/>
  </w:num>
  <w:num w:numId="34">
    <w:abstractNumId w:val="30"/>
  </w:num>
  <w:num w:numId="35">
    <w:abstractNumId w:val="13"/>
  </w:num>
  <w:num w:numId="36">
    <w:abstractNumId w:val="20"/>
  </w:num>
  <w:num w:numId="37">
    <w:abstractNumId w:val="16"/>
  </w:num>
  <w:num w:numId="3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1"/>
  </w:num>
  <w:num w:numId="40">
    <w:abstractNumId w:val="14"/>
  </w:num>
  <w:num w:numId="41">
    <w:abstractNumId w:val="0"/>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ocumentProtection w:edit="readOnly" w:formatting="1" w:enforcement="1" w:cryptProviderType="rsaFull" w:cryptAlgorithmClass="hash" w:cryptAlgorithmType="typeAny" w:cryptAlgorithmSid="4" w:cryptSpinCount="100000" w:hash="DnlO2h/MAWwCOO45ZiG6hkNgmPE=" w:salt="j068DTSk0BJYgFhzlDbUGA=="/>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20388C"/>
    <w:rsid w:val="00005719"/>
    <w:rsid w:val="000148CC"/>
    <w:rsid w:val="00017F08"/>
    <w:rsid w:val="00020F71"/>
    <w:rsid w:val="0002485D"/>
    <w:rsid w:val="00025393"/>
    <w:rsid w:val="00027393"/>
    <w:rsid w:val="00030E29"/>
    <w:rsid w:val="00031D38"/>
    <w:rsid w:val="000336C7"/>
    <w:rsid w:val="0003375E"/>
    <w:rsid w:val="00033E3B"/>
    <w:rsid w:val="00034575"/>
    <w:rsid w:val="00036C1C"/>
    <w:rsid w:val="000416EE"/>
    <w:rsid w:val="000462CB"/>
    <w:rsid w:val="000472CB"/>
    <w:rsid w:val="000474F1"/>
    <w:rsid w:val="000508A6"/>
    <w:rsid w:val="00052813"/>
    <w:rsid w:val="00052F4F"/>
    <w:rsid w:val="00053092"/>
    <w:rsid w:val="000534A8"/>
    <w:rsid w:val="00054DB0"/>
    <w:rsid w:val="000560E3"/>
    <w:rsid w:val="000635D4"/>
    <w:rsid w:val="00071F7D"/>
    <w:rsid w:val="0007682D"/>
    <w:rsid w:val="00077CB4"/>
    <w:rsid w:val="000800CE"/>
    <w:rsid w:val="00081312"/>
    <w:rsid w:val="00083A64"/>
    <w:rsid w:val="00084B94"/>
    <w:rsid w:val="000871FA"/>
    <w:rsid w:val="00093386"/>
    <w:rsid w:val="00095735"/>
    <w:rsid w:val="000961FB"/>
    <w:rsid w:val="000964FF"/>
    <w:rsid w:val="00097412"/>
    <w:rsid w:val="000A17E9"/>
    <w:rsid w:val="000A539A"/>
    <w:rsid w:val="000A5890"/>
    <w:rsid w:val="000A7A05"/>
    <w:rsid w:val="000B0E81"/>
    <w:rsid w:val="000B3172"/>
    <w:rsid w:val="000B399D"/>
    <w:rsid w:val="000B3E0B"/>
    <w:rsid w:val="000B40D8"/>
    <w:rsid w:val="000B47B6"/>
    <w:rsid w:val="000B565C"/>
    <w:rsid w:val="000B6006"/>
    <w:rsid w:val="000B6283"/>
    <w:rsid w:val="000C0270"/>
    <w:rsid w:val="000C06BA"/>
    <w:rsid w:val="000C1522"/>
    <w:rsid w:val="000C3578"/>
    <w:rsid w:val="000C4412"/>
    <w:rsid w:val="000C4D75"/>
    <w:rsid w:val="000C6010"/>
    <w:rsid w:val="000D1CD7"/>
    <w:rsid w:val="000D2FC4"/>
    <w:rsid w:val="000D3BDB"/>
    <w:rsid w:val="000D52BC"/>
    <w:rsid w:val="000D6635"/>
    <w:rsid w:val="000D6875"/>
    <w:rsid w:val="000D6A43"/>
    <w:rsid w:val="000E0202"/>
    <w:rsid w:val="000E2C74"/>
    <w:rsid w:val="000E4572"/>
    <w:rsid w:val="000E6610"/>
    <w:rsid w:val="000E79B4"/>
    <w:rsid w:val="000F1636"/>
    <w:rsid w:val="000F1C7D"/>
    <w:rsid w:val="000F26A3"/>
    <w:rsid w:val="000F534F"/>
    <w:rsid w:val="000F55C0"/>
    <w:rsid w:val="00102448"/>
    <w:rsid w:val="00103CA9"/>
    <w:rsid w:val="00105C19"/>
    <w:rsid w:val="00107F13"/>
    <w:rsid w:val="00111805"/>
    <w:rsid w:val="00111E5A"/>
    <w:rsid w:val="001120F5"/>
    <w:rsid w:val="00114A0D"/>
    <w:rsid w:val="0011790C"/>
    <w:rsid w:val="00120556"/>
    <w:rsid w:val="00120C24"/>
    <w:rsid w:val="0012198A"/>
    <w:rsid w:val="00121D98"/>
    <w:rsid w:val="001263C0"/>
    <w:rsid w:val="00130E7C"/>
    <w:rsid w:val="00132979"/>
    <w:rsid w:val="001332E3"/>
    <w:rsid w:val="00135A76"/>
    <w:rsid w:val="001467D2"/>
    <w:rsid w:val="00151B48"/>
    <w:rsid w:val="00154FB6"/>
    <w:rsid w:val="00157886"/>
    <w:rsid w:val="00163BAC"/>
    <w:rsid w:val="001650B2"/>
    <w:rsid w:val="00165A7D"/>
    <w:rsid w:val="001744C7"/>
    <w:rsid w:val="00175CED"/>
    <w:rsid w:val="00182F80"/>
    <w:rsid w:val="00187BD0"/>
    <w:rsid w:val="001902D4"/>
    <w:rsid w:val="00191700"/>
    <w:rsid w:val="00196B6B"/>
    <w:rsid w:val="001A199E"/>
    <w:rsid w:val="001A31C4"/>
    <w:rsid w:val="001A32E0"/>
    <w:rsid w:val="001A35CA"/>
    <w:rsid w:val="001A4345"/>
    <w:rsid w:val="001A6271"/>
    <w:rsid w:val="001B3810"/>
    <w:rsid w:val="001C0C27"/>
    <w:rsid w:val="001C1BFE"/>
    <w:rsid w:val="001C3069"/>
    <w:rsid w:val="001D104E"/>
    <w:rsid w:val="001D16EE"/>
    <w:rsid w:val="001E2916"/>
    <w:rsid w:val="001E39EA"/>
    <w:rsid w:val="001E42A8"/>
    <w:rsid w:val="001E43B7"/>
    <w:rsid w:val="001E5E7C"/>
    <w:rsid w:val="001E7C10"/>
    <w:rsid w:val="001F1AF6"/>
    <w:rsid w:val="001F1C1A"/>
    <w:rsid w:val="001F2DA3"/>
    <w:rsid w:val="001F341A"/>
    <w:rsid w:val="001F55AB"/>
    <w:rsid w:val="001F7023"/>
    <w:rsid w:val="00200535"/>
    <w:rsid w:val="002031D8"/>
    <w:rsid w:val="0020388C"/>
    <w:rsid w:val="00203C87"/>
    <w:rsid w:val="00211054"/>
    <w:rsid w:val="002162A3"/>
    <w:rsid w:val="00223407"/>
    <w:rsid w:val="00224514"/>
    <w:rsid w:val="00225241"/>
    <w:rsid w:val="0023028D"/>
    <w:rsid w:val="002305B7"/>
    <w:rsid w:val="00233762"/>
    <w:rsid w:val="002338E2"/>
    <w:rsid w:val="00233DC4"/>
    <w:rsid w:val="002346FB"/>
    <w:rsid w:val="00237440"/>
    <w:rsid w:val="00237B79"/>
    <w:rsid w:val="00240C52"/>
    <w:rsid w:val="00240C92"/>
    <w:rsid w:val="00243423"/>
    <w:rsid w:val="0024588F"/>
    <w:rsid w:val="00245D79"/>
    <w:rsid w:val="00246A78"/>
    <w:rsid w:val="0025021D"/>
    <w:rsid w:val="00252653"/>
    <w:rsid w:val="0025333C"/>
    <w:rsid w:val="00254B5B"/>
    <w:rsid w:val="00261B67"/>
    <w:rsid w:val="00263721"/>
    <w:rsid w:val="00263882"/>
    <w:rsid w:val="002933A2"/>
    <w:rsid w:val="002A018F"/>
    <w:rsid w:val="002A0F4D"/>
    <w:rsid w:val="002A123F"/>
    <w:rsid w:val="002A265A"/>
    <w:rsid w:val="002A62D8"/>
    <w:rsid w:val="002A672A"/>
    <w:rsid w:val="002A7128"/>
    <w:rsid w:val="002A7880"/>
    <w:rsid w:val="002B1AD6"/>
    <w:rsid w:val="002B3A92"/>
    <w:rsid w:val="002B3A98"/>
    <w:rsid w:val="002B5068"/>
    <w:rsid w:val="002B55A0"/>
    <w:rsid w:val="002B6483"/>
    <w:rsid w:val="002B76AD"/>
    <w:rsid w:val="002B78BD"/>
    <w:rsid w:val="002C1C29"/>
    <w:rsid w:val="002C3970"/>
    <w:rsid w:val="002C423E"/>
    <w:rsid w:val="002C72A4"/>
    <w:rsid w:val="002D2CD5"/>
    <w:rsid w:val="002D37F4"/>
    <w:rsid w:val="002E1EB3"/>
    <w:rsid w:val="002E2521"/>
    <w:rsid w:val="002E4796"/>
    <w:rsid w:val="002F7C29"/>
    <w:rsid w:val="003107B9"/>
    <w:rsid w:val="00310D0B"/>
    <w:rsid w:val="00313AEF"/>
    <w:rsid w:val="00315461"/>
    <w:rsid w:val="00325271"/>
    <w:rsid w:val="0032575E"/>
    <w:rsid w:val="003268DE"/>
    <w:rsid w:val="003348F7"/>
    <w:rsid w:val="00336C8E"/>
    <w:rsid w:val="003379EC"/>
    <w:rsid w:val="00347686"/>
    <w:rsid w:val="00350379"/>
    <w:rsid w:val="003503ED"/>
    <w:rsid w:val="003521B2"/>
    <w:rsid w:val="00352DCD"/>
    <w:rsid w:val="003548A3"/>
    <w:rsid w:val="00354A77"/>
    <w:rsid w:val="00355E67"/>
    <w:rsid w:val="00356FF4"/>
    <w:rsid w:val="00360359"/>
    <w:rsid w:val="0036184C"/>
    <w:rsid w:val="00362AC6"/>
    <w:rsid w:val="00362D66"/>
    <w:rsid w:val="0036376F"/>
    <w:rsid w:val="00366A53"/>
    <w:rsid w:val="0037096A"/>
    <w:rsid w:val="00370F51"/>
    <w:rsid w:val="003716AE"/>
    <w:rsid w:val="00371A7E"/>
    <w:rsid w:val="00371E20"/>
    <w:rsid w:val="00372BB2"/>
    <w:rsid w:val="00377648"/>
    <w:rsid w:val="00377B9E"/>
    <w:rsid w:val="00380E04"/>
    <w:rsid w:val="00381F82"/>
    <w:rsid w:val="00385DE1"/>
    <w:rsid w:val="00397230"/>
    <w:rsid w:val="003A0971"/>
    <w:rsid w:val="003A14B1"/>
    <w:rsid w:val="003A420C"/>
    <w:rsid w:val="003A44E7"/>
    <w:rsid w:val="003A51F6"/>
    <w:rsid w:val="003B3383"/>
    <w:rsid w:val="003B3DFD"/>
    <w:rsid w:val="003C105F"/>
    <w:rsid w:val="003C16B3"/>
    <w:rsid w:val="003C2F87"/>
    <w:rsid w:val="003D7ECF"/>
    <w:rsid w:val="003E0EDE"/>
    <w:rsid w:val="003E2D50"/>
    <w:rsid w:val="003E4A39"/>
    <w:rsid w:val="003E5E0C"/>
    <w:rsid w:val="003E7373"/>
    <w:rsid w:val="003F0984"/>
    <w:rsid w:val="003F2975"/>
    <w:rsid w:val="003F2B3F"/>
    <w:rsid w:val="003F4556"/>
    <w:rsid w:val="003F5758"/>
    <w:rsid w:val="003F60AB"/>
    <w:rsid w:val="00400B11"/>
    <w:rsid w:val="00401E85"/>
    <w:rsid w:val="004032DF"/>
    <w:rsid w:val="004048AB"/>
    <w:rsid w:val="004075C6"/>
    <w:rsid w:val="004076FB"/>
    <w:rsid w:val="00410389"/>
    <w:rsid w:val="00412324"/>
    <w:rsid w:val="00420431"/>
    <w:rsid w:val="004213C7"/>
    <w:rsid w:val="00425F91"/>
    <w:rsid w:val="004262F1"/>
    <w:rsid w:val="00436F12"/>
    <w:rsid w:val="00440E82"/>
    <w:rsid w:val="004429C9"/>
    <w:rsid w:val="004447ED"/>
    <w:rsid w:val="00446881"/>
    <w:rsid w:val="004478D0"/>
    <w:rsid w:val="00453921"/>
    <w:rsid w:val="00453CA9"/>
    <w:rsid w:val="0045741D"/>
    <w:rsid w:val="00462076"/>
    <w:rsid w:val="00464802"/>
    <w:rsid w:val="00471CDD"/>
    <w:rsid w:val="00473B6C"/>
    <w:rsid w:val="004759DE"/>
    <w:rsid w:val="00475C9C"/>
    <w:rsid w:val="004847C5"/>
    <w:rsid w:val="00492098"/>
    <w:rsid w:val="00492931"/>
    <w:rsid w:val="00494E15"/>
    <w:rsid w:val="004A1812"/>
    <w:rsid w:val="004A29E4"/>
    <w:rsid w:val="004A45B3"/>
    <w:rsid w:val="004A7DF8"/>
    <w:rsid w:val="004B06A4"/>
    <w:rsid w:val="004B4CE4"/>
    <w:rsid w:val="004B51A0"/>
    <w:rsid w:val="004B647F"/>
    <w:rsid w:val="004B6729"/>
    <w:rsid w:val="004C260E"/>
    <w:rsid w:val="004C3304"/>
    <w:rsid w:val="004C4E4A"/>
    <w:rsid w:val="004C60CD"/>
    <w:rsid w:val="004D55BC"/>
    <w:rsid w:val="004D7A36"/>
    <w:rsid w:val="004E263B"/>
    <w:rsid w:val="004E5781"/>
    <w:rsid w:val="004E6502"/>
    <w:rsid w:val="004E6F67"/>
    <w:rsid w:val="004F19F4"/>
    <w:rsid w:val="004F323C"/>
    <w:rsid w:val="004F33F5"/>
    <w:rsid w:val="004F78E1"/>
    <w:rsid w:val="00500F48"/>
    <w:rsid w:val="00507F18"/>
    <w:rsid w:val="00512B7A"/>
    <w:rsid w:val="00512FE0"/>
    <w:rsid w:val="00513CB3"/>
    <w:rsid w:val="00513F2A"/>
    <w:rsid w:val="00514E88"/>
    <w:rsid w:val="00525C66"/>
    <w:rsid w:val="00531290"/>
    <w:rsid w:val="00532828"/>
    <w:rsid w:val="00532A86"/>
    <w:rsid w:val="0053531D"/>
    <w:rsid w:val="005379E3"/>
    <w:rsid w:val="005404A4"/>
    <w:rsid w:val="00540E9A"/>
    <w:rsid w:val="0054136E"/>
    <w:rsid w:val="00543A45"/>
    <w:rsid w:val="005442EA"/>
    <w:rsid w:val="005456A7"/>
    <w:rsid w:val="0055436F"/>
    <w:rsid w:val="00554416"/>
    <w:rsid w:val="005574A9"/>
    <w:rsid w:val="00562606"/>
    <w:rsid w:val="00564244"/>
    <w:rsid w:val="0057064F"/>
    <w:rsid w:val="005712C3"/>
    <w:rsid w:val="0057238D"/>
    <w:rsid w:val="0057273E"/>
    <w:rsid w:val="00577AFB"/>
    <w:rsid w:val="00585604"/>
    <w:rsid w:val="005904A6"/>
    <w:rsid w:val="0059075C"/>
    <w:rsid w:val="00590FDE"/>
    <w:rsid w:val="00596475"/>
    <w:rsid w:val="005A0625"/>
    <w:rsid w:val="005A2333"/>
    <w:rsid w:val="005A5E6D"/>
    <w:rsid w:val="005B06D6"/>
    <w:rsid w:val="005B0F93"/>
    <w:rsid w:val="005B1809"/>
    <w:rsid w:val="005B2AC9"/>
    <w:rsid w:val="005B3C1D"/>
    <w:rsid w:val="005B4CE2"/>
    <w:rsid w:val="005B74D6"/>
    <w:rsid w:val="005C7D60"/>
    <w:rsid w:val="005D00F2"/>
    <w:rsid w:val="005D3AFB"/>
    <w:rsid w:val="005D3E60"/>
    <w:rsid w:val="005D58CB"/>
    <w:rsid w:val="005D5B3E"/>
    <w:rsid w:val="005D6486"/>
    <w:rsid w:val="005D7858"/>
    <w:rsid w:val="005D7D2E"/>
    <w:rsid w:val="005E3923"/>
    <w:rsid w:val="005E4FA6"/>
    <w:rsid w:val="005E5D13"/>
    <w:rsid w:val="005E73CC"/>
    <w:rsid w:val="005F23A4"/>
    <w:rsid w:val="005F3144"/>
    <w:rsid w:val="005F33E9"/>
    <w:rsid w:val="005F45A2"/>
    <w:rsid w:val="006010D9"/>
    <w:rsid w:val="006055BF"/>
    <w:rsid w:val="00606093"/>
    <w:rsid w:val="00610B89"/>
    <w:rsid w:val="0061153B"/>
    <w:rsid w:val="0061215C"/>
    <w:rsid w:val="0061273D"/>
    <w:rsid w:val="00616C3F"/>
    <w:rsid w:val="0061778F"/>
    <w:rsid w:val="006201BE"/>
    <w:rsid w:val="00620FB0"/>
    <w:rsid w:val="00621869"/>
    <w:rsid w:val="00630347"/>
    <w:rsid w:val="00632768"/>
    <w:rsid w:val="00635039"/>
    <w:rsid w:val="0064293B"/>
    <w:rsid w:val="00645B2A"/>
    <w:rsid w:val="00647BBE"/>
    <w:rsid w:val="006517AA"/>
    <w:rsid w:val="00651F6A"/>
    <w:rsid w:val="0065352F"/>
    <w:rsid w:val="006618FF"/>
    <w:rsid w:val="00661A7A"/>
    <w:rsid w:val="006637D9"/>
    <w:rsid w:val="006647A2"/>
    <w:rsid w:val="0066604C"/>
    <w:rsid w:val="00671024"/>
    <w:rsid w:val="0067113E"/>
    <w:rsid w:val="0067511C"/>
    <w:rsid w:val="00676141"/>
    <w:rsid w:val="006776B4"/>
    <w:rsid w:val="00681F12"/>
    <w:rsid w:val="00685415"/>
    <w:rsid w:val="006916AD"/>
    <w:rsid w:val="00692C36"/>
    <w:rsid w:val="006949CD"/>
    <w:rsid w:val="00695D88"/>
    <w:rsid w:val="00696660"/>
    <w:rsid w:val="00696FF3"/>
    <w:rsid w:val="00697124"/>
    <w:rsid w:val="006A0BC6"/>
    <w:rsid w:val="006A53AE"/>
    <w:rsid w:val="006B2070"/>
    <w:rsid w:val="006B2F0F"/>
    <w:rsid w:val="006B3F39"/>
    <w:rsid w:val="006B4AB4"/>
    <w:rsid w:val="006B5BB2"/>
    <w:rsid w:val="006B5D33"/>
    <w:rsid w:val="006C25C7"/>
    <w:rsid w:val="006C2843"/>
    <w:rsid w:val="006C3CB1"/>
    <w:rsid w:val="006C3D5C"/>
    <w:rsid w:val="006C4EE2"/>
    <w:rsid w:val="006C5006"/>
    <w:rsid w:val="006C661E"/>
    <w:rsid w:val="006D5BDD"/>
    <w:rsid w:val="006E0CCF"/>
    <w:rsid w:val="006E3A3E"/>
    <w:rsid w:val="006E5833"/>
    <w:rsid w:val="006F019F"/>
    <w:rsid w:val="006F04F7"/>
    <w:rsid w:val="006F2AFA"/>
    <w:rsid w:val="006F6EA9"/>
    <w:rsid w:val="00707FE7"/>
    <w:rsid w:val="0071503E"/>
    <w:rsid w:val="00715F30"/>
    <w:rsid w:val="00717879"/>
    <w:rsid w:val="00722AD5"/>
    <w:rsid w:val="007242A2"/>
    <w:rsid w:val="007257AA"/>
    <w:rsid w:val="00726B09"/>
    <w:rsid w:val="0072756C"/>
    <w:rsid w:val="007308B0"/>
    <w:rsid w:val="0073166A"/>
    <w:rsid w:val="0073263D"/>
    <w:rsid w:val="0073386A"/>
    <w:rsid w:val="00733C55"/>
    <w:rsid w:val="007347FA"/>
    <w:rsid w:val="007359BB"/>
    <w:rsid w:val="00735FA4"/>
    <w:rsid w:val="00740C0F"/>
    <w:rsid w:val="0074211F"/>
    <w:rsid w:val="00742D31"/>
    <w:rsid w:val="00743498"/>
    <w:rsid w:val="0074457B"/>
    <w:rsid w:val="00747426"/>
    <w:rsid w:val="00751990"/>
    <w:rsid w:val="0075417A"/>
    <w:rsid w:val="00757E6E"/>
    <w:rsid w:val="007620EF"/>
    <w:rsid w:val="007634CD"/>
    <w:rsid w:val="00765C7D"/>
    <w:rsid w:val="0077018F"/>
    <w:rsid w:val="007701DC"/>
    <w:rsid w:val="00772073"/>
    <w:rsid w:val="00772455"/>
    <w:rsid w:val="00772A9C"/>
    <w:rsid w:val="00773492"/>
    <w:rsid w:val="00773600"/>
    <w:rsid w:val="00773C95"/>
    <w:rsid w:val="00775EC7"/>
    <w:rsid w:val="00781ECF"/>
    <w:rsid w:val="00783A5D"/>
    <w:rsid w:val="00784359"/>
    <w:rsid w:val="007866A1"/>
    <w:rsid w:val="00786C03"/>
    <w:rsid w:val="00787FA2"/>
    <w:rsid w:val="00794687"/>
    <w:rsid w:val="0079540D"/>
    <w:rsid w:val="00795524"/>
    <w:rsid w:val="007960C1"/>
    <w:rsid w:val="00796AE1"/>
    <w:rsid w:val="00797706"/>
    <w:rsid w:val="007A33E1"/>
    <w:rsid w:val="007A4759"/>
    <w:rsid w:val="007A64D8"/>
    <w:rsid w:val="007A7AFC"/>
    <w:rsid w:val="007A7BB8"/>
    <w:rsid w:val="007B6B04"/>
    <w:rsid w:val="007B727B"/>
    <w:rsid w:val="007B7A49"/>
    <w:rsid w:val="007C31F0"/>
    <w:rsid w:val="007C32AD"/>
    <w:rsid w:val="007C6516"/>
    <w:rsid w:val="007C658B"/>
    <w:rsid w:val="007C6698"/>
    <w:rsid w:val="007D5C69"/>
    <w:rsid w:val="007D5C78"/>
    <w:rsid w:val="007D6E18"/>
    <w:rsid w:val="007E09F8"/>
    <w:rsid w:val="007E0A2F"/>
    <w:rsid w:val="007E3D67"/>
    <w:rsid w:val="007F14F5"/>
    <w:rsid w:val="007F4F31"/>
    <w:rsid w:val="007F56B6"/>
    <w:rsid w:val="007F6AFE"/>
    <w:rsid w:val="007F798F"/>
    <w:rsid w:val="00800730"/>
    <w:rsid w:val="008043AD"/>
    <w:rsid w:val="00804AB1"/>
    <w:rsid w:val="00814329"/>
    <w:rsid w:val="008144D3"/>
    <w:rsid w:val="0081560C"/>
    <w:rsid w:val="00820226"/>
    <w:rsid w:val="00821319"/>
    <w:rsid w:val="0082775E"/>
    <w:rsid w:val="00832429"/>
    <w:rsid w:val="00834969"/>
    <w:rsid w:val="00835CD0"/>
    <w:rsid w:val="00841948"/>
    <w:rsid w:val="008429D1"/>
    <w:rsid w:val="00844B9A"/>
    <w:rsid w:val="00847C26"/>
    <w:rsid w:val="00856A4D"/>
    <w:rsid w:val="00875104"/>
    <w:rsid w:val="008805E4"/>
    <w:rsid w:val="00881016"/>
    <w:rsid w:val="008815D9"/>
    <w:rsid w:val="0089368C"/>
    <w:rsid w:val="00894704"/>
    <w:rsid w:val="008A28AA"/>
    <w:rsid w:val="008B0F16"/>
    <w:rsid w:val="008B7E68"/>
    <w:rsid w:val="008C6C6B"/>
    <w:rsid w:val="008C73E7"/>
    <w:rsid w:val="008D2C82"/>
    <w:rsid w:val="008D507C"/>
    <w:rsid w:val="008D6931"/>
    <w:rsid w:val="008D69ED"/>
    <w:rsid w:val="008D762F"/>
    <w:rsid w:val="008E0607"/>
    <w:rsid w:val="008E2AE8"/>
    <w:rsid w:val="008F0484"/>
    <w:rsid w:val="008F1DD8"/>
    <w:rsid w:val="008F3DE7"/>
    <w:rsid w:val="008F5A06"/>
    <w:rsid w:val="00901149"/>
    <w:rsid w:val="0090175E"/>
    <w:rsid w:val="00902DBD"/>
    <w:rsid w:val="00903B04"/>
    <w:rsid w:val="009048C8"/>
    <w:rsid w:val="0091119A"/>
    <w:rsid w:val="00911B4F"/>
    <w:rsid w:val="009149F7"/>
    <w:rsid w:val="009177F1"/>
    <w:rsid w:val="009179C4"/>
    <w:rsid w:val="00917ACE"/>
    <w:rsid w:val="00920C7C"/>
    <w:rsid w:val="009211C8"/>
    <w:rsid w:val="00923686"/>
    <w:rsid w:val="009239B5"/>
    <w:rsid w:val="009244C3"/>
    <w:rsid w:val="00924531"/>
    <w:rsid w:val="0092545F"/>
    <w:rsid w:val="009272D7"/>
    <w:rsid w:val="00930C1B"/>
    <w:rsid w:val="00932D8F"/>
    <w:rsid w:val="00933E50"/>
    <w:rsid w:val="009347F6"/>
    <w:rsid w:val="00935A55"/>
    <w:rsid w:val="00935C9D"/>
    <w:rsid w:val="00936AC3"/>
    <w:rsid w:val="0094388F"/>
    <w:rsid w:val="00944FA6"/>
    <w:rsid w:val="00945C5B"/>
    <w:rsid w:val="00950272"/>
    <w:rsid w:val="009503BC"/>
    <w:rsid w:val="009505DF"/>
    <w:rsid w:val="0095174B"/>
    <w:rsid w:val="00952F13"/>
    <w:rsid w:val="00955B3E"/>
    <w:rsid w:val="009567B6"/>
    <w:rsid w:val="009571B1"/>
    <w:rsid w:val="00962A6A"/>
    <w:rsid w:val="0096591C"/>
    <w:rsid w:val="00971AC7"/>
    <w:rsid w:val="00981C50"/>
    <w:rsid w:val="00984D12"/>
    <w:rsid w:val="00986381"/>
    <w:rsid w:val="00991165"/>
    <w:rsid w:val="0099498E"/>
    <w:rsid w:val="00994F06"/>
    <w:rsid w:val="00995834"/>
    <w:rsid w:val="00995C8C"/>
    <w:rsid w:val="009973C9"/>
    <w:rsid w:val="00997890"/>
    <w:rsid w:val="009A0726"/>
    <w:rsid w:val="009A0967"/>
    <w:rsid w:val="009A1F9F"/>
    <w:rsid w:val="009A2A1F"/>
    <w:rsid w:val="009A2D80"/>
    <w:rsid w:val="009A7283"/>
    <w:rsid w:val="009B3AB2"/>
    <w:rsid w:val="009B3CA0"/>
    <w:rsid w:val="009B7DD8"/>
    <w:rsid w:val="009C1B94"/>
    <w:rsid w:val="009C3130"/>
    <w:rsid w:val="009C5B19"/>
    <w:rsid w:val="009C762D"/>
    <w:rsid w:val="009D0524"/>
    <w:rsid w:val="009D29CC"/>
    <w:rsid w:val="009D31F1"/>
    <w:rsid w:val="009D45FB"/>
    <w:rsid w:val="009D51EF"/>
    <w:rsid w:val="009D6E25"/>
    <w:rsid w:val="009D7CAE"/>
    <w:rsid w:val="009E26CA"/>
    <w:rsid w:val="009E347F"/>
    <w:rsid w:val="009E40FD"/>
    <w:rsid w:val="009E5A39"/>
    <w:rsid w:val="009E7CD9"/>
    <w:rsid w:val="009E7DDB"/>
    <w:rsid w:val="009E7F4A"/>
    <w:rsid w:val="009F107D"/>
    <w:rsid w:val="009F1424"/>
    <w:rsid w:val="009F302F"/>
    <w:rsid w:val="009F49B5"/>
    <w:rsid w:val="009F4C7F"/>
    <w:rsid w:val="009F4D63"/>
    <w:rsid w:val="009F69A8"/>
    <w:rsid w:val="00A006C4"/>
    <w:rsid w:val="00A0182E"/>
    <w:rsid w:val="00A10D39"/>
    <w:rsid w:val="00A11159"/>
    <w:rsid w:val="00A11E9C"/>
    <w:rsid w:val="00A138E7"/>
    <w:rsid w:val="00A143E9"/>
    <w:rsid w:val="00A14F28"/>
    <w:rsid w:val="00A14FAE"/>
    <w:rsid w:val="00A15432"/>
    <w:rsid w:val="00A164B6"/>
    <w:rsid w:val="00A17476"/>
    <w:rsid w:val="00A17EC9"/>
    <w:rsid w:val="00A22C42"/>
    <w:rsid w:val="00A241D6"/>
    <w:rsid w:val="00A27DB7"/>
    <w:rsid w:val="00A30017"/>
    <w:rsid w:val="00A31162"/>
    <w:rsid w:val="00A32118"/>
    <w:rsid w:val="00A34B68"/>
    <w:rsid w:val="00A35E63"/>
    <w:rsid w:val="00A36B04"/>
    <w:rsid w:val="00A37A07"/>
    <w:rsid w:val="00A406EA"/>
    <w:rsid w:val="00A41C80"/>
    <w:rsid w:val="00A4319D"/>
    <w:rsid w:val="00A457B7"/>
    <w:rsid w:val="00A46CD4"/>
    <w:rsid w:val="00A51290"/>
    <w:rsid w:val="00A55834"/>
    <w:rsid w:val="00A56053"/>
    <w:rsid w:val="00A624ED"/>
    <w:rsid w:val="00A631CA"/>
    <w:rsid w:val="00A67BCB"/>
    <w:rsid w:val="00A67EA6"/>
    <w:rsid w:val="00A70FA1"/>
    <w:rsid w:val="00A759C2"/>
    <w:rsid w:val="00A76878"/>
    <w:rsid w:val="00A77695"/>
    <w:rsid w:val="00A83A4A"/>
    <w:rsid w:val="00A852E2"/>
    <w:rsid w:val="00A86723"/>
    <w:rsid w:val="00A96891"/>
    <w:rsid w:val="00AA57C8"/>
    <w:rsid w:val="00AA580D"/>
    <w:rsid w:val="00AA6F76"/>
    <w:rsid w:val="00AB24A2"/>
    <w:rsid w:val="00AB317A"/>
    <w:rsid w:val="00AB3808"/>
    <w:rsid w:val="00AB437D"/>
    <w:rsid w:val="00AC03E7"/>
    <w:rsid w:val="00AC3CB6"/>
    <w:rsid w:val="00AC3EE3"/>
    <w:rsid w:val="00AD1FDB"/>
    <w:rsid w:val="00AD2697"/>
    <w:rsid w:val="00AD471D"/>
    <w:rsid w:val="00AD6E71"/>
    <w:rsid w:val="00AE25E8"/>
    <w:rsid w:val="00AE270B"/>
    <w:rsid w:val="00AE2885"/>
    <w:rsid w:val="00AE6AEB"/>
    <w:rsid w:val="00AE7E4B"/>
    <w:rsid w:val="00AF16B0"/>
    <w:rsid w:val="00AF203A"/>
    <w:rsid w:val="00AF4282"/>
    <w:rsid w:val="00AF627C"/>
    <w:rsid w:val="00B0390C"/>
    <w:rsid w:val="00B043B6"/>
    <w:rsid w:val="00B04886"/>
    <w:rsid w:val="00B069DE"/>
    <w:rsid w:val="00B12A0C"/>
    <w:rsid w:val="00B14776"/>
    <w:rsid w:val="00B15AF6"/>
    <w:rsid w:val="00B21576"/>
    <w:rsid w:val="00B306B6"/>
    <w:rsid w:val="00B31433"/>
    <w:rsid w:val="00B33AAC"/>
    <w:rsid w:val="00B34C31"/>
    <w:rsid w:val="00B4256B"/>
    <w:rsid w:val="00B431E7"/>
    <w:rsid w:val="00B44719"/>
    <w:rsid w:val="00B44B2C"/>
    <w:rsid w:val="00B530FF"/>
    <w:rsid w:val="00B54334"/>
    <w:rsid w:val="00B6043E"/>
    <w:rsid w:val="00B6195A"/>
    <w:rsid w:val="00B622FD"/>
    <w:rsid w:val="00B63658"/>
    <w:rsid w:val="00B67D6C"/>
    <w:rsid w:val="00B72BA6"/>
    <w:rsid w:val="00B7473E"/>
    <w:rsid w:val="00B74AAA"/>
    <w:rsid w:val="00B768A8"/>
    <w:rsid w:val="00B77BC6"/>
    <w:rsid w:val="00B80AB5"/>
    <w:rsid w:val="00B82A5D"/>
    <w:rsid w:val="00B831AE"/>
    <w:rsid w:val="00B8356F"/>
    <w:rsid w:val="00B84A3A"/>
    <w:rsid w:val="00B86A5F"/>
    <w:rsid w:val="00B9439C"/>
    <w:rsid w:val="00B97299"/>
    <w:rsid w:val="00B97A82"/>
    <w:rsid w:val="00BA13FD"/>
    <w:rsid w:val="00BA22ED"/>
    <w:rsid w:val="00BA2F79"/>
    <w:rsid w:val="00BA49AE"/>
    <w:rsid w:val="00BA6CB4"/>
    <w:rsid w:val="00BB37EF"/>
    <w:rsid w:val="00BB3C5E"/>
    <w:rsid w:val="00BB3C8A"/>
    <w:rsid w:val="00BB552E"/>
    <w:rsid w:val="00BB5CD7"/>
    <w:rsid w:val="00BC03A1"/>
    <w:rsid w:val="00BC19BA"/>
    <w:rsid w:val="00BC1BC3"/>
    <w:rsid w:val="00BC4659"/>
    <w:rsid w:val="00BC79C8"/>
    <w:rsid w:val="00BE2419"/>
    <w:rsid w:val="00BE2D32"/>
    <w:rsid w:val="00BE5C8D"/>
    <w:rsid w:val="00BE7464"/>
    <w:rsid w:val="00BF7DE3"/>
    <w:rsid w:val="00C0657C"/>
    <w:rsid w:val="00C1044F"/>
    <w:rsid w:val="00C11F01"/>
    <w:rsid w:val="00C216F9"/>
    <w:rsid w:val="00C21A48"/>
    <w:rsid w:val="00C23397"/>
    <w:rsid w:val="00C23843"/>
    <w:rsid w:val="00C2439D"/>
    <w:rsid w:val="00C245E9"/>
    <w:rsid w:val="00C25D6B"/>
    <w:rsid w:val="00C261BC"/>
    <w:rsid w:val="00C32485"/>
    <w:rsid w:val="00C34409"/>
    <w:rsid w:val="00C347FD"/>
    <w:rsid w:val="00C3652B"/>
    <w:rsid w:val="00C40D50"/>
    <w:rsid w:val="00C42C6E"/>
    <w:rsid w:val="00C42FE4"/>
    <w:rsid w:val="00C43C8E"/>
    <w:rsid w:val="00C44FE2"/>
    <w:rsid w:val="00C46FBD"/>
    <w:rsid w:val="00C50230"/>
    <w:rsid w:val="00C509E5"/>
    <w:rsid w:val="00C53596"/>
    <w:rsid w:val="00C54239"/>
    <w:rsid w:val="00C54398"/>
    <w:rsid w:val="00C54ECC"/>
    <w:rsid w:val="00C57B35"/>
    <w:rsid w:val="00C6165F"/>
    <w:rsid w:val="00C626B6"/>
    <w:rsid w:val="00C632CB"/>
    <w:rsid w:val="00C63518"/>
    <w:rsid w:val="00C635E1"/>
    <w:rsid w:val="00C64A0D"/>
    <w:rsid w:val="00C64D5B"/>
    <w:rsid w:val="00C66218"/>
    <w:rsid w:val="00C67378"/>
    <w:rsid w:val="00C67B5B"/>
    <w:rsid w:val="00C711E9"/>
    <w:rsid w:val="00C71C3E"/>
    <w:rsid w:val="00C73348"/>
    <w:rsid w:val="00C80E6E"/>
    <w:rsid w:val="00C82647"/>
    <w:rsid w:val="00C82F72"/>
    <w:rsid w:val="00C8448D"/>
    <w:rsid w:val="00C84C84"/>
    <w:rsid w:val="00C85F92"/>
    <w:rsid w:val="00C86509"/>
    <w:rsid w:val="00C8793C"/>
    <w:rsid w:val="00C92040"/>
    <w:rsid w:val="00C923E7"/>
    <w:rsid w:val="00C96F43"/>
    <w:rsid w:val="00C97C4D"/>
    <w:rsid w:val="00CA19F2"/>
    <w:rsid w:val="00CA33F6"/>
    <w:rsid w:val="00CA3C8F"/>
    <w:rsid w:val="00CA76C5"/>
    <w:rsid w:val="00CB311D"/>
    <w:rsid w:val="00CC0BA5"/>
    <w:rsid w:val="00CC1789"/>
    <w:rsid w:val="00CC1DDA"/>
    <w:rsid w:val="00CC2BB2"/>
    <w:rsid w:val="00CC36B4"/>
    <w:rsid w:val="00CC40E6"/>
    <w:rsid w:val="00CC509C"/>
    <w:rsid w:val="00CC598A"/>
    <w:rsid w:val="00CC5CED"/>
    <w:rsid w:val="00CD3A50"/>
    <w:rsid w:val="00CD3E16"/>
    <w:rsid w:val="00CD4BB1"/>
    <w:rsid w:val="00CD74B6"/>
    <w:rsid w:val="00CE0055"/>
    <w:rsid w:val="00CE1219"/>
    <w:rsid w:val="00CE4DB0"/>
    <w:rsid w:val="00CF0C98"/>
    <w:rsid w:val="00CF6DDE"/>
    <w:rsid w:val="00D02CA9"/>
    <w:rsid w:val="00D044AE"/>
    <w:rsid w:val="00D04E98"/>
    <w:rsid w:val="00D06788"/>
    <w:rsid w:val="00D14459"/>
    <w:rsid w:val="00D15A5D"/>
    <w:rsid w:val="00D16E37"/>
    <w:rsid w:val="00D20D49"/>
    <w:rsid w:val="00D20DCB"/>
    <w:rsid w:val="00D21156"/>
    <w:rsid w:val="00D26AC7"/>
    <w:rsid w:val="00D31696"/>
    <w:rsid w:val="00D353CA"/>
    <w:rsid w:val="00D414D4"/>
    <w:rsid w:val="00D425E3"/>
    <w:rsid w:val="00D46173"/>
    <w:rsid w:val="00D46FC5"/>
    <w:rsid w:val="00D47910"/>
    <w:rsid w:val="00D5074A"/>
    <w:rsid w:val="00D53DE0"/>
    <w:rsid w:val="00D53E6B"/>
    <w:rsid w:val="00D55261"/>
    <w:rsid w:val="00D56EF2"/>
    <w:rsid w:val="00D57215"/>
    <w:rsid w:val="00D5722D"/>
    <w:rsid w:val="00D63D7A"/>
    <w:rsid w:val="00D66693"/>
    <w:rsid w:val="00D73FA9"/>
    <w:rsid w:val="00D764C8"/>
    <w:rsid w:val="00D77103"/>
    <w:rsid w:val="00D77B84"/>
    <w:rsid w:val="00D82A9D"/>
    <w:rsid w:val="00D82B3E"/>
    <w:rsid w:val="00D85110"/>
    <w:rsid w:val="00D91447"/>
    <w:rsid w:val="00D91B4A"/>
    <w:rsid w:val="00D9438A"/>
    <w:rsid w:val="00D97A13"/>
    <w:rsid w:val="00DA30A0"/>
    <w:rsid w:val="00DA3749"/>
    <w:rsid w:val="00DA71D7"/>
    <w:rsid w:val="00DB4017"/>
    <w:rsid w:val="00DB56B7"/>
    <w:rsid w:val="00DB57C1"/>
    <w:rsid w:val="00DB5A53"/>
    <w:rsid w:val="00DB5C31"/>
    <w:rsid w:val="00DC1B2A"/>
    <w:rsid w:val="00DC4BDA"/>
    <w:rsid w:val="00DD1600"/>
    <w:rsid w:val="00DD5024"/>
    <w:rsid w:val="00DD7266"/>
    <w:rsid w:val="00DE2FED"/>
    <w:rsid w:val="00DE402B"/>
    <w:rsid w:val="00DF02AF"/>
    <w:rsid w:val="00DF2595"/>
    <w:rsid w:val="00DF4716"/>
    <w:rsid w:val="00DF56F1"/>
    <w:rsid w:val="00DF5980"/>
    <w:rsid w:val="00E01720"/>
    <w:rsid w:val="00E0394E"/>
    <w:rsid w:val="00E052EE"/>
    <w:rsid w:val="00E0741D"/>
    <w:rsid w:val="00E07DAF"/>
    <w:rsid w:val="00E11675"/>
    <w:rsid w:val="00E1267D"/>
    <w:rsid w:val="00E17936"/>
    <w:rsid w:val="00E17D16"/>
    <w:rsid w:val="00E272A9"/>
    <w:rsid w:val="00E311BA"/>
    <w:rsid w:val="00E32142"/>
    <w:rsid w:val="00E36D15"/>
    <w:rsid w:val="00E36FDC"/>
    <w:rsid w:val="00E37A65"/>
    <w:rsid w:val="00E37FF1"/>
    <w:rsid w:val="00E4049B"/>
    <w:rsid w:val="00E50653"/>
    <w:rsid w:val="00E537ED"/>
    <w:rsid w:val="00E55D14"/>
    <w:rsid w:val="00E567D3"/>
    <w:rsid w:val="00E57CCF"/>
    <w:rsid w:val="00E6018E"/>
    <w:rsid w:val="00E60C6D"/>
    <w:rsid w:val="00E615D8"/>
    <w:rsid w:val="00E62FE5"/>
    <w:rsid w:val="00E64D31"/>
    <w:rsid w:val="00E67629"/>
    <w:rsid w:val="00E724C4"/>
    <w:rsid w:val="00E739FC"/>
    <w:rsid w:val="00E74C0E"/>
    <w:rsid w:val="00E7560A"/>
    <w:rsid w:val="00E779B2"/>
    <w:rsid w:val="00E825C9"/>
    <w:rsid w:val="00E835B7"/>
    <w:rsid w:val="00E84FDF"/>
    <w:rsid w:val="00E9040C"/>
    <w:rsid w:val="00E94439"/>
    <w:rsid w:val="00E952E0"/>
    <w:rsid w:val="00E95F6F"/>
    <w:rsid w:val="00E97FFD"/>
    <w:rsid w:val="00EA0024"/>
    <w:rsid w:val="00EA0BB2"/>
    <w:rsid w:val="00EA1C08"/>
    <w:rsid w:val="00EA1E6A"/>
    <w:rsid w:val="00EA31D2"/>
    <w:rsid w:val="00EA5531"/>
    <w:rsid w:val="00EA7041"/>
    <w:rsid w:val="00EA771D"/>
    <w:rsid w:val="00EB36E7"/>
    <w:rsid w:val="00EB3E28"/>
    <w:rsid w:val="00EB591E"/>
    <w:rsid w:val="00EC0A2F"/>
    <w:rsid w:val="00EC363D"/>
    <w:rsid w:val="00EC3D84"/>
    <w:rsid w:val="00EC7EA9"/>
    <w:rsid w:val="00ED0479"/>
    <w:rsid w:val="00ED0A80"/>
    <w:rsid w:val="00ED1C7A"/>
    <w:rsid w:val="00ED25DD"/>
    <w:rsid w:val="00ED3213"/>
    <w:rsid w:val="00ED3971"/>
    <w:rsid w:val="00ED7285"/>
    <w:rsid w:val="00EE0A6B"/>
    <w:rsid w:val="00EE1BFB"/>
    <w:rsid w:val="00EE3E24"/>
    <w:rsid w:val="00EE5063"/>
    <w:rsid w:val="00EF0AB8"/>
    <w:rsid w:val="00EF3144"/>
    <w:rsid w:val="00EF44D8"/>
    <w:rsid w:val="00EF5684"/>
    <w:rsid w:val="00F00BC9"/>
    <w:rsid w:val="00F10483"/>
    <w:rsid w:val="00F10CC8"/>
    <w:rsid w:val="00F21DCC"/>
    <w:rsid w:val="00F2270F"/>
    <w:rsid w:val="00F2383E"/>
    <w:rsid w:val="00F2481B"/>
    <w:rsid w:val="00F339C5"/>
    <w:rsid w:val="00F34086"/>
    <w:rsid w:val="00F41C4E"/>
    <w:rsid w:val="00F432CD"/>
    <w:rsid w:val="00F44CBB"/>
    <w:rsid w:val="00F47639"/>
    <w:rsid w:val="00F553F4"/>
    <w:rsid w:val="00F566D2"/>
    <w:rsid w:val="00F56932"/>
    <w:rsid w:val="00F56A58"/>
    <w:rsid w:val="00F56E6F"/>
    <w:rsid w:val="00F57B65"/>
    <w:rsid w:val="00F634A5"/>
    <w:rsid w:val="00F63C3C"/>
    <w:rsid w:val="00F71505"/>
    <w:rsid w:val="00F717AB"/>
    <w:rsid w:val="00F71ED5"/>
    <w:rsid w:val="00F75AF9"/>
    <w:rsid w:val="00F77722"/>
    <w:rsid w:val="00F80DD5"/>
    <w:rsid w:val="00F82404"/>
    <w:rsid w:val="00F83290"/>
    <w:rsid w:val="00F83A51"/>
    <w:rsid w:val="00F84379"/>
    <w:rsid w:val="00F863E1"/>
    <w:rsid w:val="00F869DE"/>
    <w:rsid w:val="00F8704F"/>
    <w:rsid w:val="00F870A9"/>
    <w:rsid w:val="00F871C1"/>
    <w:rsid w:val="00F94E4C"/>
    <w:rsid w:val="00F95059"/>
    <w:rsid w:val="00F96A9B"/>
    <w:rsid w:val="00F97760"/>
    <w:rsid w:val="00F97D8A"/>
    <w:rsid w:val="00FA124B"/>
    <w:rsid w:val="00FA43A4"/>
    <w:rsid w:val="00FA5B83"/>
    <w:rsid w:val="00FB3768"/>
    <w:rsid w:val="00FB478C"/>
    <w:rsid w:val="00FB4F04"/>
    <w:rsid w:val="00FB5080"/>
    <w:rsid w:val="00FC0D17"/>
    <w:rsid w:val="00FC1122"/>
    <w:rsid w:val="00FC2C3D"/>
    <w:rsid w:val="00FC2E08"/>
    <w:rsid w:val="00FC5E94"/>
    <w:rsid w:val="00FC753C"/>
    <w:rsid w:val="00FD13A4"/>
    <w:rsid w:val="00FD162B"/>
    <w:rsid w:val="00FD1ED3"/>
    <w:rsid w:val="00FD36B0"/>
    <w:rsid w:val="00FD5160"/>
    <w:rsid w:val="00FD5BDD"/>
    <w:rsid w:val="00FE37EB"/>
    <w:rsid w:val="00FE3A61"/>
    <w:rsid w:val="00FF0633"/>
    <w:rsid w:val="00FF45C5"/>
    <w:rsid w:val="00FF5D90"/>
    <w:rsid w:val="00FF6516"/>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67586">
      <o:colormenu v:ext="edit" fillcolor="none" strokecolor="none"/>
    </o:shapedefaults>
    <o:shapelayout v:ext="edit">
      <o:idmap v:ext="edit" data="1"/>
      <o:rules v:ext="edit">
        <o:r id="V:Rule8" type="connector" idref="#_x0000_s1052"/>
        <o:r id="V:Rule9" type="connector" idref="#_x0000_s1051"/>
        <o:r id="V:Rule10" type="connector" idref="#_x0000_s1045"/>
        <o:r id="V:Rule11" type="connector" idref="#_x0000_s1044"/>
        <o:r id="V:Rule12" type="connector" idref="#_x0000_s1040"/>
        <o:r id="V:Rule13" type="connector" idref="#_x0000_s1050"/>
        <o:r id="V:Rule14" type="connector" idref="#_x0000_s105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lsdException w:name="Default Paragraph Font" w:uiPriority="1"/>
    <w:lsdException w:name="Subtitle" w:semiHidden="0" w:uiPriority="11"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ln">
    <w:name w:val="Normal"/>
    <w:qFormat/>
    <w:rsid w:val="00C0657C"/>
    <w:pPr>
      <w:spacing w:line="360" w:lineRule="auto"/>
      <w:jc w:val="both"/>
    </w:pPr>
    <w:rPr>
      <w:sz w:val="24"/>
      <w:szCs w:val="24"/>
      <w:lang w:val="cs-CZ"/>
    </w:rPr>
  </w:style>
  <w:style w:type="paragraph" w:styleId="Nadpis1">
    <w:name w:val="heading 1"/>
    <w:next w:val="Nadpis2"/>
    <w:link w:val="Nadpis1Char"/>
    <w:qFormat/>
    <w:rsid w:val="00C0657C"/>
    <w:pPr>
      <w:keepNext/>
      <w:pageBreakBefore/>
      <w:numPr>
        <w:numId w:val="1"/>
      </w:numPr>
      <w:spacing w:after="800" w:line="360" w:lineRule="auto"/>
      <w:jc w:val="both"/>
      <w:outlineLvl w:val="0"/>
    </w:pPr>
    <w:rPr>
      <w:rFonts w:eastAsiaTheme="majorEastAsia"/>
      <w:bCs/>
      <w:kern w:val="32"/>
      <w:sz w:val="40"/>
      <w:szCs w:val="32"/>
    </w:rPr>
  </w:style>
  <w:style w:type="paragraph" w:styleId="Nadpis2">
    <w:name w:val="heading 2"/>
    <w:aliases w:val="Heading 2 Char1,Heading 3 Char Char,Char Char Char + Not Italic,No..."/>
    <w:basedOn w:val="Normln"/>
    <w:next w:val="Normln"/>
    <w:link w:val="Nadpis2Char"/>
    <w:qFormat/>
    <w:rsid w:val="00D77B84"/>
    <w:pPr>
      <w:keepNext/>
      <w:numPr>
        <w:ilvl w:val="1"/>
        <w:numId w:val="1"/>
      </w:numPr>
      <w:spacing w:before="240" w:after="240"/>
      <w:outlineLvl w:val="1"/>
    </w:pPr>
    <w:rPr>
      <w:rFonts w:eastAsiaTheme="majorEastAsia" w:cstheme="majorBidi"/>
      <w:b/>
      <w:iCs/>
      <w:kern w:val="32"/>
      <w:sz w:val="28"/>
    </w:rPr>
  </w:style>
  <w:style w:type="paragraph" w:styleId="Nadpis3">
    <w:name w:val="heading 3"/>
    <w:aliases w:val="Heading 3 Char1 Char,Heading 3 Char Char Char,Heading 3 Char Char1,Heading 3 Char1"/>
    <w:basedOn w:val="Nadpis2"/>
    <w:next w:val="Normln"/>
    <w:link w:val="Nadpis3Char"/>
    <w:qFormat/>
    <w:rsid w:val="00D77B84"/>
    <w:pPr>
      <w:numPr>
        <w:ilvl w:val="2"/>
      </w:numPr>
      <w:outlineLvl w:val="2"/>
    </w:pPr>
    <w:rPr>
      <w:bCs/>
      <w:sz w:val="24"/>
      <w:szCs w:val="26"/>
    </w:rPr>
  </w:style>
  <w:style w:type="paragraph" w:styleId="Nadpis4">
    <w:name w:val="heading 4"/>
    <w:basedOn w:val="Normln"/>
    <w:next w:val="Normln"/>
    <w:link w:val="Nadpis4Char"/>
    <w:uiPriority w:val="9"/>
    <w:semiHidden/>
    <w:unhideWhenUsed/>
    <w:qFormat/>
    <w:rsid w:val="00C0657C"/>
    <w:pPr>
      <w:keepNext/>
      <w:keepLines/>
      <w:numPr>
        <w:ilvl w:val="3"/>
        <w:numId w:val="1"/>
      </w:numPr>
      <w:spacing w:before="240" w:after="240"/>
      <w:outlineLvl w:val="3"/>
    </w:pPr>
    <w:rPr>
      <w:rFonts w:eastAsiaTheme="majorEastAsia" w:cstheme="majorBidi"/>
      <w:b/>
      <w:bCs/>
      <w:iCs/>
      <w:lang w:val="en-US"/>
    </w:rPr>
  </w:style>
  <w:style w:type="paragraph" w:styleId="Nadpis5">
    <w:name w:val="heading 5"/>
    <w:basedOn w:val="Normln"/>
    <w:next w:val="Normln"/>
    <w:link w:val="Nadpis5Char"/>
    <w:semiHidden/>
    <w:unhideWhenUsed/>
    <w:qFormat/>
    <w:rsid w:val="00C0657C"/>
    <w:pPr>
      <w:keepNext/>
      <w:keepLines/>
      <w:numPr>
        <w:ilvl w:val="4"/>
        <w:numId w:val="1"/>
      </w:numPr>
      <w:spacing w:before="240" w:after="240"/>
      <w:outlineLvl w:val="4"/>
    </w:pPr>
    <w:rPr>
      <w:rFonts w:eastAsiaTheme="majorEastAsia" w:cstheme="majorBidi"/>
      <w:b/>
      <w:i/>
      <w:color w:val="00133A" w:themeColor="accent1" w:themeShade="7F"/>
      <w:lang w:val="en-US"/>
    </w:rPr>
  </w:style>
  <w:style w:type="paragraph" w:styleId="Nadpis6">
    <w:name w:val="heading 6"/>
    <w:basedOn w:val="Normln"/>
    <w:next w:val="Normln"/>
    <w:link w:val="Nadpis6Char"/>
    <w:semiHidden/>
    <w:unhideWhenUsed/>
    <w:qFormat/>
    <w:rsid w:val="00C0657C"/>
    <w:pPr>
      <w:keepNext/>
      <w:keepLines/>
      <w:numPr>
        <w:ilvl w:val="5"/>
        <w:numId w:val="1"/>
      </w:numPr>
      <w:spacing w:before="240" w:after="240"/>
      <w:outlineLvl w:val="5"/>
    </w:pPr>
    <w:rPr>
      <w:rFonts w:eastAsiaTheme="majorEastAsia" w:cstheme="majorBidi"/>
      <w:i/>
      <w:iCs/>
      <w:color w:val="00133A" w:themeColor="accent1" w:themeShade="7F"/>
      <w:lang w:val="en-US"/>
    </w:rPr>
  </w:style>
  <w:style w:type="paragraph" w:styleId="Nadpis7">
    <w:name w:val="heading 7"/>
    <w:basedOn w:val="Normln"/>
    <w:next w:val="Normln"/>
    <w:link w:val="Nadpis7Char"/>
    <w:semiHidden/>
    <w:unhideWhenUsed/>
    <w:qFormat/>
    <w:rsid w:val="00C0657C"/>
    <w:pPr>
      <w:keepNext/>
      <w:keepLines/>
      <w:numPr>
        <w:ilvl w:val="6"/>
        <w:numId w:val="1"/>
      </w:numPr>
      <w:spacing w:before="240" w:after="240"/>
      <w:outlineLvl w:val="6"/>
    </w:pPr>
    <w:rPr>
      <w:rFonts w:eastAsiaTheme="majorEastAsia" w:cstheme="majorBidi"/>
      <w:i/>
      <w:iCs/>
      <w:color w:val="404040" w:themeColor="text1" w:themeTint="BF"/>
    </w:rPr>
  </w:style>
  <w:style w:type="paragraph" w:styleId="Nadpis8">
    <w:name w:val="heading 8"/>
    <w:basedOn w:val="Normln"/>
    <w:next w:val="Normln"/>
    <w:link w:val="Nadpis8Char"/>
    <w:semiHidden/>
    <w:unhideWhenUsed/>
    <w:qFormat/>
    <w:rsid w:val="00C0657C"/>
    <w:pPr>
      <w:keepNext/>
      <w:keepLines/>
      <w:numPr>
        <w:ilvl w:val="7"/>
        <w:numId w:val="1"/>
      </w:numPr>
      <w:spacing w:before="240" w:after="240"/>
      <w:outlineLvl w:val="7"/>
    </w:pPr>
    <w:rPr>
      <w:rFonts w:eastAsiaTheme="majorEastAsia" w:cstheme="majorBidi"/>
      <w:i/>
      <w:color w:val="404040" w:themeColor="text1" w:themeTint="BF"/>
      <w:sz w:val="20"/>
      <w:szCs w:val="20"/>
    </w:rPr>
  </w:style>
  <w:style w:type="paragraph" w:styleId="Nadpis9">
    <w:name w:val="heading 9"/>
    <w:basedOn w:val="Normln"/>
    <w:next w:val="Normln"/>
    <w:link w:val="Nadpis9Char"/>
    <w:semiHidden/>
    <w:unhideWhenUsed/>
    <w:qFormat/>
    <w:rsid w:val="00C0657C"/>
    <w:pPr>
      <w:keepNext/>
      <w:keepLines/>
      <w:numPr>
        <w:ilvl w:val="8"/>
        <w:numId w:val="1"/>
      </w:numPr>
      <w:spacing w:before="240" w:after="240"/>
      <w:outlineLvl w:val="8"/>
    </w:pPr>
    <w:rPr>
      <w:rFonts w:eastAsiaTheme="majorEastAsia" w:cstheme="majorBidi"/>
      <w:i/>
      <w:iCs/>
      <w:color w:val="404040" w:themeColor="text1" w:themeTint="BF"/>
      <w:sz w:val="18"/>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C0657C"/>
    <w:rPr>
      <w:rFonts w:eastAsiaTheme="majorEastAsia"/>
      <w:bCs/>
      <w:kern w:val="32"/>
      <w:sz w:val="40"/>
      <w:szCs w:val="32"/>
    </w:rPr>
  </w:style>
  <w:style w:type="character" w:customStyle="1" w:styleId="Nadpis2Char">
    <w:name w:val="Nadpis 2 Char"/>
    <w:aliases w:val="Heading 2 Char1 Char,Heading 3 Char Char Char1,Char Char Char + Not Italic Char,No... Char"/>
    <w:basedOn w:val="Standardnpsmoodstavce"/>
    <w:link w:val="Nadpis2"/>
    <w:rsid w:val="00D77B84"/>
    <w:rPr>
      <w:rFonts w:eastAsiaTheme="majorEastAsia" w:cstheme="majorBidi"/>
      <w:b/>
      <w:iCs/>
      <w:kern w:val="32"/>
      <w:sz w:val="28"/>
      <w:szCs w:val="24"/>
      <w:lang w:val="cs-CZ"/>
    </w:rPr>
  </w:style>
  <w:style w:type="character" w:customStyle="1" w:styleId="Nadpis3Char">
    <w:name w:val="Nadpis 3 Char"/>
    <w:aliases w:val="Heading 3 Char1 Char Char,Heading 3 Char Char Char Char,Heading 3 Char Char1 Char,Heading 3 Char1 Char1"/>
    <w:basedOn w:val="Standardnpsmoodstavce"/>
    <w:link w:val="Nadpis3"/>
    <w:rsid w:val="00D77B84"/>
    <w:rPr>
      <w:rFonts w:eastAsiaTheme="majorEastAsia" w:cstheme="majorBidi"/>
      <w:b/>
      <w:bCs/>
      <w:iCs/>
      <w:kern w:val="32"/>
      <w:sz w:val="24"/>
      <w:szCs w:val="26"/>
      <w:lang w:val="cs-CZ"/>
    </w:rPr>
  </w:style>
  <w:style w:type="character" w:customStyle="1" w:styleId="Nadpis4Char">
    <w:name w:val="Nadpis 4 Char"/>
    <w:basedOn w:val="Standardnpsmoodstavce"/>
    <w:link w:val="Nadpis4"/>
    <w:uiPriority w:val="9"/>
    <w:semiHidden/>
    <w:rsid w:val="00C0657C"/>
    <w:rPr>
      <w:rFonts w:eastAsiaTheme="majorEastAsia" w:cstheme="majorBidi"/>
      <w:b/>
      <w:bCs/>
      <w:iCs/>
      <w:sz w:val="24"/>
      <w:szCs w:val="24"/>
    </w:rPr>
  </w:style>
  <w:style w:type="character" w:customStyle="1" w:styleId="Nadpis5Char">
    <w:name w:val="Nadpis 5 Char"/>
    <w:basedOn w:val="Standardnpsmoodstavce"/>
    <w:link w:val="Nadpis5"/>
    <w:semiHidden/>
    <w:rsid w:val="00C0657C"/>
    <w:rPr>
      <w:rFonts w:eastAsiaTheme="majorEastAsia" w:cstheme="majorBidi"/>
      <w:b/>
      <w:i/>
      <w:color w:val="00133A" w:themeColor="accent1" w:themeShade="7F"/>
      <w:sz w:val="24"/>
      <w:szCs w:val="24"/>
    </w:rPr>
  </w:style>
  <w:style w:type="character" w:customStyle="1" w:styleId="Nadpis6Char">
    <w:name w:val="Nadpis 6 Char"/>
    <w:basedOn w:val="Standardnpsmoodstavce"/>
    <w:link w:val="Nadpis6"/>
    <w:semiHidden/>
    <w:rsid w:val="00C0657C"/>
    <w:rPr>
      <w:rFonts w:eastAsiaTheme="majorEastAsia" w:cstheme="majorBidi"/>
      <w:i/>
      <w:iCs/>
      <w:color w:val="00133A" w:themeColor="accent1" w:themeShade="7F"/>
      <w:sz w:val="24"/>
      <w:szCs w:val="24"/>
    </w:rPr>
  </w:style>
  <w:style w:type="character" w:customStyle="1" w:styleId="Nadpis7Char">
    <w:name w:val="Nadpis 7 Char"/>
    <w:basedOn w:val="Standardnpsmoodstavce"/>
    <w:link w:val="Nadpis7"/>
    <w:semiHidden/>
    <w:rsid w:val="00C0657C"/>
    <w:rPr>
      <w:rFonts w:eastAsiaTheme="majorEastAsia" w:cstheme="majorBidi"/>
      <w:i/>
      <w:iCs/>
      <w:color w:val="404040" w:themeColor="text1" w:themeTint="BF"/>
      <w:sz w:val="24"/>
      <w:szCs w:val="24"/>
      <w:lang w:val="cs-CZ"/>
    </w:rPr>
  </w:style>
  <w:style w:type="character" w:customStyle="1" w:styleId="Nadpis8Char">
    <w:name w:val="Nadpis 8 Char"/>
    <w:basedOn w:val="Standardnpsmoodstavce"/>
    <w:link w:val="Nadpis8"/>
    <w:semiHidden/>
    <w:rsid w:val="00C0657C"/>
    <w:rPr>
      <w:rFonts w:eastAsiaTheme="majorEastAsia" w:cstheme="majorBidi"/>
      <w:i/>
      <w:color w:val="404040" w:themeColor="text1" w:themeTint="BF"/>
      <w:lang w:val="cs-CZ"/>
    </w:rPr>
  </w:style>
  <w:style w:type="character" w:customStyle="1" w:styleId="Nadpis9Char">
    <w:name w:val="Nadpis 9 Char"/>
    <w:basedOn w:val="Standardnpsmoodstavce"/>
    <w:link w:val="Nadpis9"/>
    <w:semiHidden/>
    <w:rsid w:val="00C0657C"/>
    <w:rPr>
      <w:rFonts w:eastAsiaTheme="majorEastAsia" w:cstheme="majorBidi"/>
      <w:i/>
      <w:iCs/>
      <w:color w:val="404040" w:themeColor="text1" w:themeTint="BF"/>
      <w:sz w:val="18"/>
      <w:lang w:val="cs-CZ"/>
    </w:rPr>
  </w:style>
  <w:style w:type="paragraph" w:styleId="Titulek">
    <w:name w:val="caption"/>
    <w:basedOn w:val="Normln"/>
    <w:next w:val="Normln"/>
    <w:qFormat/>
    <w:rsid w:val="00C0657C"/>
    <w:rPr>
      <w:b/>
      <w:bCs/>
      <w:szCs w:val="20"/>
    </w:rPr>
  </w:style>
  <w:style w:type="character" w:styleId="Siln">
    <w:name w:val="Strong"/>
    <w:basedOn w:val="Standardnpsmoodstavce"/>
    <w:uiPriority w:val="22"/>
    <w:qFormat/>
    <w:rsid w:val="00C0657C"/>
    <w:rPr>
      <w:b/>
      <w:bCs/>
    </w:rPr>
  </w:style>
  <w:style w:type="paragraph" w:styleId="Odstavecseseznamem">
    <w:name w:val="List Paragraph"/>
    <w:basedOn w:val="Normln"/>
    <w:uiPriority w:val="34"/>
    <w:qFormat/>
    <w:rsid w:val="00C0657C"/>
    <w:pPr>
      <w:spacing w:after="200" w:line="276" w:lineRule="auto"/>
      <w:ind w:left="720"/>
      <w:contextualSpacing/>
    </w:pPr>
    <w:rPr>
      <w:rFonts w:asciiTheme="minorHAnsi" w:eastAsiaTheme="minorHAnsi" w:hAnsiTheme="minorHAnsi" w:cstheme="minorBidi"/>
      <w:szCs w:val="22"/>
    </w:rPr>
  </w:style>
  <w:style w:type="paragraph" w:styleId="Nadpisobsahu">
    <w:name w:val="TOC Heading"/>
    <w:basedOn w:val="Nadpis1"/>
    <w:next w:val="Normln"/>
    <w:uiPriority w:val="39"/>
    <w:unhideWhenUsed/>
    <w:qFormat/>
    <w:rsid w:val="00C0657C"/>
    <w:pPr>
      <w:keepLines/>
      <w:pageBreakBefore w:val="0"/>
      <w:numPr>
        <w:numId w:val="0"/>
      </w:numPr>
      <w:spacing w:after="600"/>
      <w:outlineLvl w:val="9"/>
    </w:pPr>
    <w:rPr>
      <w:rFonts w:cstheme="majorBidi"/>
      <w:b/>
      <w:color w:val="002776" w:themeColor="text2"/>
      <w:kern w:val="0"/>
      <w:szCs w:val="28"/>
    </w:rPr>
  </w:style>
  <w:style w:type="paragraph" w:customStyle="1" w:styleId="Bodytext">
    <w:name w:val="Body text"/>
    <w:qFormat/>
    <w:rsid w:val="00C0657C"/>
    <w:pPr>
      <w:spacing w:line="360" w:lineRule="auto"/>
      <w:jc w:val="both"/>
    </w:pPr>
    <w:rPr>
      <w:color w:val="000000"/>
      <w:sz w:val="24"/>
      <w:szCs w:val="24"/>
      <w:lang w:val="cs-CZ"/>
    </w:rPr>
  </w:style>
  <w:style w:type="paragraph" w:customStyle="1" w:styleId="smlouvaheading1">
    <w:name w:val="smlouva heading 1"/>
    <w:next w:val="Bodytext"/>
    <w:qFormat/>
    <w:rsid w:val="00C0657C"/>
    <w:pPr>
      <w:numPr>
        <w:numId w:val="2"/>
      </w:numPr>
      <w:tabs>
        <w:tab w:val="left" w:pos="873"/>
      </w:tabs>
      <w:spacing w:before="120" w:after="120"/>
    </w:pPr>
    <w:rPr>
      <w:rFonts w:ascii="Arial" w:hAnsi="Arial"/>
      <w:b/>
      <w:noProof/>
      <w:color w:val="000000" w:themeColor="text1"/>
      <w:sz w:val="19"/>
      <w:szCs w:val="24"/>
      <w:lang w:val="cs-CZ"/>
    </w:rPr>
  </w:style>
  <w:style w:type="paragraph" w:customStyle="1" w:styleId="CaptionIntroductionparagraph">
    <w:name w:val="Caption Introduction paragraph"/>
    <w:basedOn w:val="Normln"/>
    <w:qFormat/>
    <w:rsid w:val="00AB317A"/>
  </w:style>
  <w:style w:type="paragraph" w:customStyle="1" w:styleId="smlouvaheading2">
    <w:name w:val="smlouva heading 2"/>
    <w:basedOn w:val="CaptionIntroductionparagraph"/>
    <w:next w:val="Bodytext"/>
    <w:qFormat/>
    <w:rsid w:val="00C0657C"/>
    <w:pPr>
      <w:numPr>
        <w:ilvl w:val="1"/>
        <w:numId w:val="2"/>
      </w:numPr>
      <w:tabs>
        <w:tab w:val="left" w:pos="567"/>
      </w:tabs>
    </w:pPr>
    <w:rPr>
      <w:color w:val="000000" w:themeColor="text1"/>
      <w:sz w:val="19"/>
    </w:rPr>
  </w:style>
  <w:style w:type="paragraph" w:customStyle="1" w:styleId="smlouvaheading3">
    <w:name w:val="smlouva heading 3"/>
    <w:basedOn w:val="smlouvaheading2"/>
    <w:next w:val="Bodytext"/>
    <w:qFormat/>
    <w:rsid w:val="00C0657C"/>
    <w:pPr>
      <w:numPr>
        <w:ilvl w:val="2"/>
      </w:numPr>
      <w:tabs>
        <w:tab w:val="clear" w:pos="567"/>
        <w:tab w:val="left" w:pos="737"/>
      </w:tabs>
    </w:pPr>
  </w:style>
  <w:style w:type="paragraph" w:customStyle="1" w:styleId="smlouvaheading4">
    <w:name w:val="smlouva heading 4"/>
    <w:basedOn w:val="smlouvaheading3"/>
    <w:next w:val="Bodytext"/>
    <w:qFormat/>
    <w:rsid w:val="00C0657C"/>
    <w:pPr>
      <w:numPr>
        <w:ilvl w:val="3"/>
      </w:numPr>
      <w:tabs>
        <w:tab w:val="clear" w:pos="737"/>
      </w:tabs>
    </w:pPr>
    <w:rPr>
      <w:color w:val="auto"/>
    </w:rPr>
  </w:style>
  <w:style w:type="paragraph" w:customStyle="1" w:styleId="smlouvabodytextbold">
    <w:name w:val="smlouva body text bold"/>
    <w:basedOn w:val="smlouvaheading4"/>
    <w:next w:val="Bodytext"/>
    <w:qFormat/>
    <w:rsid w:val="00C0657C"/>
    <w:pPr>
      <w:numPr>
        <w:ilvl w:val="0"/>
        <w:numId w:val="0"/>
      </w:numPr>
      <w:tabs>
        <w:tab w:val="left" w:pos="1021"/>
      </w:tabs>
    </w:pPr>
    <w:rPr>
      <w:b/>
    </w:rPr>
  </w:style>
  <w:style w:type="paragraph" w:customStyle="1" w:styleId="Bodytextbold">
    <w:name w:val="Body text bold"/>
    <w:basedOn w:val="smlouvabodytextbold"/>
    <w:next w:val="Bodytext"/>
    <w:qFormat/>
    <w:rsid w:val="00C0657C"/>
    <w:pPr>
      <w:tabs>
        <w:tab w:val="clear" w:pos="1021"/>
        <w:tab w:val="left" w:pos="1134"/>
      </w:tabs>
    </w:pPr>
    <w:rPr>
      <w:color w:val="000000"/>
    </w:rPr>
  </w:style>
  <w:style w:type="paragraph" w:customStyle="1" w:styleId="Bulletslevel1">
    <w:name w:val="Bullets level 1"/>
    <w:basedOn w:val="Normln"/>
    <w:link w:val="Bulletslevel1Char"/>
    <w:qFormat/>
    <w:rsid w:val="00C0657C"/>
    <w:pPr>
      <w:numPr>
        <w:numId w:val="3"/>
      </w:numPr>
      <w:spacing w:before="120"/>
      <w:contextualSpacing/>
    </w:pPr>
    <w:rPr>
      <w:rFonts w:eastAsia="Times"/>
      <w:color w:val="000000"/>
      <w:szCs w:val="20"/>
    </w:rPr>
  </w:style>
  <w:style w:type="character" w:customStyle="1" w:styleId="Bulletslevel1Char">
    <w:name w:val="Bullets level 1 Char"/>
    <w:basedOn w:val="Standardnpsmoodstavce"/>
    <w:link w:val="Bulletslevel1"/>
    <w:rsid w:val="00C0657C"/>
    <w:rPr>
      <w:rFonts w:eastAsia="Times"/>
      <w:color w:val="000000"/>
      <w:sz w:val="24"/>
      <w:lang w:val="cs-CZ"/>
    </w:rPr>
  </w:style>
  <w:style w:type="paragraph" w:customStyle="1" w:styleId="Bulletslevel2">
    <w:name w:val="Bullets level 2"/>
    <w:basedOn w:val="Normln"/>
    <w:link w:val="Bulletslevel2Char"/>
    <w:qFormat/>
    <w:rsid w:val="00C0657C"/>
    <w:pPr>
      <w:numPr>
        <w:numId w:val="4"/>
      </w:numPr>
      <w:tabs>
        <w:tab w:val="left" w:pos="567"/>
      </w:tabs>
      <w:spacing w:before="120"/>
      <w:contextualSpacing/>
    </w:pPr>
    <w:rPr>
      <w:rFonts w:eastAsia="Times"/>
      <w:color w:val="000000"/>
      <w:szCs w:val="20"/>
      <w:lang w:val="en-GB"/>
    </w:rPr>
  </w:style>
  <w:style w:type="character" w:customStyle="1" w:styleId="Bulletslevel2Char">
    <w:name w:val="Bullets level 2 Char"/>
    <w:basedOn w:val="Bulletslevel1Char"/>
    <w:link w:val="Bulletslevel2"/>
    <w:rsid w:val="00C0657C"/>
    <w:rPr>
      <w:lang w:val="en-GB"/>
    </w:rPr>
  </w:style>
  <w:style w:type="paragraph" w:customStyle="1" w:styleId="Highlight1">
    <w:name w:val="Highlight 1"/>
    <w:basedOn w:val="Obsah1"/>
    <w:qFormat/>
    <w:rsid w:val="00C0657C"/>
    <w:pPr>
      <w:tabs>
        <w:tab w:val="left" w:pos="482"/>
        <w:tab w:val="right" w:leader="dot" w:pos="9061"/>
      </w:tabs>
      <w:spacing w:after="0"/>
      <w:ind w:left="720" w:hanging="720"/>
    </w:pPr>
    <w:rPr>
      <w:b/>
      <w:sz w:val="20"/>
    </w:rPr>
  </w:style>
  <w:style w:type="paragraph" w:styleId="Obsah1">
    <w:name w:val="toc 1"/>
    <w:basedOn w:val="Normln"/>
    <w:next w:val="Normln"/>
    <w:autoRedefine/>
    <w:uiPriority w:val="39"/>
    <w:unhideWhenUsed/>
    <w:rsid w:val="00C0657C"/>
    <w:pPr>
      <w:spacing w:after="100"/>
    </w:pPr>
  </w:style>
  <w:style w:type="paragraph" w:customStyle="1" w:styleId="Highlight2">
    <w:name w:val="Highlight 2"/>
    <w:basedOn w:val="Normln"/>
    <w:qFormat/>
    <w:rsid w:val="00C0657C"/>
    <w:rPr>
      <w:b/>
      <w:sz w:val="20"/>
    </w:rPr>
  </w:style>
  <w:style w:type="paragraph" w:customStyle="1" w:styleId="Highlight3">
    <w:name w:val="Highlight 3"/>
    <w:basedOn w:val="Highlight2"/>
    <w:qFormat/>
    <w:rsid w:val="00C0657C"/>
  </w:style>
  <w:style w:type="paragraph" w:styleId="Zhlav">
    <w:name w:val="header"/>
    <w:basedOn w:val="Normln"/>
    <w:link w:val="ZhlavChar"/>
    <w:uiPriority w:val="99"/>
    <w:semiHidden/>
    <w:unhideWhenUsed/>
    <w:rsid w:val="00071F7D"/>
    <w:pPr>
      <w:tabs>
        <w:tab w:val="center" w:pos="4536"/>
        <w:tab w:val="right" w:pos="9072"/>
      </w:tabs>
      <w:spacing w:line="240" w:lineRule="auto"/>
    </w:pPr>
  </w:style>
  <w:style w:type="character" w:customStyle="1" w:styleId="ZhlavChar">
    <w:name w:val="Záhlaví Char"/>
    <w:basedOn w:val="Standardnpsmoodstavce"/>
    <w:link w:val="Zhlav"/>
    <w:uiPriority w:val="99"/>
    <w:semiHidden/>
    <w:rsid w:val="00071F7D"/>
    <w:rPr>
      <w:sz w:val="24"/>
      <w:szCs w:val="24"/>
      <w:lang w:val="cs-CZ"/>
    </w:rPr>
  </w:style>
  <w:style w:type="paragraph" w:styleId="Zpat">
    <w:name w:val="footer"/>
    <w:basedOn w:val="Normln"/>
    <w:link w:val="ZpatChar"/>
    <w:uiPriority w:val="99"/>
    <w:unhideWhenUsed/>
    <w:rsid w:val="00071F7D"/>
    <w:pPr>
      <w:tabs>
        <w:tab w:val="center" w:pos="4536"/>
        <w:tab w:val="right" w:pos="9072"/>
      </w:tabs>
      <w:spacing w:line="240" w:lineRule="auto"/>
    </w:pPr>
  </w:style>
  <w:style w:type="character" w:customStyle="1" w:styleId="ZpatChar">
    <w:name w:val="Zápatí Char"/>
    <w:basedOn w:val="Standardnpsmoodstavce"/>
    <w:link w:val="Zpat"/>
    <w:uiPriority w:val="99"/>
    <w:rsid w:val="00071F7D"/>
    <w:rPr>
      <w:sz w:val="24"/>
      <w:szCs w:val="24"/>
      <w:lang w:val="cs-CZ"/>
    </w:rPr>
  </w:style>
  <w:style w:type="paragraph" w:styleId="Textbubliny">
    <w:name w:val="Balloon Text"/>
    <w:basedOn w:val="Normln"/>
    <w:link w:val="TextbublinyChar"/>
    <w:uiPriority w:val="99"/>
    <w:semiHidden/>
    <w:unhideWhenUsed/>
    <w:rsid w:val="00E01720"/>
    <w:pPr>
      <w:spacing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E01720"/>
    <w:rPr>
      <w:rFonts w:ascii="Tahoma" w:hAnsi="Tahoma" w:cs="Tahoma"/>
      <w:sz w:val="16"/>
      <w:szCs w:val="16"/>
      <w:lang w:val="cs-CZ"/>
    </w:rPr>
  </w:style>
  <w:style w:type="paragraph" w:styleId="Obsah2">
    <w:name w:val="toc 2"/>
    <w:basedOn w:val="Normln"/>
    <w:next w:val="Normln"/>
    <w:autoRedefine/>
    <w:uiPriority w:val="39"/>
    <w:unhideWhenUsed/>
    <w:rsid w:val="00794687"/>
    <w:pPr>
      <w:spacing w:after="100"/>
      <w:ind w:left="240"/>
    </w:pPr>
  </w:style>
  <w:style w:type="character" w:styleId="Hypertextovodkaz">
    <w:name w:val="Hyperlink"/>
    <w:basedOn w:val="Standardnpsmoodstavce"/>
    <w:uiPriority w:val="99"/>
    <w:unhideWhenUsed/>
    <w:rsid w:val="00794687"/>
    <w:rPr>
      <w:color w:val="3C8A2E" w:themeColor="hyperlink"/>
      <w:u w:val="single"/>
    </w:rPr>
  </w:style>
  <w:style w:type="paragraph" w:styleId="Obsah3">
    <w:name w:val="toc 3"/>
    <w:basedOn w:val="Normln"/>
    <w:next w:val="Normln"/>
    <w:autoRedefine/>
    <w:uiPriority w:val="39"/>
    <w:unhideWhenUsed/>
    <w:rsid w:val="009B7DD8"/>
    <w:pPr>
      <w:spacing w:after="100"/>
      <w:ind w:left="480"/>
    </w:pPr>
  </w:style>
  <w:style w:type="character" w:styleId="Zstupntext">
    <w:name w:val="Placeholder Text"/>
    <w:basedOn w:val="Standardnpsmoodstavce"/>
    <w:uiPriority w:val="99"/>
    <w:semiHidden/>
    <w:rsid w:val="00175CED"/>
    <w:rPr>
      <w:color w:val="808080"/>
    </w:rPr>
  </w:style>
  <w:style w:type="character" w:customStyle="1" w:styleId="apple-style-span">
    <w:name w:val="apple-style-span"/>
    <w:basedOn w:val="Standardnpsmoodstavce"/>
    <w:rsid w:val="005B2AC9"/>
  </w:style>
  <w:style w:type="character" w:customStyle="1" w:styleId="apple-converted-space">
    <w:name w:val="apple-converted-space"/>
    <w:basedOn w:val="Standardnpsmoodstavce"/>
    <w:rsid w:val="005B2AC9"/>
  </w:style>
  <w:style w:type="character" w:styleId="Sledovanodkaz">
    <w:name w:val="FollowedHyperlink"/>
    <w:basedOn w:val="Standardnpsmoodstavce"/>
    <w:uiPriority w:val="99"/>
    <w:semiHidden/>
    <w:unhideWhenUsed/>
    <w:rsid w:val="00C635E1"/>
    <w:rPr>
      <w:color w:val="C9DD03" w:themeColor="followedHyperlink"/>
      <w:u w:val="single"/>
    </w:rPr>
  </w:style>
  <w:style w:type="paragraph" w:customStyle="1" w:styleId="Nzevuniverzity">
    <w:name w:val="Název univerzity"/>
    <w:basedOn w:val="Normln"/>
    <w:rsid w:val="00EF44D8"/>
    <w:pPr>
      <w:tabs>
        <w:tab w:val="left" w:pos="0"/>
        <w:tab w:val="right" w:pos="8787"/>
      </w:tabs>
      <w:spacing w:line="240" w:lineRule="auto"/>
      <w:jc w:val="center"/>
    </w:pPr>
    <w:rPr>
      <w:rFonts w:eastAsia="Calibri"/>
      <w:sz w:val="28"/>
      <w:szCs w:val="28"/>
    </w:rPr>
  </w:style>
  <w:style w:type="paragraph" w:customStyle="1" w:styleId="Titulekprce">
    <w:name w:val="Titulek práce"/>
    <w:basedOn w:val="Normln"/>
    <w:next w:val="Normln"/>
    <w:rsid w:val="00EF44D8"/>
    <w:pPr>
      <w:spacing w:line="240" w:lineRule="auto"/>
      <w:jc w:val="center"/>
    </w:pPr>
    <w:rPr>
      <w:rFonts w:eastAsia="Calibri"/>
      <w:spacing w:val="100"/>
      <w:sz w:val="28"/>
      <w:szCs w:val="28"/>
    </w:rPr>
  </w:style>
  <w:style w:type="paragraph" w:customStyle="1" w:styleId="Studijnobor">
    <w:name w:val="Studijní obor"/>
    <w:basedOn w:val="Normln"/>
    <w:rsid w:val="00EF44D8"/>
    <w:pPr>
      <w:spacing w:line="240" w:lineRule="auto"/>
    </w:pPr>
    <w:rPr>
      <w:rFonts w:eastAsia="Calibri"/>
    </w:rPr>
  </w:style>
  <w:style w:type="paragraph" w:styleId="Seznamobrzk">
    <w:name w:val="table of figures"/>
    <w:basedOn w:val="Normln"/>
    <w:next w:val="Normln"/>
    <w:uiPriority w:val="99"/>
    <w:unhideWhenUsed/>
    <w:rsid w:val="00EF44D8"/>
    <w:pPr>
      <w:numPr>
        <w:numId w:val="40"/>
      </w:numPr>
      <w:tabs>
        <w:tab w:val="clear" w:pos="567"/>
      </w:tabs>
      <w:ind w:left="0" w:firstLine="0"/>
      <w:jc w:val="left"/>
    </w:pPr>
    <w:rPr>
      <w:rFonts w:eastAsia="Calibri"/>
      <w:bCs/>
      <w:szCs w:val="20"/>
    </w:rPr>
  </w:style>
  <w:style w:type="paragraph" w:customStyle="1" w:styleId="Seznamzkratek">
    <w:name w:val="Seznam zkratek"/>
    <w:basedOn w:val="Normln"/>
    <w:rsid w:val="00EF44D8"/>
    <w:pPr>
      <w:tabs>
        <w:tab w:val="left" w:pos="1134"/>
      </w:tabs>
      <w:spacing w:after="120"/>
    </w:pPr>
    <w:rPr>
      <w:rFonts w:eastAsia="Calibri"/>
      <w:szCs w:val="22"/>
    </w:rPr>
  </w:style>
  <w:style w:type="character" w:styleId="Zvraznn">
    <w:name w:val="Emphasis"/>
    <w:basedOn w:val="Standardnpsmoodstavce"/>
    <w:uiPriority w:val="20"/>
    <w:qFormat/>
    <w:rsid w:val="009C3130"/>
    <w:rPr>
      <w:i/>
      <w:iCs/>
    </w:rPr>
  </w:style>
</w:styles>
</file>

<file path=word/webSettings.xml><?xml version="1.0" encoding="utf-8"?>
<w:webSettings xmlns:r="http://schemas.openxmlformats.org/officeDocument/2006/relationships" xmlns:w="http://schemas.openxmlformats.org/wordprocessingml/2006/main">
  <w:divs>
    <w:div w:id="19094526">
      <w:bodyDiv w:val="1"/>
      <w:marLeft w:val="0"/>
      <w:marRight w:val="0"/>
      <w:marTop w:val="0"/>
      <w:marBottom w:val="0"/>
      <w:divBdr>
        <w:top w:val="none" w:sz="0" w:space="0" w:color="auto"/>
        <w:left w:val="none" w:sz="0" w:space="0" w:color="auto"/>
        <w:bottom w:val="none" w:sz="0" w:space="0" w:color="auto"/>
        <w:right w:val="none" w:sz="0" w:space="0" w:color="auto"/>
      </w:divBdr>
    </w:div>
    <w:div w:id="29116285">
      <w:bodyDiv w:val="1"/>
      <w:marLeft w:val="0"/>
      <w:marRight w:val="0"/>
      <w:marTop w:val="0"/>
      <w:marBottom w:val="0"/>
      <w:divBdr>
        <w:top w:val="none" w:sz="0" w:space="0" w:color="auto"/>
        <w:left w:val="none" w:sz="0" w:space="0" w:color="auto"/>
        <w:bottom w:val="none" w:sz="0" w:space="0" w:color="auto"/>
        <w:right w:val="none" w:sz="0" w:space="0" w:color="auto"/>
      </w:divBdr>
    </w:div>
    <w:div w:id="30107347">
      <w:bodyDiv w:val="1"/>
      <w:marLeft w:val="0"/>
      <w:marRight w:val="0"/>
      <w:marTop w:val="0"/>
      <w:marBottom w:val="0"/>
      <w:divBdr>
        <w:top w:val="none" w:sz="0" w:space="0" w:color="auto"/>
        <w:left w:val="none" w:sz="0" w:space="0" w:color="auto"/>
        <w:bottom w:val="none" w:sz="0" w:space="0" w:color="auto"/>
        <w:right w:val="none" w:sz="0" w:space="0" w:color="auto"/>
      </w:divBdr>
    </w:div>
    <w:div w:id="43339035">
      <w:bodyDiv w:val="1"/>
      <w:marLeft w:val="0"/>
      <w:marRight w:val="0"/>
      <w:marTop w:val="0"/>
      <w:marBottom w:val="0"/>
      <w:divBdr>
        <w:top w:val="none" w:sz="0" w:space="0" w:color="auto"/>
        <w:left w:val="none" w:sz="0" w:space="0" w:color="auto"/>
        <w:bottom w:val="none" w:sz="0" w:space="0" w:color="auto"/>
        <w:right w:val="none" w:sz="0" w:space="0" w:color="auto"/>
      </w:divBdr>
    </w:div>
    <w:div w:id="151483060">
      <w:bodyDiv w:val="1"/>
      <w:marLeft w:val="0"/>
      <w:marRight w:val="0"/>
      <w:marTop w:val="0"/>
      <w:marBottom w:val="0"/>
      <w:divBdr>
        <w:top w:val="none" w:sz="0" w:space="0" w:color="auto"/>
        <w:left w:val="none" w:sz="0" w:space="0" w:color="auto"/>
        <w:bottom w:val="none" w:sz="0" w:space="0" w:color="auto"/>
        <w:right w:val="none" w:sz="0" w:space="0" w:color="auto"/>
      </w:divBdr>
    </w:div>
    <w:div w:id="259071970">
      <w:bodyDiv w:val="1"/>
      <w:marLeft w:val="0"/>
      <w:marRight w:val="0"/>
      <w:marTop w:val="0"/>
      <w:marBottom w:val="0"/>
      <w:divBdr>
        <w:top w:val="none" w:sz="0" w:space="0" w:color="auto"/>
        <w:left w:val="none" w:sz="0" w:space="0" w:color="auto"/>
        <w:bottom w:val="none" w:sz="0" w:space="0" w:color="auto"/>
        <w:right w:val="none" w:sz="0" w:space="0" w:color="auto"/>
      </w:divBdr>
    </w:div>
    <w:div w:id="406921106">
      <w:bodyDiv w:val="1"/>
      <w:marLeft w:val="0"/>
      <w:marRight w:val="0"/>
      <w:marTop w:val="0"/>
      <w:marBottom w:val="0"/>
      <w:divBdr>
        <w:top w:val="none" w:sz="0" w:space="0" w:color="auto"/>
        <w:left w:val="none" w:sz="0" w:space="0" w:color="auto"/>
        <w:bottom w:val="none" w:sz="0" w:space="0" w:color="auto"/>
        <w:right w:val="none" w:sz="0" w:space="0" w:color="auto"/>
      </w:divBdr>
    </w:div>
    <w:div w:id="481848041">
      <w:bodyDiv w:val="1"/>
      <w:marLeft w:val="0"/>
      <w:marRight w:val="0"/>
      <w:marTop w:val="0"/>
      <w:marBottom w:val="0"/>
      <w:divBdr>
        <w:top w:val="none" w:sz="0" w:space="0" w:color="auto"/>
        <w:left w:val="none" w:sz="0" w:space="0" w:color="auto"/>
        <w:bottom w:val="none" w:sz="0" w:space="0" w:color="auto"/>
        <w:right w:val="none" w:sz="0" w:space="0" w:color="auto"/>
      </w:divBdr>
    </w:div>
    <w:div w:id="521675913">
      <w:bodyDiv w:val="1"/>
      <w:marLeft w:val="0"/>
      <w:marRight w:val="0"/>
      <w:marTop w:val="0"/>
      <w:marBottom w:val="0"/>
      <w:divBdr>
        <w:top w:val="none" w:sz="0" w:space="0" w:color="auto"/>
        <w:left w:val="none" w:sz="0" w:space="0" w:color="auto"/>
        <w:bottom w:val="none" w:sz="0" w:space="0" w:color="auto"/>
        <w:right w:val="none" w:sz="0" w:space="0" w:color="auto"/>
      </w:divBdr>
    </w:div>
    <w:div w:id="538206211">
      <w:bodyDiv w:val="1"/>
      <w:marLeft w:val="0"/>
      <w:marRight w:val="0"/>
      <w:marTop w:val="0"/>
      <w:marBottom w:val="0"/>
      <w:divBdr>
        <w:top w:val="none" w:sz="0" w:space="0" w:color="auto"/>
        <w:left w:val="none" w:sz="0" w:space="0" w:color="auto"/>
        <w:bottom w:val="none" w:sz="0" w:space="0" w:color="auto"/>
        <w:right w:val="none" w:sz="0" w:space="0" w:color="auto"/>
      </w:divBdr>
      <w:divsChild>
        <w:div w:id="668950357">
          <w:marLeft w:val="547"/>
          <w:marRight w:val="0"/>
          <w:marTop w:val="0"/>
          <w:marBottom w:val="0"/>
          <w:divBdr>
            <w:top w:val="none" w:sz="0" w:space="0" w:color="auto"/>
            <w:left w:val="none" w:sz="0" w:space="0" w:color="auto"/>
            <w:bottom w:val="none" w:sz="0" w:space="0" w:color="auto"/>
            <w:right w:val="none" w:sz="0" w:space="0" w:color="auto"/>
          </w:divBdr>
        </w:div>
        <w:div w:id="1649358482">
          <w:marLeft w:val="547"/>
          <w:marRight w:val="0"/>
          <w:marTop w:val="0"/>
          <w:marBottom w:val="0"/>
          <w:divBdr>
            <w:top w:val="none" w:sz="0" w:space="0" w:color="auto"/>
            <w:left w:val="none" w:sz="0" w:space="0" w:color="auto"/>
            <w:bottom w:val="none" w:sz="0" w:space="0" w:color="auto"/>
            <w:right w:val="none" w:sz="0" w:space="0" w:color="auto"/>
          </w:divBdr>
        </w:div>
      </w:divsChild>
    </w:div>
    <w:div w:id="597717452">
      <w:bodyDiv w:val="1"/>
      <w:marLeft w:val="0"/>
      <w:marRight w:val="0"/>
      <w:marTop w:val="0"/>
      <w:marBottom w:val="0"/>
      <w:divBdr>
        <w:top w:val="none" w:sz="0" w:space="0" w:color="auto"/>
        <w:left w:val="none" w:sz="0" w:space="0" w:color="auto"/>
        <w:bottom w:val="none" w:sz="0" w:space="0" w:color="auto"/>
        <w:right w:val="none" w:sz="0" w:space="0" w:color="auto"/>
      </w:divBdr>
    </w:div>
    <w:div w:id="763184448">
      <w:bodyDiv w:val="1"/>
      <w:marLeft w:val="0"/>
      <w:marRight w:val="0"/>
      <w:marTop w:val="0"/>
      <w:marBottom w:val="0"/>
      <w:divBdr>
        <w:top w:val="none" w:sz="0" w:space="0" w:color="auto"/>
        <w:left w:val="none" w:sz="0" w:space="0" w:color="auto"/>
        <w:bottom w:val="none" w:sz="0" w:space="0" w:color="auto"/>
        <w:right w:val="none" w:sz="0" w:space="0" w:color="auto"/>
      </w:divBdr>
    </w:div>
    <w:div w:id="772437177">
      <w:bodyDiv w:val="1"/>
      <w:marLeft w:val="0"/>
      <w:marRight w:val="0"/>
      <w:marTop w:val="0"/>
      <w:marBottom w:val="0"/>
      <w:divBdr>
        <w:top w:val="none" w:sz="0" w:space="0" w:color="auto"/>
        <w:left w:val="none" w:sz="0" w:space="0" w:color="auto"/>
        <w:bottom w:val="none" w:sz="0" w:space="0" w:color="auto"/>
        <w:right w:val="none" w:sz="0" w:space="0" w:color="auto"/>
      </w:divBdr>
    </w:div>
    <w:div w:id="789588603">
      <w:bodyDiv w:val="1"/>
      <w:marLeft w:val="0"/>
      <w:marRight w:val="0"/>
      <w:marTop w:val="0"/>
      <w:marBottom w:val="0"/>
      <w:divBdr>
        <w:top w:val="none" w:sz="0" w:space="0" w:color="auto"/>
        <w:left w:val="none" w:sz="0" w:space="0" w:color="auto"/>
        <w:bottom w:val="none" w:sz="0" w:space="0" w:color="auto"/>
        <w:right w:val="none" w:sz="0" w:space="0" w:color="auto"/>
      </w:divBdr>
    </w:div>
    <w:div w:id="883369191">
      <w:bodyDiv w:val="1"/>
      <w:marLeft w:val="0"/>
      <w:marRight w:val="0"/>
      <w:marTop w:val="0"/>
      <w:marBottom w:val="0"/>
      <w:divBdr>
        <w:top w:val="none" w:sz="0" w:space="0" w:color="auto"/>
        <w:left w:val="none" w:sz="0" w:space="0" w:color="auto"/>
        <w:bottom w:val="none" w:sz="0" w:space="0" w:color="auto"/>
        <w:right w:val="none" w:sz="0" w:space="0" w:color="auto"/>
      </w:divBdr>
    </w:div>
    <w:div w:id="977102595">
      <w:bodyDiv w:val="1"/>
      <w:marLeft w:val="0"/>
      <w:marRight w:val="0"/>
      <w:marTop w:val="0"/>
      <w:marBottom w:val="0"/>
      <w:divBdr>
        <w:top w:val="none" w:sz="0" w:space="0" w:color="auto"/>
        <w:left w:val="none" w:sz="0" w:space="0" w:color="auto"/>
        <w:bottom w:val="none" w:sz="0" w:space="0" w:color="auto"/>
        <w:right w:val="none" w:sz="0" w:space="0" w:color="auto"/>
      </w:divBdr>
    </w:div>
    <w:div w:id="1074400285">
      <w:bodyDiv w:val="1"/>
      <w:marLeft w:val="0"/>
      <w:marRight w:val="0"/>
      <w:marTop w:val="0"/>
      <w:marBottom w:val="0"/>
      <w:divBdr>
        <w:top w:val="none" w:sz="0" w:space="0" w:color="auto"/>
        <w:left w:val="none" w:sz="0" w:space="0" w:color="auto"/>
        <w:bottom w:val="none" w:sz="0" w:space="0" w:color="auto"/>
        <w:right w:val="none" w:sz="0" w:space="0" w:color="auto"/>
      </w:divBdr>
    </w:div>
    <w:div w:id="1076168897">
      <w:bodyDiv w:val="1"/>
      <w:marLeft w:val="0"/>
      <w:marRight w:val="0"/>
      <w:marTop w:val="0"/>
      <w:marBottom w:val="0"/>
      <w:divBdr>
        <w:top w:val="none" w:sz="0" w:space="0" w:color="auto"/>
        <w:left w:val="none" w:sz="0" w:space="0" w:color="auto"/>
        <w:bottom w:val="none" w:sz="0" w:space="0" w:color="auto"/>
        <w:right w:val="none" w:sz="0" w:space="0" w:color="auto"/>
      </w:divBdr>
      <w:divsChild>
        <w:div w:id="1052994962">
          <w:marLeft w:val="547"/>
          <w:marRight w:val="0"/>
          <w:marTop w:val="134"/>
          <w:marBottom w:val="0"/>
          <w:divBdr>
            <w:top w:val="none" w:sz="0" w:space="0" w:color="auto"/>
            <w:left w:val="none" w:sz="0" w:space="0" w:color="auto"/>
            <w:bottom w:val="none" w:sz="0" w:space="0" w:color="auto"/>
            <w:right w:val="none" w:sz="0" w:space="0" w:color="auto"/>
          </w:divBdr>
        </w:div>
        <w:div w:id="911505825">
          <w:marLeft w:val="547"/>
          <w:marRight w:val="0"/>
          <w:marTop w:val="134"/>
          <w:marBottom w:val="0"/>
          <w:divBdr>
            <w:top w:val="none" w:sz="0" w:space="0" w:color="auto"/>
            <w:left w:val="none" w:sz="0" w:space="0" w:color="auto"/>
            <w:bottom w:val="none" w:sz="0" w:space="0" w:color="auto"/>
            <w:right w:val="none" w:sz="0" w:space="0" w:color="auto"/>
          </w:divBdr>
        </w:div>
      </w:divsChild>
    </w:div>
    <w:div w:id="1097755600">
      <w:bodyDiv w:val="1"/>
      <w:marLeft w:val="0"/>
      <w:marRight w:val="0"/>
      <w:marTop w:val="0"/>
      <w:marBottom w:val="0"/>
      <w:divBdr>
        <w:top w:val="none" w:sz="0" w:space="0" w:color="auto"/>
        <w:left w:val="none" w:sz="0" w:space="0" w:color="auto"/>
        <w:bottom w:val="none" w:sz="0" w:space="0" w:color="auto"/>
        <w:right w:val="none" w:sz="0" w:space="0" w:color="auto"/>
      </w:divBdr>
    </w:div>
    <w:div w:id="1159076979">
      <w:bodyDiv w:val="1"/>
      <w:marLeft w:val="0"/>
      <w:marRight w:val="0"/>
      <w:marTop w:val="0"/>
      <w:marBottom w:val="0"/>
      <w:divBdr>
        <w:top w:val="none" w:sz="0" w:space="0" w:color="auto"/>
        <w:left w:val="none" w:sz="0" w:space="0" w:color="auto"/>
        <w:bottom w:val="none" w:sz="0" w:space="0" w:color="auto"/>
        <w:right w:val="none" w:sz="0" w:space="0" w:color="auto"/>
      </w:divBdr>
      <w:divsChild>
        <w:div w:id="1198618411">
          <w:marLeft w:val="547"/>
          <w:marRight w:val="0"/>
          <w:marTop w:val="0"/>
          <w:marBottom w:val="0"/>
          <w:divBdr>
            <w:top w:val="none" w:sz="0" w:space="0" w:color="auto"/>
            <w:left w:val="none" w:sz="0" w:space="0" w:color="auto"/>
            <w:bottom w:val="none" w:sz="0" w:space="0" w:color="auto"/>
            <w:right w:val="none" w:sz="0" w:space="0" w:color="auto"/>
          </w:divBdr>
        </w:div>
      </w:divsChild>
    </w:div>
    <w:div w:id="1186141213">
      <w:bodyDiv w:val="1"/>
      <w:marLeft w:val="0"/>
      <w:marRight w:val="0"/>
      <w:marTop w:val="0"/>
      <w:marBottom w:val="0"/>
      <w:divBdr>
        <w:top w:val="none" w:sz="0" w:space="0" w:color="auto"/>
        <w:left w:val="none" w:sz="0" w:space="0" w:color="auto"/>
        <w:bottom w:val="none" w:sz="0" w:space="0" w:color="auto"/>
        <w:right w:val="none" w:sz="0" w:space="0" w:color="auto"/>
      </w:divBdr>
    </w:div>
    <w:div w:id="1210992194">
      <w:bodyDiv w:val="1"/>
      <w:marLeft w:val="0"/>
      <w:marRight w:val="0"/>
      <w:marTop w:val="0"/>
      <w:marBottom w:val="0"/>
      <w:divBdr>
        <w:top w:val="none" w:sz="0" w:space="0" w:color="auto"/>
        <w:left w:val="none" w:sz="0" w:space="0" w:color="auto"/>
        <w:bottom w:val="none" w:sz="0" w:space="0" w:color="auto"/>
        <w:right w:val="none" w:sz="0" w:space="0" w:color="auto"/>
      </w:divBdr>
    </w:div>
    <w:div w:id="1292444639">
      <w:bodyDiv w:val="1"/>
      <w:marLeft w:val="0"/>
      <w:marRight w:val="0"/>
      <w:marTop w:val="0"/>
      <w:marBottom w:val="0"/>
      <w:divBdr>
        <w:top w:val="none" w:sz="0" w:space="0" w:color="auto"/>
        <w:left w:val="none" w:sz="0" w:space="0" w:color="auto"/>
        <w:bottom w:val="none" w:sz="0" w:space="0" w:color="auto"/>
        <w:right w:val="none" w:sz="0" w:space="0" w:color="auto"/>
      </w:divBdr>
    </w:div>
    <w:div w:id="1306858815">
      <w:bodyDiv w:val="1"/>
      <w:marLeft w:val="0"/>
      <w:marRight w:val="0"/>
      <w:marTop w:val="0"/>
      <w:marBottom w:val="0"/>
      <w:divBdr>
        <w:top w:val="none" w:sz="0" w:space="0" w:color="auto"/>
        <w:left w:val="none" w:sz="0" w:space="0" w:color="auto"/>
        <w:bottom w:val="none" w:sz="0" w:space="0" w:color="auto"/>
        <w:right w:val="none" w:sz="0" w:space="0" w:color="auto"/>
      </w:divBdr>
    </w:div>
    <w:div w:id="1307319190">
      <w:bodyDiv w:val="1"/>
      <w:marLeft w:val="0"/>
      <w:marRight w:val="0"/>
      <w:marTop w:val="0"/>
      <w:marBottom w:val="0"/>
      <w:divBdr>
        <w:top w:val="none" w:sz="0" w:space="0" w:color="auto"/>
        <w:left w:val="none" w:sz="0" w:space="0" w:color="auto"/>
        <w:bottom w:val="none" w:sz="0" w:space="0" w:color="auto"/>
        <w:right w:val="none" w:sz="0" w:space="0" w:color="auto"/>
      </w:divBdr>
      <w:divsChild>
        <w:div w:id="1651910155">
          <w:marLeft w:val="547"/>
          <w:marRight w:val="0"/>
          <w:marTop w:val="134"/>
          <w:marBottom w:val="0"/>
          <w:divBdr>
            <w:top w:val="none" w:sz="0" w:space="0" w:color="auto"/>
            <w:left w:val="none" w:sz="0" w:space="0" w:color="auto"/>
            <w:bottom w:val="none" w:sz="0" w:space="0" w:color="auto"/>
            <w:right w:val="none" w:sz="0" w:space="0" w:color="auto"/>
          </w:divBdr>
        </w:div>
        <w:div w:id="136923758">
          <w:marLeft w:val="547"/>
          <w:marRight w:val="0"/>
          <w:marTop w:val="134"/>
          <w:marBottom w:val="0"/>
          <w:divBdr>
            <w:top w:val="none" w:sz="0" w:space="0" w:color="auto"/>
            <w:left w:val="none" w:sz="0" w:space="0" w:color="auto"/>
            <w:bottom w:val="none" w:sz="0" w:space="0" w:color="auto"/>
            <w:right w:val="none" w:sz="0" w:space="0" w:color="auto"/>
          </w:divBdr>
        </w:div>
        <w:div w:id="1667660797">
          <w:marLeft w:val="547"/>
          <w:marRight w:val="0"/>
          <w:marTop w:val="134"/>
          <w:marBottom w:val="0"/>
          <w:divBdr>
            <w:top w:val="none" w:sz="0" w:space="0" w:color="auto"/>
            <w:left w:val="none" w:sz="0" w:space="0" w:color="auto"/>
            <w:bottom w:val="none" w:sz="0" w:space="0" w:color="auto"/>
            <w:right w:val="none" w:sz="0" w:space="0" w:color="auto"/>
          </w:divBdr>
        </w:div>
        <w:div w:id="1125659445">
          <w:marLeft w:val="547"/>
          <w:marRight w:val="0"/>
          <w:marTop w:val="134"/>
          <w:marBottom w:val="0"/>
          <w:divBdr>
            <w:top w:val="none" w:sz="0" w:space="0" w:color="auto"/>
            <w:left w:val="none" w:sz="0" w:space="0" w:color="auto"/>
            <w:bottom w:val="none" w:sz="0" w:space="0" w:color="auto"/>
            <w:right w:val="none" w:sz="0" w:space="0" w:color="auto"/>
          </w:divBdr>
        </w:div>
        <w:div w:id="477185868">
          <w:marLeft w:val="547"/>
          <w:marRight w:val="0"/>
          <w:marTop w:val="134"/>
          <w:marBottom w:val="0"/>
          <w:divBdr>
            <w:top w:val="none" w:sz="0" w:space="0" w:color="auto"/>
            <w:left w:val="none" w:sz="0" w:space="0" w:color="auto"/>
            <w:bottom w:val="none" w:sz="0" w:space="0" w:color="auto"/>
            <w:right w:val="none" w:sz="0" w:space="0" w:color="auto"/>
          </w:divBdr>
        </w:div>
      </w:divsChild>
    </w:div>
    <w:div w:id="1331180703">
      <w:bodyDiv w:val="1"/>
      <w:marLeft w:val="0"/>
      <w:marRight w:val="0"/>
      <w:marTop w:val="0"/>
      <w:marBottom w:val="0"/>
      <w:divBdr>
        <w:top w:val="none" w:sz="0" w:space="0" w:color="auto"/>
        <w:left w:val="none" w:sz="0" w:space="0" w:color="auto"/>
        <w:bottom w:val="none" w:sz="0" w:space="0" w:color="auto"/>
        <w:right w:val="none" w:sz="0" w:space="0" w:color="auto"/>
      </w:divBdr>
    </w:div>
    <w:div w:id="1351374810">
      <w:bodyDiv w:val="1"/>
      <w:marLeft w:val="0"/>
      <w:marRight w:val="0"/>
      <w:marTop w:val="0"/>
      <w:marBottom w:val="0"/>
      <w:divBdr>
        <w:top w:val="none" w:sz="0" w:space="0" w:color="auto"/>
        <w:left w:val="none" w:sz="0" w:space="0" w:color="auto"/>
        <w:bottom w:val="none" w:sz="0" w:space="0" w:color="auto"/>
        <w:right w:val="none" w:sz="0" w:space="0" w:color="auto"/>
      </w:divBdr>
    </w:div>
    <w:div w:id="1364404970">
      <w:bodyDiv w:val="1"/>
      <w:marLeft w:val="0"/>
      <w:marRight w:val="0"/>
      <w:marTop w:val="0"/>
      <w:marBottom w:val="0"/>
      <w:divBdr>
        <w:top w:val="none" w:sz="0" w:space="0" w:color="auto"/>
        <w:left w:val="none" w:sz="0" w:space="0" w:color="auto"/>
        <w:bottom w:val="none" w:sz="0" w:space="0" w:color="auto"/>
        <w:right w:val="none" w:sz="0" w:space="0" w:color="auto"/>
      </w:divBdr>
    </w:div>
    <w:div w:id="1366102778">
      <w:bodyDiv w:val="1"/>
      <w:marLeft w:val="0"/>
      <w:marRight w:val="0"/>
      <w:marTop w:val="0"/>
      <w:marBottom w:val="0"/>
      <w:divBdr>
        <w:top w:val="none" w:sz="0" w:space="0" w:color="auto"/>
        <w:left w:val="none" w:sz="0" w:space="0" w:color="auto"/>
        <w:bottom w:val="none" w:sz="0" w:space="0" w:color="auto"/>
        <w:right w:val="none" w:sz="0" w:space="0" w:color="auto"/>
      </w:divBdr>
      <w:divsChild>
        <w:div w:id="1383483071">
          <w:marLeft w:val="547"/>
          <w:marRight w:val="0"/>
          <w:marTop w:val="0"/>
          <w:marBottom w:val="0"/>
          <w:divBdr>
            <w:top w:val="none" w:sz="0" w:space="0" w:color="auto"/>
            <w:left w:val="none" w:sz="0" w:space="0" w:color="auto"/>
            <w:bottom w:val="none" w:sz="0" w:space="0" w:color="auto"/>
            <w:right w:val="none" w:sz="0" w:space="0" w:color="auto"/>
          </w:divBdr>
        </w:div>
        <w:div w:id="425419285">
          <w:marLeft w:val="547"/>
          <w:marRight w:val="0"/>
          <w:marTop w:val="0"/>
          <w:marBottom w:val="0"/>
          <w:divBdr>
            <w:top w:val="none" w:sz="0" w:space="0" w:color="auto"/>
            <w:left w:val="none" w:sz="0" w:space="0" w:color="auto"/>
            <w:bottom w:val="none" w:sz="0" w:space="0" w:color="auto"/>
            <w:right w:val="none" w:sz="0" w:space="0" w:color="auto"/>
          </w:divBdr>
        </w:div>
        <w:div w:id="1767194281">
          <w:marLeft w:val="547"/>
          <w:marRight w:val="0"/>
          <w:marTop w:val="0"/>
          <w:marBottom w:val="0"/>
          <w:divBdr>
            <w:top w:val="none" w:sz="0" w:space="0" w:color="auto"/>
            <w:left w:val="none" w:sz="0" w:space="0" w:color="auto"/>
            <w:bottom w:val="none" w:sz="0" w:space="0" w:color="auto"/>
            <w:right w:val="none" w:sz="0" w:space="0" w:color="auto"/>
          </w:divBdr>
        </w:div>
        <w:div w:id="1678267132">
          <w:marLeft w:val="547"/>
          <w:marRight w:val="0"/>
          <w:marTop w:val="0"/>
          <w:marBottom w:val="0"/>
          <w:divBdr>
            <w:top w:val="none" w:sz="0" w:space="0" w:color="auto"/>
            <w:left w:val="none" w:sz="0" w:space="0" w:color="auto"/>
            <w:bottom w:val="none" w:sz="0" w:space="0" w:color="auto"/>
            <w:right w:val="none" w:sz="0" w:space="0" w:color="auto"/>
          </w:divBdr>
        </w:div>
        <w:div w:id="626009997">
          <w:marLeft w:val="547"/>
          <w:marRight w:val="0"/>
          <w:marTop w:val="0"/>
          <w:marBottom w:val="0"/>
          <w:divBdr>
            <w:top w:val="none" w:sz="0" w:space="0" w:color="auto"/>
            <w:left w:val="none" w:sz="0" w:space="0" w:color="auto"/>
            <w:bottom w:val="none" w:sz="0" w:space="0" w:color="auto"/>
            <w:right w:val="none" w:sz="0" w:space="0" w:color="auto"/>
          </w:divBdr>
        </w:div>
      </w:divsChild>
    </w:div>
    <w:div w:id="1378512125">
      <w:bodyDiv w:val="1"/>
      <w:marLeft w:val="0"/>
      <w:marRight w:val="0"/>
      <w:marTop w:val="0"/>
      <w:marBottom w:val="0"/>
      <w:divBdr>
        <w:top w:val="none" w:sz="0" w:space="0" w:color="auto"/>
        <w:left w:val="none" w:sz="0" w:space="0" w:color="auto"/>
        <w:bottom w:val="none" w:sz="0" w:space="0" w:color="auto"/>
        <w:right w:val="none" w:sz="0" w:space="0" w:color="auto"/>
      </w:divBdr>
    </w:div>
    <w:div w:id="1410806443">
      <w:bodyDiv w:val="1"/>
      <w:marLeft w:val="0"/>
      <w:marRight w:val="0"/>
      <w:marTop w:val="0"/>
      <w:marBottom w:val="0"/>
      <w:divBdr>
        <w:top w:val="none" w:sz="0" w:space="0" w:color="auto"/>
        <w:left w:val="none" w:sz="0" w:space="0" w:color="auto"/>
        <w:bottom w:val="none" w:sz="0" w:space="0" w:color="auto"/>
        <w:right w:val="none" w:sz="0" w:space="0" w:color="auto"/>
      </w:divBdr>
    </w:div>
    <w:div w:id="1444307435">
      <w:bodyDiv w:val="1"/>
      <w:marLeft w:val="0"/>
      <w:marRight w:val="0"/>
      <w:marTop w:val="0"/>
      <w:marBottom w:val="0"/>
      <w:divBdr>
        <w:top w:val="none" w:sz="0" w:space="0" w:color="auto"/>
        <w:left w:val="none" w:sz="0" w:space="0" w:color="auto"/>
        <w:bottom w:val="none" w:sz="0" w:space="0" w:color="auto"/>
        <w:right w:val="none" w:sz="0" w:space="0" w:color="auto"/>
      </w:divBdr>
    </w:div>
    <w:div w:id="1469201759">
      <w:bodyDiv w:val="1"/>
      <w:marLeft w:val="0"/>
      <w:marRight w:val="0"/>
      <w:marTop w:val="0"/>
      <w:marBottom w:val="0"/>
      <w:divBdr>
        <w:top w:val="none" w:sz="0" w:space="0" w:color="auto"/>
        <w:left w:val="none" w:sz="0" w:space="0" w:color="auto"/>
        <w:bottom w:val="none" w:sz="0" w:space="0" w:color="auto"/>
        <w:right w:val="none" w:sz="0" w:space="0" w:color="auto"/>
      </w:divBdr>
    </w:div>
    <w:div w:id="1608003229">
      <w:bodyDiv w:val="1"/>
      <w:marLeft w:val="0"/>
      <w:marRight w:val="0"/>
      <w:marTop w:val="0"/>
      <w:marBottom w:val="0"/>
      <w:divBdr>
        <w:top w:val="none" w:sz="0" w:space="0" w:color="auto"/>
        <w:left w:val="none" w:sz="0" w:space="0" w:color="auto"/>
        <w:bottom w:val="none" w:sz="0" w:space="0" w:color="auto"/>
        <w:right w:val="none" w:sz="0" w:space="0" w:color="auto"/>
      </w:divBdr>
    </w:div>
    <w:div w:id="1610817142">
      <w:bodyDiv w:val="1"/>
      <w:marLeft w:val="0"/>
      <w:marRight w:val="0"/>
      <w:marTop w:val="0"/>
      <w:marBottom w:val="0"/>
      <w:divBdr>
        <w:top w:val="none" w:sz="0" w:space="0" w:color="auto"/>
        <w:left w:val="none" w:sz="0" w:space="0" w:color="auto"/>
        <w:bottom w:val="none" w:sz="0" w:space="0" w:color="auto"/>
        <w:right w:val="none" w:sz="0" w:space="0" w:color="auto"/>
      </w:divBdr>
    </w:div>
    <w:div w:id="1662537356">
      <w:bodyDiv w:val="1"/>
      <w:marLeft w:val="0"/>
      <w:marRight w:val="0"/>
      <w:marTop w:val="0"/>
      <w:marBottom w:val="0"/>
      <w:divBdr>
        <w:top w:val="none" w:sz="0" w:space="0" w:color="auto"/>
        <w:left w:val="none" w:sz="0" w:space="0" w:color="auto"/>
        <w:bottom w:val="none" w:sz="0" w:space="0" w:color="auto"/>
        <w:right w:val="none" w:sz="0" w:space="0" w:color="auto"/>
      </w:divBdr>
    </w:div>
    <w:div w:id="1686790316">
      <w:bodyDiv w:val="1"/>
      <w:marLeft w:val="0"/>
      <w:marRight w:val="0"/>
      <w:marTop w:val="0"/>
      <w:marBottom w:val="0"/>
      <w:divBdr>
        <w:top w:val="none" w:sz="0" w:space="0" w:color="auto"/>
        <w:left w:val="none" w:sz="0" w:space="0" w:color="auto"/>
        <w:bottom w:val="none" w:sz="0" w:space="0" w:color="auto"/>
        <w:right w:val="none" w:sz="0" w:space="0" w:color="auto"/>
      </w:divBdr>
    </w:div>
    <w:div w:id="1738094448">
      <w:bodyDiv w:val="1"/>
      <w:marLeft w:val="0"/>
      <w:marRight w:val="0"/>
      <w:marTop w:val="0"/>
      <w:marBottom w:val="0"/>
      <w:divBdr>
        <w:top w:val="none" w:sz="0" w:space="0" w:color="auto"/>
        <w:left w:val="none" w:sz="0" w:space="0" w:color="auto"/>
        <w:bottom w:val="none" w:sz="0" w:space="0" w:color="auto"/>
        <w:right w:val="none" w:sz="0" w:space="0" w:color="auto"/>
      </w:divBdr>
    </w:div>
    <w:div w:id="1750495343">
      <w:bodyDiv w:val="1"/>
      <w:marLeft w:val="0"/>
      <w:marRight w:val="0"/>
      <w:marTop w:val="0"/>
      <w:marBottom w:val="0"/>
      <w:divBdr>
        <w:top w:val="none" w:sz="0" w:space="0" w:color="auto"/>
        <w:left w:val="none" w:sz="0" w:space="0" w:color="auto"/>
        <w:bottom w:val="none" w:sz="0" w:space="0" w:color="auto"/>
        <w:right w:val="none" w:sz="0" w:space="0" w:color="auto"/>
      </w:divBdr>
    </w:div>
    <w:div w:id="1762800005">
      <w:bodyDiv w:val="1"/>
      <w:marLeft w:val="0"/>
      <w:marRight w:val="0"/>
      <w:marTop w:val="0"/>
      <w:marBottom w:val="0"/>
      <w:divBdr>
        <w:top w:val="none" w:sz="0" w:space="0" w:color="auto"/>
        <w:left w:val="none" w:sz="0" w:space="0" w:color="auto"/>
        <w:bottom w:val="none" w:sz="0" w:space="0" w:color="auto"/>
        <w:right w:val="none" w:sz="0" w:space="0" w:color="auto"/>
      </w:divBdr>
    </w:div>
    <w:div w:id="1802115446">
      <w:bodyDiv w:val="1"/>
      <w:marLeft w:val="0"/>
      <w:marRight w:val="0"/>
      <w:marTop w:val="0"/>
      <w:marBottom w:val="0"/>
      <w:divBdr>
        <w:top w:val="none" w:sz="0" w:space="0" w:color="auto"/>
        <w:left w:val="none" w:sz="0" w:space="0" w:color="auto"/>
        <w:bottom w:val="none" w:sz="0" w:space="0" w:color="auto"/>
        <w:right w:val="none" w:sz="0" w:space="0" w:color="auto"/>
      </w:divBdr>
    </w:div>
    <w:div w:id="1839540777">
      <w:bodyDiv w:val="1"/>
      <w:marLeft w:val="0"/>
      <w:marRight w:val="0"/>
      <w:marTop w:val="0"/>
      <w:marBottom w:val="0"/>
      <w:divBdr>
        <w:top w:val="none" w:sz="0" w:space="0" w:color="auto"/>
        <w:left w:val="none" w:sz="0" w:space="0" w:color="auto"/>
        <w:bottom w:val="none" w:sz="0" w:space="0" w:color="auto"/>
        <w:right w:val="none" w:sz="0" w:space="0" w:color="auto"/>
      </w:divBdr>
    </w:div>
    <w:div w:id="1908877471">
      <w:bodyDiv w:val="1"/>
      <w:marLeft w:val="0"/>
      <w:marRight w:val="0"/>
      <w:marTop w:val="0"/>
      <w:marBottom w:val="0"/>
      <w:divBdr>
        <w:top w:val="none" w:sz="0" w:space="0" w:color="auto"/>
        <w:left w:val="none" w:sz="0" w:space="0" w:color="auto"/>
        <w:bottom w:val="none" w:sz="0" w:space="0" w:color="auto"/>
        <w:right w:val="none" w:sz="0" w:space="0" w:color="auto"/>
      </w:divBdr>
    </w:div>
    <w:div w:id="1931350001">
      <w:bodyDiv w:val="1"/>
      <w:marLeft w:val="0"/>
      <w:marRight w:val="0"/>
      <w:marTop w:val="0"/>
      <w:marBottom w:val="0"/>
      <w:divBdr>
        <w:top w:val="none" w:sz="0" w:space="0" w:color="auto"/>
        <w:left w:val="none" w:sz="0" w:space="0" w:color="auto"/>
        <w:bottom w:val="none" w:sz="0" w:space="0" w:color="auto"/>
        <w:right w:val="none" w:sz="0" w:space="0" w:color="auto"/>
      </w:divBdr>
    </w:div>
    <w:div w:id="1941638630">
      <w:bodyDiv w:val="1"/>
      <w:marLeft w:val="0"/>
      <w:marRight w:val="0"/>
      <w:marTop w:val="0"/>
      <w:marBottom w:val="0"/>
      <w:divBdr>
        <w:top w:val="none" w:sz="0" w:space="0" w:color="auto"/>
        <w:left w:val="none" w:sz="0" w:space="0" w:color="auto"/>
        <w:bottom w:val="none" w:sz="0" w:space="0" w:color="auto"/>
        <w:right w:val="none" w:sz="0" w:space="0" w:color="auto"/>
      </w:divBdr>
    </w:div>
    <w:div w:id="2084445139">
      <w:bodyDiv w:val="1"/>
      <w:marLeft w:val="0"/>
      <w:marRight w:val="0"/>
      <w:marTop w:val="0"/>
      <w:marBottom w:val="0"/>
      <w:divBdr>
        <w:top w:val="none" w:sz="0" w:space="0" w:color="auto"/>
        <w:left w:val="none" w:sz="0" w:space="0" w:color="auto"/>
        <w:bottom w:val="none" w:sz="0" w:space="0" w:color="auto"/>
        <w:right w:val="none" w:sz="0" w:space="0" w:color="auto"/>
      </w:divBdr>
      <w:divsChild>
        <w:div w:id="1271163530">
          <w:marLeft w:val="547"/>
          <w:marRight w:val="0"/>
          <w:marTop w:val="0"/>
          <w:marBottom w:val="0"/>
          <w:divBdr>
            <w:top w:val="none" w:sz="0" w:space="0" w:color="auto"/>
            <w:left w:val="none" w:sz="0" w:space="0" w:color="auto"/>
            <w:bottom w:val="none" w:sz="0" w:space="0" w:color="auto"/>
            <w:right w:val="none" w:sz="0" w:space="0" w:color="auto"/>
          </w:divBdr>
        </w:div>
        <w:div w:id="1750731913">
          <w:marLeft w:val="1166"/>
          <w:marRight w:val="0"/>
          <w:marTop w:val="0"/>
          <w:marBottom w:val="0"/>
          <w:divBdr>
            <w:top w:val="none" w:sz="0" w:space="0" w:color="auto"/>
            <w:left w:val="none" w:sz="0" w:space="0" w:color="auto"/>
            <w:bottom w:val="none" w:sz="0" w:space="0" w:color="auto"/>
            <w:right w:val="none" w:sz="0" w:space="0" w:color="auto"/>
          </w:divBdr>
        </w:div>
        <w:div w:id="2105572303">
          <w:marLeft w:val="1166"/>
          <w:marRight w:val="0"/>
          <w:marTop w:val="0"/>
          <w:marBottom w:val="0"/>
          <w:divBdr>
            <w:top w:val="none" w:sz="0" w:space="0" w:color="auto"/>
            <w:left w:val="none" w:sz="0" w:space="0" w:color="auto"/>
            <w:bottom w:val="none" w:sz="0" w:space="0" w:color="auto"/>
            <w:right w:val="none" w:sz="0" w:space="0" w:color="auto"/>
          </w:divBdr>
        </w:div>
        <w:div w:id="1862621373">
          <w:marLeft w:val="547"/>
          <w:marRight w:val="0"/>
          <w:marTop w:val="0"/>
          <w:marBottom w:val="0"/>
          <w:divBdr>
            <w:top w:val="none" w:sz="0" w:space="0" w:color="auto"/>
            <w:left w:val="none" w:sz="0" w:space="0" w:color="auto"/>
            <w:bottom w:val="none" w:sz="0" w:space="0" w:color="auto"/>
            <w:right w:val="none" w:sz="0" w:space="0" w:color="auto"/>
          </w:divBdr>
        </w:div>
        <w:div w:id="1651325223">
          <w:marLeft w:val="1166"/>
          <w:marRight w:val="0"/>
          <w:marTop w:val="0"/>
          <w:marBottom w:val="0"/>
          <w:divBdr>
            <w:top w:val="none" w:sz="0" w:space="0" w:color="auto"/>
            <w:left w:val="none" w:sz="0" w:space="0" w:color="auto"/>
            <w:bottom w:val="none" w:sz="0" w:space="0" w:color="auto"/>
            <w:right w:val="none" w:sz="0" w:space="0" w:color="auto"/>
          </w:divBdr>
        </w:div>
        <w:div w:id="567106591">
          <w:marLeft w:val="1166"/>
          <w:marRight w:val="0"/>
          <w:marTop w:val="0"/>
          <w:marBottom w:val="0"/>
          <w:divBdr>
            <w:top w:val="none" w:sz="0" w:space="0" w:color="auto"/>
            <w:left w:val="none" w:sz="0" w:space="0" w:color="auto"/>
            <w:bottom w:val="none" w:sz="0" w:space="0" w:color="auto"/>
            <w:right w:val="none" w:sz="0" w:space="0" w:color="auto"/>
          </w:divBdr>
        </w:div>
        <w:div w:id="1001734012">
          <w:marLeft w:val="547"/>
          <w:marRight w:val="0"/>
          <w:marTop w:val="0"/>
          <w:marBottom w:val="0"/>
          <w:divBdr>
            <w:top w:val="none" w:sz="0" w:space="0" w:color="auto"/>
            <w:left w:val="none" w:sz="0" w:space="0" w:color="auto"/>
            <w:bottom w:val="none" w:sz="0" w:space="0" w:color="auto"/>
            <w:right w:val="none" w:sz="0" w:space="0" w:color="auto"/>
          </w:divBdr>
        </w:div>
        <w:div w:id="153034428">
          <w:marLeft w:val="1166"/>
          <w:marRight w:val="0"/>
          <w:marTop w:val="0"/>
          <w:marBottom w:val="0"/>
          <w:divBdr>
            <w:top w:val="none" w:sz="0" w:space="0" w:color="auto"/>
            <w:left w:val="none" w:sz="0" w:space="0" w:color="auto"/>
            <w:bottom w:val="none" w:sz="0" w:space="0" w:color="auto"/>
            <w:right w:val="none" w:sz="0" w:space="0" w:color="auto"/>
          </w:divBdr>
        </w:div>
        <w:div w:id="542718330">
          <w:marLeft w:val="1166"/>
          <w:marRight w:val="0"/>
          <w:marTop w:val="0"/>
          <w:marBottom w:val="0"/>
          <w:divBdr>
            <w:top w:val="none" w:sz="0" w:space="0" w:color="auto"/>
            <w:left w:val="none" w:sz="0" w:space="0" w:color="auto"/>
            <w:bottom w:val="none" w:sz="0" w:space="0" w:color="auto"/>
            <w:right w:val="none" w:sz="0" w:space="0" w:color="auto"/>
          </w:divBdr>
        </w:div>
        <w:div w:id="197401927">
          <w:marLeft w:val="547"/>
          <w:marRight w:val="0"/>
          <w:marTop w:val="0"/>
          <w:marBottom w:val="0"/>
          <w:divBdr>
            <w:top w:val="none" w:sz="0" w:space="0" w:color="auto"/>
            <w:left w:val="none" w:sz="0" w:space="0" w:color="auto"/>
            <w:bottom w:val="none" w:sz="0" w:space="0" w:color="auto"/>
            <w:right w:val="none" w:sz="0" w:space="0" w:color="auto"/>
          </w:divBdr>
        </w:div>
        <w:div w:id="741370168">
          <w:marLeft w:val="1166"/>
          <w:marRight w:val="0"/>
          <w:marTop w:val="0"/>
          <w:marBottom w:val="0"/>
          <w:divBdr>
            <w:top w:val="none" w:sz="0" w:space="0" w:color="auto"/>
            <w:left w:val="none" w:sz="0" w:space="0" w:color="auto"/>
            <w:bottom w:val="none" w:sz="0" w:space="0" w:color="auto"/>
            <w:right w:val="none" w:sz="0" w:space="0" w:color="auto"/>
          </w:divBdr>
        </w:div>
        <w:div w:id="891885743">
          <w:marLeft w:val="1166"/>
          <w:marRight w:val="0"/>
          <w:marTop w:val="0"/>
          <w:marBottom w:val="0"/>
          <w:divBdr>
            <w:top w:val="none" w:sz="0" w:space="0" w:color="auto"/>
            <w:left w:val="none" w:sz="0" w:space="0" w:color="auto"/>
            <w:bottom w:val="none" w:sz="0" w:space="0" w:color="auto"/>
            <w:right w:val="none" w:sz="0" w:space="0" w:color="auto"/>
          </w:divBdr>
        </w:div>
      </w:divsChild>
    </w:div>
    <w:div w:id="2135250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image" Target="media/image1.emf"/><Relationship Id="rId26" Type="http://schemas.openxmlformats.org/officeDocument/2006/relationships/image" Target="media/image4.png"/><Relationship Id="rId39" Type="http://schemas.openxmlformats.org/officeDocument/2006/relationships/diagramLayout" Target="diagrams/layout3.xml"/><Relationship Id="rId21" Type="http://schemas.openxmlformats.org/officeDocument/2006/relationships/package" Target="embeddings/List_aplikace_Microsoft_Office_Excel2.xlsx"/><Relationship Id="rId34" Type="http://schemas.openxmlformats.org/officeDocument/2006/relationships/chart" Target="charts/chart11.xml"/><Relationship Id="rId42" Type="http://schemas.microsoft.com/office/2007/relationships/diagramDrawing" Target="diagrams/drawing3.xml"/><Relationship Id="rId47" Type="http://schemas.microsoft.com/office/2007/relationships/diagramDrawing" Target="diagrams/drawing4.xml"/><Relationship Id="rId50" Type="http://schemas.openxmlformats.org/officeDocument/2006/relationships/diagramQuickStyle" Target="diagrams/quickStyle5.xml"/><Relationship Id="rId55" Type="http://schemas.openxmlformats.org/officeDocument/2006/relationships/image" Target="media/image5.emf"/><Relationship Id="rId63" Type="http://schemas.openxmlformats.org/officeDocument/2006/relationships/chart" Target="charts/chart24.xml"/><Relationship Id="rId68" Type="http://schemas.openxmlformats.org/officeDocument/2006/relationships/hyperlink" Target="http://cs.wikipedia.org/wiki/Poslaneck%C3%A1_sn%C4%9Bmovna" TargetMode="External"/><Relationship Id="rId76" Type="http://schemas.openxmlformats.org/officeDocument/2006/relationships/hyperlink" Target="http://www.mfcr.cz/cps/rde/xchg/mfcr/xsl/tiskove_zpravy_56806.html?year=2010" TargetMode="External"/><Relationship Id="rId84"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cs.wikipedia.org/wiki/Poslaneck%C3%A1_sn%C4%9Bmovna_Parlamentu_%C4%8Cesk%C3%A9_republiky" TargetMode="Externa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chart" Target="charts/chart6.xml"/><Relationship Id="rId11" Type="http://schemas.openxmlformats.org/officeDocument/2006/relationships/diagramColors" Target="diagrams/colors1.xml"/><Relationship Id="rId24" Type="http://schemas.openxmlformats.org/officeDocument/2006/relationships/chart" Target="charts/chart2.xml"/><Relationship Id="rId32" Type="http://schemas.openxmlformats.org/officeDocument/2006/relationships/chart" Target="charts/chart9.xml"/><Relationship Id="rId37" Type="http://schemas.openxmlformats.org/officeDocument/2006/relationships/chart" Target="charts/chart14.xml"/><Relationship Id="rId40" Type="http://schemas.openxmlformats.org/officeDocument/2006/relationships/diagramQuickStyle" Target="diagrams/quickStyle3.xml"/><Relationship Id="rId45" Type="http://schemas.openxmlformats.org/officeDocument/2006/relationships/diagramQuickStyle" Target="diagrams/quickStyle4.xml"/><Relationship Id="rId53" Type="http://schemas.openxmlformats.org/officeDocument/2006/relationships/chart" Target="charts/chart15.xml"/><Relationship Id="rId58" Type="http://schemas.openxmlformats.org/officeDocument/2006/relationships/chart" Target="charts/chart19.xml"/><Relationship Id="rId66" Type="http://schemas.openxmlformats.org/officeDocument/2006/relationships/chart" Target="charts/chart27.xml"/><Relationship Id="rId74" Type="http://schemas.openxmlformats.org/officeDocument/2006/relationships/hyperlink" Target="http://www.businessinfo.cz/cz/clanek/analyzy-statistiky/hlavni-makroekonomicke-ukazatele-cr/1000431/49089/" TargetMode="External"/><Relationship Id="rId79" Type="http://schemas.openxmlformats.org/officeDocument/2006/relationships/hyperlink" Target="http://www.federalreserve.gov/boarddocs/speeches/2005/200503102/default.htm" TargetMode="External"/><Relationship Id="rId5" Type="http://schemas.openxmlformats.org/officeDocument/2006/relationships/webSettings" Target="webSettings.xml"/><Relationship Id="rId61" Type="http://schemas.openxmlformats.org/officeDocument/2006/relationships/chart" Target="charts/chart22.xml"/><Relationship Id="rId82" Type="http://schemas.openxmlformats.org/officeDocument/2006/relationships/chart" Target="charts/chart29.xml"/><Relationship Id="rId19" Type="http://schemas.openxmlformats.org/officeDocument/2006/relationships/package" Target="embeddings/List_aplikace_Microsoft_Office_Excel1.xlsx"/><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image" Target="media/image3.png"/><Relationship Id="rId27" Type="http://schemas.openxmlformats.org/officeDocument/2006/relationships/chart" Target="charts/chart4.xml"/><Relationship Id="rId30" Type="http://schemas.openxmlformats.org/officeDocument/2006/relationships/chart" Target="charts/chart7.xml"/><Relationship Id="rId35" Type="http://schemas.openxmlformats.org/officeDocument/2006/relationships/chart" Target="charts/chart12.xml"/><Relationship Id="rId43" Type="http://schemas.openxmlformats.org/officeDocument/2006/relationships/diagramData" Target="diagrams/data4.xml"/><Relationship Id="rId48" Type="http://schemas.openxmlformats.org/officeDocument/2006/relationships/diagramData" Target="diagrams/data5.xml"/><Relationship Id="rId56" Type="http://schemas.openxmlformats.org/officeDocument/2006/relationships/chart" Target="charts/chart17.xml"/><Relationship Id="rId64" Type="http://schemas.openxmlformats.org/officeDocument/2006/relationships/chart" Target="charts/chart25.xml"/><Relationship Id="rId69" Type="http://schemas.openxmlformats.org/officeDocument/2006/relationships/hyperlink" Target="http://cs.wikipedia.org/wiki/Parlament" TargetMode="External"/><Relationship Id="rId77" Type="http://schemas.openxmlformats.org/officeDocument/2006/relationships/hyperlink" Target="http://www.vlada.cz/cz/clenove-vlady/historie-minulych-vlad/prehled-vlad-cr/default.htm" TargetMode="External"/><Relationship Id="rId8" Type="http://schemas.openxmlformats.org/officeDocument/2006/relationships/diagramData" Target="diagrams/data1.xml"/><Relationship Id="rId51" Type="http://schemas.openxmlformats.org/officeDocument/2006/relationships/diagramColors" Target="diagrams/colors5.xml"/><Relationship Id="rId72" Type="http://schemas.openxmlformats.org/officeDocument/2006/relationships/hyperlink" Target="http://www.census.gov/prod/2008pubs/h150-07.pdf" TargetMode="External"/><Relationship Id="rId80" Type="http://schemas.openxmlformats.org/officeDocument/2006/relationships/hyperlink" Target="http://www.cnb.cz/miranda2/export/sites/www.cnb.cz/cs/financni_stabilita/zatezove_testy/2010/zatezove_testy_vysledky_2009_4q.pdf" TargetMode="External"/><Relationship Id="rId85" Type="http://schemas.openxmlformats.org/officeDocument/2006/relationships/theme" Target="theme/theme1.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chart" Target="charts/chart3.xml"/><Relationship Id="rId33" Type="http://schemas.openxmlformats.org/officeDocument/2006/relationships/chart" Target="charts/chart10.xml"/><Relationship Id="rId38" Type="http://schemas.openxmlformats.org/officeDocument/2006/relationships/diagramData" Target="diagrams/data3.xml"/><Relationship Id="rId46" Type="http://schemas.openxmlformats.org/officeDocument/2006/relationships/diagramColors" Target="diagrams/colors4.xml"/><Relationship Id="rId59" Type="http://schemas.openxmlformats.org/officeDocument/2006/relationships/chart" Target="charts/chart20.xml"/><Relationship Id="rId67" Type="http://schemas.openxmlformats.org/officeDocument/2006/relationships/chart" Target="charts/chart28.xml"/><Relationship Id="rId20" Type="http://schemas.openxmlformats.org/officeDocument/2006/relationships/image" Target="media/image2.emf"/><Relationship Id="rId41" Type="http://schemas.openxmlformats.org/officeDocument/2006/relationships/diagramColors" Target="diagrams/colors3.xml"/><Relationship Id="rId54" Type="http://schemas.openxmlformats.org/officeDocument/2006/relationships/chart" Target="charts/chart16.xml"/><Relationship Id="rId62" Type="http://schemas.openxmlformats.org/officeDocument/2006/relationships/chart" Target="charts/chart23.xml"/><Relationship Id="rId70" Type="http://schemas.openxmlformats.org/officeDocument/2006/relationships/hyperlink" Target="http://cs.wikipedia.org/wiki/%C4%8Cesk%C3%A1_republika" TargetMode="External"/><Relationship Id="rId75" Type="http://schemas.openxmlformats.org/officeDocument/2006/relationships/hyperlink" Target="http://www.vlada.cz/assets/media-centrum/predstavujeme/narodni-protikrizovy-plan.pdf" TargetMode="External"/><Relationship Id="rId83"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chart" Target="charts/chart1.xml"/><Relationship Id="rId28" Type="http://schemas.openxmlformats.org/officeDocument/2006/relationships/chart" Target="charts/chart5.xml"/><Relationship Id="rId36" Type="http://schemas.openxmlformats.org/officeDocument/2006/relationships/chart" Target="charts/chart13.xml"/><Relationship Id="rId49" Type="http://schemas.openxmlformats.org/officeDocument/2006/relationships/diagramLayout" Target="diagrams/layout5.xml"/><Relationship Id="rId57" Type="http://schemas.openxmlformats.org/officeDocument/2006/relationships/chart" Target="charts/chart18.xml"/><Relationship Id="rId10" Type="http://schemas.openxmlformats.org/officeDocument/2006/relationships/diagramQuickStyle" Target="diagrams/quickStyle1.xml"/><Relationship Id="rId31" Type="http://schemas.openxmlformats.org/officeDocument/2006/relationships/chart" Target="charts/chart8.xml"/><Relationship Id="rId44" Type="http://schemas.openxmlformats.org/officeDocument/2006/relationships/diagramLayout" Target="diagrams/layout4.xml"/><Relationship Id="rId52" Type="http://schemas.microsoft.com/office/2007/relationships/diagramDrawing" Target="diagrams/drawing5.xml"/><Relationship Id="rId60" Type="http://schemas.openxmlformats.org/officeDocument/2006/relationships/chart" Target="charts/chart21.xml"/><Relationship Id="rId65" Type="http://schemas.openxmlformats.org/officeDocument/2006/relationships/chart" Target="charts/chart26.xml"/><Relationship Id="rId73" Type="http://schemas.openxmlformats.org/officeDocument/2006/relationships/hyperlink" Target="http://www.cnb.cz/cs/verejnost/pro_media/clanky_rozhovory/media_2009/cl_09_090630.html" TargetMode="External"/><Relationship Id="rId78" Type="http://schemas.openxmlformats.org/officeDocument/2006/relationships/hyperlink" Target="http://cowles.econ.yale.edu/P/cd/d11b/d1150.pdf" TargetMode="External"/><Relationship Id="rId81" Type="http://schemas.openxmlformats.org/officeDocument/2006/relationships/hyperlink" Target="http://www.vlada.cz/assets/media-centrum/dulezite-dokumenty/zaverecna-zprava-NERV.pdf"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Se&#353;it1" TargetMode="External"/></Relationships>
</file>

<file path=word/charts/_rels/chart10.xml.rels><?xml version="1.0" encoding="UTF-8" standalone="yes"?>
<Relationships xmlns="http://schemas.openxmlformats.org/package/2006/relationships"><Relationship Id="rId2" Type="http://schemas.openxmlformats.org/officeDocument/2006/relationships/package" Target="../embeddings/List_aplikace_Microsoft_Office_Excel9.xlsx"/><Relationship Id="rId1" Type="http://schemas.openxmlformats.org/officeDocument/2006/relationships/themeOverride" Target="../theme/themeOverride3.xml"/></Relationships>
</file>

<file path=word/charts/_rels/chart11.xml.rels><?xml version="1.0" encoding="UTF-8" standalone="yes"?>
<Relationships xmlns="http://schemas.openxmlformats.org/package/2006/relationships"><Relationship Id="rId2" Type="http://schemas.openxmlformats.org/officeDocument/2006/relationships/package" Target="../embeddings/List_aplikace_Microsoft_Office_Excel10.xlsx"/><Relationship Id="rId1" Type="http://schemas.openxmlformats.org/officeDocument/2006/relationships/themeOverride" Target="../theme/themeOverride4.xml"/></Relationships>
</file>

<file path=word/charts/_rels/chart12.xml.rels><?xml version="1.0" encoding="UTF-8" standalone="yes"?>
<Relationships xmlns="http://schemas.openxmlformats.org/package/2006/relationships"><Relationship Id="rId2" Type="http://schemas.openxmlformats.org/officeDocument/2006/relationships/package" Target="../embeddings/List_aplikace_Microsoft_Office_Excel11.xlsx"/><Relationship Id="rId1" Type="http://schemas.openxmlformats.org/officeDocument/2006/relationships/themeOverride" Target="../theme/themeOverride5.xml"/></Relationships>
</file>

<file path=word/charts/_rels/chart13.xml.rels><?xml version="1.0" encoding="UTF-8" standalone="yes"?>
<Relationships xmlns="http://schemas.openxmlformats.org/package/2006/relationships"><Relationship Id="rId2" Type="http://schemas.openxmlformats.org/officeDocument/2006/relationships/package" Target="../embeddings/List_aplikace_Microsoft_Office_Excel12.xlsx"/><Relationship Id="rId1" Type="http://schemas.openxmlformats.org/officeDocument/2006/relationships/themeOverride" Target="../theme/themeOverride6.xml"/></Relationships>
</file>

<file path=word/charts/_rels/chart14.xml.rels><?xml version="1.0" encoding="UTF-8" standalone="yes"?>
<Relationships xmlns="http://schemas.openxmlformats.org/package/2006/relationships"><Relationship Id="rId2" Type="http://schemas.openxmlformats.org/officeDocument/2006/relationships/package" Target="../embeddings/List_aplikace_Microsoft_Office_Excel13.xlsx"/><Relationship Id="rId1" Type="http://schemas.openxmlformats.org/officeDocument/2006/relationships/themeOverride" Target="../theme/themeOverride7.xml"/></Relationships>
</file>

<file path=word/charts/_rels/chart15.xml.rels><?xml version="1.0" encoding="UTF-8" standalone="yes"?>
<Relationships xmlns="http://schemas.openxmlformats.org/package/2006/relationships"><Relationship Id="rId2" Type="http://schemas.openxmlformats.org/officeDocument/2006/relationships/package" Target="../embeddings/List_aplikace_Microsoft_Office_Excel14.xlsx"/><Relationship Id="rId1" Type="http://schemas.openxmlformats.org/officeDocument/2006/relationships/themeOverride" Target="../theme/themeOverride8.xml"/></Relationships>
</file>

<file path=word/charts/_rels/chart16.xml.rels><?xml version="1.0" encoding="UTF-8" standalone="yes"?>
<Relationships xmlns="http://schemas.openxmlformats.org/package/2006/relationships"><Relationship Id="rId2" Type="http://schemas.openxmlformats.org/officeDocument/2006/relationships/package" Target="../embeddings/List_aplikace_Microsoft_Office_Excel15.xlsx"/><Relationship Id="rId1" Type="http://schemas.openxmlformats.org/officeDocument/2006/relationships/themeOverride" Target="../theme/themeOverride9.xml"/></Relationships>
</file>

<file path=word/charts/_rels/chart17.xml.rels><?xml version="1.0" encoding="UTF-8" standalone="yes"?>
<Relationships xmlns="http://schemas.openxmlformats.org/package/2006/relationships"><Relationship Id="rId2" Type="http://schemas.openxmlformats.org/officeDocument/2006/relationships/oleObject" Target="Se&#353;it1" TargetMode="External"/><Relationship Id="rId1" Type="http://schemas.openxmlformats.org/officeDocument/2006/relationships/themeOverride" Target="../theme/themeOverride10.xml"/></Relationships>
</file>

<file path=word/charts/_rels/chart18.xml.rels><?xml version="1.0" encoding="UTF-8" standalone="yes"?>
<Relationships xmlns="http://schemas.openxmlformats.org/package/2006/relationships"><Relationship Id="rId1" Type="http://schemas.openxmlformats.org/officeDocument/2006/relationships/package" Target="../embeddings/List_aplikace_Microsoft_Office_Excel16.xlsx"/></Relationships>
</file>

<file path=word/charts/_rels/chart19.xml.rels><?xml version="1.0" encoding="UTF-8" standalone="yes"?>
<Relationships xmlns="http://schemas.openxmlformats.org/package/2006/relationships"><Relationship Id="rId2" Type="http://schemas.openxmlformats.org/officeDocument/2006/relationships/package" Target="../embeddings/List_aplikace_Microsoft_Office_Excel17.xlsx"/><Relationship Id="rId1" Type="http://schemas.openxmlformats.org/officeDocument/2006/relationships/themeOverride" Target="../theme/themeOverride11.xm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Marek%20&#352;&#237;po&#353;\Desktop\Se&#353;it1.xlsx" TargetMode="External"/></Relationships>
</file>

<file path=word/charts/_rels/chart20.xml.rels><?xml version="1.0" encoding="UTF-8" standalone="yes"?>
<Relationships xmlns="http://schemas.openxmlformats.org/package/2006/relationships"><Relationship Id="rId1" Type="http://schemas.openxmlformats.org/officeDocument/2006/relationships/package" Target="../embeddings/List_aplikace_Microsoft_Office_Excel18.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List_aplikace_Microsoft_Office_Excel19.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List_aplikace_Microsoft_Office_Excel20.xlsx"/></Relationships>
</file>

<file path=word/charts/_rels/chart23.xml.rels><?xml version="1.0" encoding="UTF-8" standalone="yes"?>
<Relationships xmlns="http://schemas.openxmlformats.org/package/2006/relationships"><Relationship Id="rId2" Type="http://schemas.openxmlformats.org/officeDocument/2006/relationships/package" Target="../embeddings/List_aplikace_Microsoft_Office_Excel21.xlsx"/><Relationship Id="rId1" Type="http://schemas.openxmlformats.org/officeDocument/2006/relationships/themeOverride" Target="../theme/themeOverride12.xml"/></Relationships>
</file>

<file path=word/charts/_rels/chart24.xml.rels><?xml version="1.0" encoding="UTF-8" standalone="yes"?>
<Relationships xmlns="http://schemas.openxmlformats.org/package/2006/relationships"><Relationship Id="rId2" Type="http://schemas.openxmlformats.org/officeDocument/2006/relationships/package" Target="../embeddings/List_aplikace_Microsoft_Office_Excel22.xlsx"/><Relationship Id="rId1" Type="http://schemas.openxmlformats.org/officeDocument/2006/relationships/themeOverride" Target="../theme/themeOverride13.xml"/></Relationships>
</file>

<file path=word/charts/_rels/chart25.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oleObject" Target="file:///C:\Users\Marek%20&#352;&#237;po&#353;\Desktop\gpru030910_2.xls" TargetMode="External"/><Relationship Id="rId1" Type="http://schemas.openxmlformats.org/officeDocument/2006/relationships/themeOverride" Target="../theme/themeOverride14.xml"/></Relationships>
</file>

<file path=word/charts/_rels/chart26.xml.rels><?xml version="1.0" encoding="UTF-8" standalone="yes"?>
<Relationships xmlns="http://schemas.openxmlformats.org/package/2006/relationships"><Relationship Id="rId2" Type="http://schemas.openxmlformats.org/officeDocument/2006/relationships/package" Target="../embeddings/List_aplikace_Microsoft_Office_Excel23.xlsx"/><Relationship Id="rId1" Type="http://schemas.openxmlformats.org/officeDocument/2006/relationships/themeOverride" Target="../theme/themeOverride15.xml"/></Relationships>
</file>

<file path=word/charts/_rels/chart27.xml.rels><?xml version="1.0" encoding="UTF-8" standalone="yes"?>
<Relationships xmlns="http://schemas.openxmlformats.org/package/2006/relationships"><Relationship Id="rId2" Type="http://schemas.openxmlformats.org/officeDocument/2006/relationships/package" Target="../embeddings/List_aplikace_Microsoft_Office_Excel24.xlsx"/><Relationship Id="rId1" Type="http://schemas.openxmlformats.org/officeDocument/2006/relationships/themeOverride" Target="../theme/themeOverride16.xml"/></Relationships>
</file>

<file path=word/charts/_rels/chart28.xml.rels><?xml version="1.0" encoding="UTF-8" standalone="yes"?>
<Relationships xmlns="http://schemas.openxmlformats.org/package/2006/relationships"><Relationship Id="rId1" Type="http://schemas.openxmlformats.org/officeDocument/2006/relationships/package" Target="../embeddings/List_aplikace_Microsoft_Office_Excel25.xlsx"/></Relationships>
</file>

<file path=word/charts/_rels/chart29.xml.rels><?xml version="1.0" encoding="UTF-8" standalone="yes"?>
<Relationships xmlns="http://schemas.openxmlformats.org/package/2006/relationships"><Relationship Id="rId1" Type="http://schemas.openxmlformats.org/officeDocument/2006/relationships/package" Target="../embeddings/List_aplikace_Microsoft_Office_Excel26.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Se&#353;it1"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List_aplikace_Microsoft_Office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List_aplikace_Microsoft_Office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List_aplikace_Microsoft_Office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List_aplikace_Microsoft_Office_Excel6.xlsx"/></Relationships>
</file>

<file path=word/charts/_rels/chart8.xml.rels><?xml version="1.0" encoding="UTF-8" standalone="yes"?>
<Relationships xmlns="http://schemas.openxmlformats.org/package/2006/relationships"><Relationship Id="rId2" Type="http://schemas.openxmlformats.org/officeDocument/2006/relationships/package" Target="../embeddings/List_aplikace_Microsoft_Office_Excel7.xlsx"/><Relationship Id="rId1" Type="http://schemas.openxmlformats.org/officeDocument/2006/relationships/themeOverride" Target="../theme/themeOverride1.xml"/></Relationships>
</file>

<file path=word/charts/_rels/chart9.xml.rels><?xml version="1.0" encoding="UTF-8" standalone="yes"?>
<Relationships xmlns="http://schemas.openxmlformats.org/package/2006/relationships"><Relationship Id="rId2" Type="http://schemas.openxmlformats.org/officeDocument/2006/relationships/package" Target="../embeddings/List_aplikace_Microsoft_Office_Excel8.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cs-CZ"/>
  <c:style val="11"/>
  <c:chart>
    <c:autoTitleDeleted val="1"/>
    <c:plotArea>
      <c:layout>
        <c:manualLayout>
          <c:layoutTarget val="inner"/>
          <c:xMode val="edge"/>
          <c:yMode val="edge"/>
          <c:x val="0.13994215702248242"/>
          <c:y val="4.9267320531353527E-2"/>
          <c:w val="0.67551510577098717"/>
          <c:h val="0.83316293729155289"/>
        </c:manualLayout>
      </c:layout>
      <c:lineChart>
        <c:grouping val="standard"/>
        <c:ser>
          <c:idx val="0"/>
          <c:order val="0"/>
          <c:tx>
            <c:strRef>
              <c:f>List1!$B$5</c:f>
              <c:strCache>
                <c:ptCount val="1"/>
                <c:pt idx="0">
                  <c:v>AD 2</c:v>
                </c:pt>
              </c:strCache>
            </c:strRef>
          </c:tx>
          <c:spPr>
            <a:ln>
              <a:solidFill>
                <a:srgbClr val="99CC33"/>
              </a:solidFill>
            </a:ln>
          </c:spPr>
          <c:marker>
            <c:symbol val="none"/>
          </c:marker>
          <c:val>
            <c:numRef>
              <c:f>List1!$B$6:$B$16</c:f>
              <c:numCache>
                <c:formatCode>General</c:formatCode>
                <c:ptCount val="11"/>
                <c:pt idx="0">
                  <c:v>60</c:v>
                </c:pt>
                <c:pt idx="1">
                  <c:v>55</c:v>
                </c:pt>
                <c:pt idx="2">
                  <c:v>50</c:v>
                </c:pt>
                <c:pt idx="3">
                  <c:v>45</c:v>
                </c:pt>
                <c:pt idx="4">
                  <c:v>40</c:v>
                </c:pt>
                <c:pt idx="5">
                  <c:v>35</c:v>
                </c:pt>
                <c:pt idx="6">
                  <c:v>30</c:v>
                </c:pt>
                <c:pt idx="7">
                  <c:v>25</c:v>
                </c:pt>
                <c:pt idx="8">
                  <c:v>20</c:v>
                </c:pt>
                <c:pt idx="9">
                  <c:v>15</c:v>
                </c:pt>
                <c:pt idx="10">
                  <c:v>10</c:v>
                </c:pt>
              </c:numCache>
            </c:numRef>
          </c:val>
        </c:ser>
        <c:ser>
          <c:idx val="1"/>
          <c:order val="1"/>
          <c:tx>
            <c:strRef>
              <c:f>List1!$C$5</c:f>
              <c:strCache>
                <c:ptCount val="1"/>
                <c:pt idx="0">
                  <c:v>AD 1</c:v>
                </c:pt>
              </c:strCache>
            </c:strRef>
          </c:tx>
          <c:marker>
            <c:symbol val="none"/>
          </c:marker>
          <c:val>
            <c:numRef>
              <c:f>List1!$C$6:$C$16</c:f>
              <c:numCache>
                <c:formatCode>General</c:formatCode>
                <c:ptCount val="11"/>
                <c:pt idx="0">
                  <c:v>50</c:v>
                </c:pt>
                <c:pt idx="1">
                  <c:v>45</c:v>
                </c:pt>
                <c:pt idx="2">
                  <c:v>40</c:v>
                </c:pt>
                <c:pt idx="3">
                  <c:v>35</c:v>
                </c:pt>
                <c:pt idx="4">
                  <c:v>30</c:v>
                </c:pt>
                <c:pt idx="5">
                  <c:v>25</c:v>
                </c:pt>
                <c:pt idx="6">
                  <c:v>20</c:v>
                </c:pt>
                <c:pt idx="7">
                  <c:v>15</c:v>
                </c:pt>
                <c:pt idx="8">
                  <c:v>10</c:v>
                </c:pt>
                <c:pt idx="9">
                  <c:v>5</c:v>
                </c:pt>
                <c:pt idx="10">
                  <c:v>0</c:v>
                </c:pt>
              </c:numCache>
            </c:numRef>
          </c:val>
        </c:ser>
        <c:ser>
          <c:idx val="2"/>
          <c:order val="2"/>
          <c:tx>
            <c:strRef>
              <c:f>List1!$D$5</c:f>
              <c:strCache>
                <c:ptCount val="1"/>
                <c:pt idx="0">
                  <c:v>AS</c:v>
                </c:pt>
              </c:strCache>
            </c:strRef>
          </c:tx>
          <c:marker>
            <c:symbol val="none"/>
          </c:marker>
          <c:val>
            <c:numRef>
              <c:f>List1!$D$6:$D$16</c:f>
              <c:numCache>
                <c:formatCode>General</c:formatCode>
                <c:ptCount val="11"/>
                <c:pt idx="0">
                  <c:v>5</c:v>
                </c:pt>
                <c:pt idx="1">
                  <c:v>10</c:v>
                </c:pt>
                <c:pt idx="2">
                  <c:v>15</c:v>
                </c:pt>
                <c:pt idx="3">
                  <c:v>20</c:v>
                </c:pt>
                <c:pt idx="4">
                  <c:v>25</c:v>
                </c:pt>
                <c:pt idx="5">
                  <c:v>30</c:v>
                </c:pt>
                <c:pt idx="6">
                  <c:v>35</c:v>
                </c:pt>
                <c:pt idx="7">
                  <c:v>40</c:v>
                </c:pt>
                <c:pt idx="8">
                  <c:v>45</c:v>
                </c:pt>
                <c:pt idx="9">
                  <c:v>50</c:v>
                </c:pt>
                <c:pt idx="10">
                  <c:v>55</c:v>
                </c:pt>
              </c:numCache>
            </c:numRef>
          </c:val>
        </c:ser>
        <c:marker val="1"/>
        <c:axId val="67510656"/>
        <c:axId val="67512576"/>
      </c:lineChart>
      <c:catAx>
        <c:axId val="67510656"/>
        <c:scaling>
          <c:orientation val="minMax"/>
        </c:scaling>
        <c:delete val="1"/>
        <c:axPos val="b"/>
        <c:title>
          <c:tx>
            <c:rich>
              <a:bodyPr/>
              <a:lstStyle/>
              <a:p>
                <a:pPr>
                  <a:defRPr>
                    <a:latin typeface="Times New Roman" pitchFamily="18" charset="0"/>
                    <a:cs typeface="Times New Roman" pitchFamily="18" charset="0"/>
                  </a:defRPr>
                </a:pPr>
                <a:r>
                  <a:rPr lang="en-US" b="0">
                    <a:latin typeface="Times New Roman" pitchFamily="18" charset="0"/>
                    <a:cs typeface="Times New Roman" pitchFamily="18" charset="0"/>
                  </a:rPr>
                  <a:t>Y1 </a:t>
                </a:r>
                <a:r>
                  <a:rPr lang="en-US" b="0">
                    <a:latin typeface="Times New Roman" pitchFamily="18" charset="0"/>
                    <a:cs typeface="Times New Roman" pitchFamily="18" charset="0"/>
                    <a:sym typeface="Symbol"/>
                  </a:rPr>
                  <a:t></a:t>
                </a:r>
                <a:r>
                  <a:rPr lang="en-US" b="0" baseline="0">
                    <a:latin typeface="Times New Roman" pitchFamily="18" charset="0"/>
                    <a:cs typeface="Times New Roman" pitchFamily="18" charset="0"/>
                  </a:rPr>
                  <a:t> </a:t>
                </a:r>
                <a:r>
                  <a:rPr lang="en-US" b="0">
                    <a:latin typeface="Times New Roman" pitchFamily="18" charset="0"/>
                    <a:cs typeface="Times New Roman" pitchFamily="18" charset="0"/>
                  </a:rPr>
                  <a:t>Y2</a:t>
                </a:r>
                <a:endParaRPr lang="cs-CZ" b="0">
                  <a:latin typeface="Times New Roman" pitchFamily="18" charset="0"/>
                  <a:cs typeface="Times New Roman" pitchFamily="18" charset="0"/>
                </a:endParaRPr>
              </a:p>
            </c:rich>
          </c:tx>
        </c:title>
        <c:majorTickMark val="none"/>
        <c:tickLblPos val="none"/>
        <c:crossAx val="67512576"/>
        <c:crosses val="autoZero"/>
        <c:auto val="1"/>
        <c:lblAlgn val="ctr"/>
        <c:lblOffset val="100"/>
      </c:catAx>
      <c:valAx>
        <c:axId val="67512576"/>
        <c:scaling>
          <c:orientation val="minMax"/>
        </c:scaling>
        <c:delete val="1"/>
        <c:axPos val="l"/>
        <c:numFmt formatCode="General" sourceLinked="1"/>
        <c:majorTickMark val="none"/>
        <c:tickLblPos val="none"/>
        <c:crossAx val="67510656"/>
        <c:crosses val="autoZero"/>
        <c:crossBetween val="between"/>
      </c:valAx>
    </c:plotArea>
    <c:legend>
      <c:legendPos val="r"/>
    </c:legend>
    <c:plotVisOnly val="1"/>
  </c:chart>
  <c:externalData r:id="rId1"/>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cs-CZ"/>
  <c:style val="4"/>
  <c:clrMapOvr bg1="lt1" tx1="dk1" bg2="lt2" tx2="dk2" accent1="accent1" accent2="accent2" accent3="accent3" accent4="accent4" accent5="accent5" accent6="accent6" hlink="hlink" folHlink="folHlink"/>
  <c:chart>
    <c:autoTitleDeleted val="1"/>
    <c:view3D>
      <c:rAngAx val="1"/>
    </c:view3D>
    <c:plotArea>
      <c:layout/>
      <c:bar3DChart>
        <c:barDir val="col"/>
        <c:grouping val="clustered"/>
        <c:ser>
          <c:idx val="0"/>
          <c:order val="0"/>
          <c:tx>
            <c:strRef>
              <c:f>List1!$B$1</c:f>
              <c:strCache>
                <c:ptCount val="1"/>
                <c:pt idx="0">
                  <c:v>Prodejní cena nového rodinného domu v USA - medián (tis. USD)</c:v>
                </c:pt>
              </c:strCache>
            </c:strRef>
          </c:tx>
          <c:spPr>
            <a:gradFill rotWithShape="1">
              <a:gsLst>
                <a:gs pos="0">
                  <a:srgbClr val="92D400">
                    <a:shade val="51000"/>
                    <a:satMod val="130000"/>
                  </a:srgbClr>
                </a:gs>
                <a:gs pos="80000">
                  <a:srgbClr val="92D400">
                    <a:shade val="93000"/>
                    <a:satMod val="130000"/>
                  </a:srgbClr>
                </a:gs>
                <a:gs pos="100000">
                  <a:srgbClr val="92D40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a:latin typeface="Times New Roman" pitchFamily="18" charset="0"/>
                    <a:cs typeface="Times New Roman" pitchFamily="18" charset="0"/>
                  </a:defRPr>
                </a:pPr>
                <a:endParaRPr lang="cs-CZ"/>
              </a:p>
            </c:txPr>
            <c:showVal val="1"/>
          </c:dLbls>
          <c:cat>
            <c:numRef>
              <c:f>List1!$A$2:$A$10</c:f>
              <c:numCache>
                <c:formatCode>General</c:formatCode>
                <c:ptCount val="9"/>
                <c:pt idx="0">
                  <c:v>2001</c:v>
                </c:pt>
                <c:pt idx="1">
                  <c:v>2002</c:v>
                </c:pt>
                <c:pt idx="2">
                  <c:v>2003</c:v>
                </c:pt>
                <c:pt idx="3">
                  <c:v>2004</c:v>
                </c:pt>
                <c:pt idx="4">
                  <c:v>2005</c:v>
                </c:pt>
                <c:pt idx="5">
                  <c:v>2006</c:v>
                </c:pt>
                <c:pt idx="6">
                  <c:v>2007</c:v>
                </c:pt>
                <c:pt idx="7">
                  <c:v>2008</c:v>
                </c:pt>
                <c:pt idx="8">
                  <c:v>2009</c:v>
                </c:pt>
              </c:numCache>
            </c:numRef>
          </c:cat>
          <c:val>
            <c:numRef>
              <c:f>List1!$B$2:$B$10</c:f>
              <c:numCache>
                <c:formatCode>General</c:formatCode>
                <c:ptCount val="9"/>
                <c:pt idx="0">
                  <c:v>175</c:v>
                </c:pt>
                <c:pt idx="1">
                  <c:v>188</c:v>
                </c:pt>
                <c:pt idx="2">
                  <c:v>195</c:v>
                </c:pt>
                <c:pt idx="3">
                  <c:v>221</c:v>
                </c:pt>
                <c:pt idx="4">
                  <c:v>241</c:v>
                </c:pt>
                <c:pt idx="5">
                  <c:v>247</c:v>
                </c:pt>
                <c:pt idx="6">
                  <c:v>248</c:v>
                </c:pt>
                <c:pt idx="7">
                  <c:v>231</c:v>
                </c:pt>
                <c:pt idx="8">
                  <c:v>209</c:v>
                </c:pt>
              </c:numCache>
            </c:numRef>
          </c:val>
        </c:ser>
        <c:gapWidth val="75"/>
        <c:shape val="box"/>
        <c:axId val="118830592"/>
        <c:axId val="118832128"/>
        <c:axId val="0"/>
      </c:bar3DChart>
      <c:catAx>
        <c:axId val="118830592"/>
        <c:scaling>
          <c:orientation val="minMax"/>
        </c:scaling>
        <c:axPos val="b"/>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18832128"/>
        <c:crosses val="autoZero"/>
        <c:auto val="1"/>
        <c:lblAlgn val="ctr"/>
        <c:lblOffset val="100"/>
      </c:catAx>
      <c:valAx>
        <c:axId val="118832128"/>
        <c:scaling>
          <c:orientation val="minMax"/>
        </c:scaling>
        <c:axPos val="l"/>
        <c:majorGridlines>
          <c:spPr>
            <a:ln>
              <a:solidFill>
                <a:srgbClr val="002776"/>
              </a:solidFill>
            </a:ln>
          </c:spPr>
        </c:majorGridlines>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18830592"/>
        <c:crosses val="autoZero"/>
        <c:crossBetween val="between"/>
      </c:valAx>
    </c:plotArea>
    <c:legend>
      <c:legendPos val="b"/>
      <c:txPr>
        <a:bodyPr/>
        <a:lstStyle/>
        <a:p>
          <a:pPr>
            <a:defRPr>
              <a:latin typeface="Times New Roman" pitchFamily="18" charset="0"/>
              <a:cs typeface="Times New Roman" pitchFamily="18" charset="0"/>
            </a:defRPr>
          </a:pPr>
          <a:endParaRPr lang="cs-CZ"/>
        </a:p>
      </c:txPr>
    </c:legend>
    <c:plotVisOnly val="1"/>
  </c:chart>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cs-CZ"/>
  <c:style val="4"/>
  <c:clrMapOvr bg1="lt1" tx1="dk1" bg2="lt2" tx2="dk2" accent1="accent1" accent2="accent2" accent3="accent3" accent4="accent4" accent5="accent5" accent6="accent6" hlink="hlink" folHlink="folHlink"/>
  <c:chart>
    <c:autoTitleDeleted val="1"/>
    <c:view3D>
      <c:rAngAx val="1"/>
    </c:view3D>
    <c:plotArea>
      <c:layout/>
      <c:area3DChart>
        <c:grouping val="stacked"/>
        <c:ser>
          <c:idx val="0"/>
          <c:order val="0"/>
          <c:tx>
            <c:strRef>
              <c:f>List1!$B$1</c:f>
              <c:strCache>
                <c:ptCount val="1"/>
                <c:pt idx="0">
                  <c:v>Doba prodeje nového rodinného domů v USA (měsíce) </c:v>
                </c:pt>
              </c:strCache>
            </c:strRef>
          </c:tx>
          <c:spPr>
            <a:gradFill rotWithShape="1">
              <a:gsLst>
                <a:gs pos="0">
                  <a:srgbClr val="92D400">
                    <a:shade val="51000"/>
                    <a:satMod val="130000"/>
                  </a:srgbClr>
                </a:gs>
                <a:gs pos="80000">
                  <a:srgbClr val="92D400">
                    <a:shade val="93000"/>
                    <a:satMod val="130000"/>
                  </a:srgbClr>
                </a:gs>
                <a:gs pos="100000">
                  <a:srgbClr val="92D400">
                    <a:shade val="94000"/>
                    <a:satMod val="135000"/>
                  </a:srgbClr>
                </a:gs>
              </a:gsLst>
              <a:lin ang="16200000" scaled="0"/>
            </a:gradFill>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dLbl>
              <c:idx val="0"/>
              <c:layout>
                <c:manualLayout>
                  <c:x val="1.060944534001787E-17"/>
                  <c:y val="-0.13538461538461227"/>
                </c:manualLayout>
              </c:layout>
              <c:showVal val="1"/>
            </c:dLbl>
            <c:dLbl>
              <c:idx val="1"/>
              <c:layout>
                <c:manualLayout>
                  <c:x val="0"/>
                  <c:y val="-0.14769230769231123"/>
                </c:manualLayout>
              </c:layout>
              <c:showVal val="1"/>
            </c:dLbl>
            <c:dLbl>
              <c:idx val="2"/>
              <c:layout>
                <c:manualLayout>
                  <c:x val="-1.8226888305629249E-7"/>
                  <c:y val="-0.14769230769231123"/>
                </c:manualLayout>
              </c:layout>
              <c:showVal val="1"/>
            </c:dLbl>
            <c:dLbl>
              <c:idx val="3"/>
              <c:layout>
                <c:manualLayout>
                  <c:x val="0"/>
                  <c:y val="-0.15179487179487194"/>
                </c:manualLayout>
              </c:layout>
              <c:showVal val="1"/>
            </c:dLbl>
            <c:dLbl>
              <c:idx val="4"/>
              <c:layout>
                <c:manualLayout>
                  <c:x val="0"/>
                  <c:y val="-0.14769230769231123"/>
                </c:manualLayout>
              </c:layout>
              <c:showVal val="1"/>
            </c:dLbl>
            <c:dLbl>
              <c:idx val="5"/>
              <c:layout>
                <c:manualLayout>
                  <c:x val="0"/>
                  <c:y val="-0.20102564102564102"/>
                </c:manualLayout>
              </c:layout>
              <c:showVal val="1"/>
            </c:dLbl>
            <c:dLbl>
              <c:idx val="6"/>
              <c:layout>
                <c:manualLayout>
                  <c:x val="0"/>
                  <c:y val="-0.2830769230769285"/>
                </c:manualLayout>
              </c:layout>
              <c:showVal val="1"/>
            </c:dLbl>
            <c:dLbl>
              <c:idx val="7"/>
              <c:layout>
                <c:manualLayout>
                  <c:x val="0"/>
                  <c:y val="-0.32410256410257365"/>
                </c:manualLayout>
              </c:layout>
              <c:showVal val="1"/>
            </c:dLbl>
            <c:txPr>
              <a:bodyPr rot="0" vert="horz" anchor="t" anchorCtr="1"/>
              <a:lstStyle/>
              <a:p>
                <a:pPr>
                  <a:defRPr>
                    <a:latin typeface="Times New Roman" pitchFamily="18" charset="0"/>
                    <a:cs typeface="Times New Roman" pitchFamily="18" charset="0"/>
                  </a:defRPr>
                </a:pPr>
                <a:endParaRPr lang="cs-CZ"/>
              </a:p>
            </c:txPr>
            <c:showVal val="1"/>
          </c:dLbls>
          <c:cat>
            <c:numRef>
              <c:f>List1!$A$2:$A$9</c:f>
              <c:numCache>
                <c:formatCode>General</c:formatCode>
                <c:ptCount val="8"/>
                <c:pt idx="0">
                  <c:v>2001</c:v>
                </c:pt>
                <c:pt idx="1">
                  <c:v>2002</c:v>
                </c:pt>
                <c:pt idx="2">
                  <c:v>2003</c:v>
                </c:pt>
                <c:pt idx="3">
                  <c:v>2004</c:v>
                </c:pt>
                <c:pt idx="4">
                  <c:v>2005</c:v>
                </c:pt>
                <c:pt idx="5">
                  <c:v>2006</c:v>
                </c:pt>
                <c:pt idx="6">
                  <c:v>2007</c:v>
                </c:pt>
                <c:pt idx="7">
                  <c:v>2008</c:v>
                </c:pt>
              </c:numCache>
            </c:numRef>
          </c:cat>
          <c:val>
            <c:numRef>
              <c:f>List1!$B$2:$B$9</c:f>
              <c:numCache>
                <c:formatCode>0.0</c:formatCode>
                <c:ptCount val="8"/>
                <c:pt idx="0">
                  <c:v>3.8</c:v>
                </c:pt>
                <c:pt idx="1">
                  <c:v>4</c:v>
                </c:pt>
                <c:pt idx="2">
                  <c:v>4</c:v>
                </c:pt>
                <c:pt idx="3">
                  <c:v>4.0999999999999996</c:v>
                </c:pt>
                <c:pt idx="4">
                  <c:v>4.9000000000000004</c:v>
                </c:pt>
                <c:pt idx="5">
                  <c:v>6.5</c:v>
                </c:pt>
                <c:pt idx="6">
                  <c:v>9.8000000000000007</c:v>
                </c:pt>
                <c:pt idx="7">
                  <c:v>12.9</c:v>
                </c:pt>
              </c:numCache>
            </c:numRef>
          </c:val>
        </c:ser>
        <c:axId val="118856704"/>
        <c:axId val="79717120"/>
        <c:axId val="0"/>
      </c:area3DChart>
      <c:catAx>
        <c:axId val="118856704"/>
        <c:scaling>
          <c:orientation val="minMax"/>
        </c:scaling>
        <c:axPos val="b"/>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79717120"/>
        <c:crosses val="autoZero"/>
        <c:auto val="1"/>
        <c:lblAlgn val="ctr"/>
        <c:lblOffset val="100"/>
      </c:catAx>
      <c:valAx>
        <c:axId val="79717120"/>
        <c:scaling>
          <c:orientation val="minMax"/>
        </c:scaling>
        <c:axPos val="l"/>
        <c:majorGridlines>
          <c:spPr>
            <a:ln>
              <a:solidFill>
                <a:srgbClr val="002776"/>
              </a:solidFill>
            </a:ln>
          </c:spPr>
        </c:majorGridlines>
        <c:numFmt formatCode="0.0" sourceLinked="1"/>
        <c:majorTickMark val="none"/>
        <c:tickLblPos val="nextTo"/>
        <c:txPr>
          <a:bodyPr/>
          <a:lstStyle/>
          <a:p>
            <a:pPr>
              <a:defRPr>
                <a:latin typeface="Times New Roman" pitchFamily="18" charset="0"/>
                <a:cs typeface="Times New Roman" pitchFamily="18" charset="0"/>
              </a:defRPr>
            </a:pPr>
            <a:endParaRPr lang="cs-CZ"/>
          </a:p>
        </c:txPr>
        <c:crossAx val="118856704"/>
        <c:crosses val="autoZero"/>
        <c:crossBetween val="midCat"/>
      </c:valAx>
    </c:plotArea>
    <c:legend>
      <c:legendPos val="b"/>
      <c:txPr>
        <a:bodyPr/>
        <a:lstStyle/>
        <a:p>
          <a:pPr>
            <a:defRPr>
              <a:latin typeface="Times New Roman" pitchFamily="18" charset="0"/>
              <a:cs typeface="Times New Roman" pitchFamily="18" charset="0"/>
            </a:defRPr>
          </a:pPr>
          <a:endParaRPr lang="cs-CZ"/>
        </a:p>
      </c:txPr>
    </c:legend>
    <c:plotVisOnly val="1"/>
  </c:chart>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cs-CZ"/>
  <c:style val="4"/>
  <c:clrMapOvr bg1="lt1" tx1="dk1" bg2="lt2" tx2="dk2" accent1="accent1" accent2="accent2" accent3="accent3" accent4="accent4" accent5="accent5" accent6="accent6" hlink="hlink" folHlink="folHlink"/>
  <c:chart>
    <c:autoTitleDeleted val="1"/>
    <c:plotArea>
      <c:layout/>
      <c:lineChart>
        <c:grouping val="standard"/>
        <c:ser>
          <c:idx val="0"/>
          <c:order val="0"/>
          <c:tx>
            <c:strRef>
              <c:f>List1!$B$1</c:f>
              <c:strCache>
                <c:ptCount val="1"/>
                <c:pt idx="0">
                  <c:v>Cena 1 galonu benzinu v USA (dollar cent)</c:v>
                </c:pt>
              </c:strCache>
            </c:strRef>
          </c:tx>
          <c:spPr>
            <a:effectLst>
              <a:outerShdw blurRad="40000" dist="23000" dir="5400000" rotWithShape="0">
                <a:srgbClr val="000000">
                  <a:alpha val="35000"/>
                </a:srgbClr>
              </a:outerShdw>
            </a:effectLst>
          </c:spPr>
          <c:marker>
            <c:symbol val="none"/>
          </c:marker>
          <c:cat>
            <c:numRef>
              <c:f>List1!$A$2:$A$367</c:f>
              <c:numCache>
                <c:formatCode>d/m/yyyy</c:formatCode>
                <c:ptCount val="366"/>
                <c:pt idx="0">
                  <c:v>36892</c:v>
                </c:pt>
                <c:pt idx="1">
                  <c:v>36899</c:v>
                </c:pt>
                <c:pt idx="2">
                  <c:v>36906</c:v>
                </c:pt>
                <c:pt idx="3">
                  <c:v>36913</c:v>
                </c:pt>
                <c:pt idx="4">
                  <c:v>36920</c:v>
                </c:pt>
                <c:pt idx="5">
                  <c:v>36927</c:v>
                </c:pt>
                <c:pt idx="6">
                  <c:v>36934</c:v>
                </c:pt>
                <c:pt idx="7">
                  <c:v>36941</c:v>
                </c:pt>
                <c:pt idx="8">
                  <c:v>36948</c:v>
                </c:pt>
                <c:pt idx="9">
                  <c:v>36955</c:v>
                </c:pt>
                <c:pt idx="10">
                  <c:v>36962</c:v>
                </c:pt>
                <c:pt idx="11">
                  <c:v>36969</c:v>
                </c:pt>
                <c:pt idx="12">
                  <c:v>36976</c:v>
                </c:pt>
                <c:pt idx="13">
                  <c:v>36983</c:v>
                </c:pt>
                <c:pt idx="14">
                  <c:v>36990</c:v>
                </c:pt>
                <c:pt idx="15">
                  <c:v>36997</c:v>
                </c:pt>
                <c:pt idx="16">
                  <c:v>37004</c:v>
                </c:pt>
                <c:pt idx="17">
                  <c:v>37011</c:v>
                </c:pt>
                <c:pt idx="18">
                  <c:v>37018</c:v>
                </c:pt>
                <c:pt idx="19">
                  <c:v>37025</c:v>
                </c:pt>
                <c:pt idx="20">
                  <c:v>37032</c:v>
                </c:pt>
                <c:pt idx="21">
                  <c:v>37039</c:v>
                </c:pt>
                <c:pt idx="22">
                  <c:v>37046</c:v>
                </c:pt>
                <c:pt idx="23">
                  <c:v>37053</c:v>
                </c:pt>
                <c:pt idx="24">
                  <c:v>37060</c:v>
                </c:pt>
                <c:pt idx="25">
                  <c:v>37067</c:v>
                </c:pt>
                <c:pt idx="26">
                  <c:v>37074</c:v>
                </c:pt>
                <c:pt idx="27">
                  <c:v>37081</c:v>
                </c:pt>
                <c:pt idx="28">
                  <c:v>37088</c:v>
                </c:pt>
                <c:pt idx="29">
                  <c:v>37095</c:v>
                </c:pt>
                <c:pt idx="30">
                  <c:v>37102</c:v>
                </c:pt>
                <c:pt idx="31">
                  <c:v>37109</c:v>
                </c:pt>
                <c:pt idx="32">
                  <c:v>37116</c:v>
                </c:pt>
                <c:pt idx="33">
                  <c:v>37123</c:v>
                </c:pt>
                <c:pt idx="34">
                  <c:v>37130</c:v>
                </c:pt>
                <c:pt idx="35">
                  <c:v>37137</c:v>
                </c:pt>
                <c:pt idx="36">
                  <c:v>37144</c:v>
                </c:pt>
                <c:pt idx="37">
                  <c:v>37151</c:v>
                </c:pt>
                <c:pt idx="38">
                  <c:v>37158</c:v>
                </c:pt>
                <c:pt idx="39">
                  <c:v>37165</c:v>
                </c:pt>
                <c:pt idx="40">
                  <c:v>37172</c:v>
                </c:pt>
                <c:pt idx="41">
                  <c:v>37179</c:v>
                </c:pt>
                <c:pt idx="42">
                  <c:v>37186</c:v>
                </c:pt>
                <c:pt idx="43">
                  <c:v>37193</c:v>
                </c:pt>
                <c:pt idx="44">
                  <c:v>37200</c:v>
                </c:pt>
                <c:pt idx="45">
                  <c:v>37207</c:v>
                </c:pt>
                <c:pt idx="46">
                  <c:v>37214</c:v>
                </c:pt>
                <c:pt idx="47">
                  <c:v>37221</c:v>
                </c:pt>
                <c:pt idx="48">
                  <c:v>37228</c:v>
                </c:pt>
                <c:pt idx="49">
                  <c:v>37235</c:v>
                </c:pt>
                <c:pt idx="50">
                  <c:v>37242</c:v>
                </c:pt>
                <c:pt idx="51">
                  <c:v>37249</c:v>
                </c:pt>
                <c:pt idx="52">
                  <c:v>37256</c:v>
                </c:pt>
                <c:pt idx="53">
                  <c:v>37263</c:v>
                </c:pt>
                <c:pt idx="54">
                  <c:v>37270</c:v>
                </c:pt>
                <c:pt idx="55">
                  <c:v>37277</c:v>
                </c:pt>
                <c:pt idx="56">
                  <c:v>37284</c:v>
                </c:pt>
                <c:pt idx="57">
                  <c:v>37291</c:v>
                </c:pt>
                <c:pt idx="58">
                  <c:v>37298</c:v>
                </c:pt>
                <c:pt idx="59">
                  <c:v>37305</c:v>
                </c:pt>
                <c:pt idx="60">
                  <c:v>37312</c:v>
                </c:pt>
                <c:pt idx="61">
                  <c:v>37319</c:v>
                </c:pt>
                <c:pt idx="62">
                  <c:v>37326</c:v>
                </c:pt>
                <c:pt idx="63">
                  <c:v>37333</c:v>
                </c:pt>
                <c:pt idx="64">
                  <c:v>37340</c:v>
                </c:pt>
                <c:pt idx="65">
                  <c:v>37347</c:v>
                </c:pt>
                <c:pt idx="66">
                  <c:v>37354</c:v>
                </c:pt>
                <c:pt idx="67">
                  <c:v>37361</c:v>
                </c:pt>
                <c:pt idx="68">
                  <c:v>37368</c:v>
                </c:pt>
                <c:pt idx="69">
                  <c:v>37375</c:v>
                </c:pt>
                <c:pt idx="70">
                  <c:v>37382</c:v>
                </c:pt>
                <c:pt idx="71">
                  <c:v>37389</c:v>
                </c:pt>
                <c:pt idx="72">
                  <c:v>37396</c:v>
                </c:pt>
                <c:pt idx="73">
                  <c:v>37403</c:v>
                </c:pt>
                <c:pt idx="74">
                  <c:v>37410</c:v>
                </c:pt>
                <c:pt idx="75">
                  <c:v>37417</c:v>
                </c:pt>
                <c:pt idx="76">
                  <c:v>37424</c:v>
                </c:pt>
                <c:pt idx="77">
                  <c:v>37431</c:v>
                </c:pt>
                <c:pt idx="78">
                  <c:v>37438</c:v>
                </c:pt>
                <c:pt idx="79">
                  <c:v>37445</c:v>
                </c:pt>
                <c:pt idx="80">
                  <c:v>37452</c:v>
                </c:pt>
                <c:pt idx="81">
                  <c:v>37459</c:v>
                </c:pt>
                <c:pt idx="82">
                  <c:v>37466</c:v>
                </c:pt>
                <c:pt idx="83">
                  <c:v>37473</c:v>
                </c:pt>
                <c:pt idx="84">
                  <c:v>37480</c:v>
                </c:pt>
                <c:pt idx="85">
                  <c:v>37487</c:v>
                </c:pt>
                <c:pt idx="86">
                  <c:v>37494</c:v>
                </c:pt>
                <c:pt idx="87">
                  <c:v>37501</c:v>
                </c:pt>
                <c:pt idx="88">
                  <c:v>37508</c:v>
                </c:pt>
                <c:pt idx="89">
                  <c:v>37515</c:v>
                </c:pt>
                <c:pt idx="90">
                  <c:v>37522</c:v>
                </c:pt>
                <c:pt idx="91">
                  <c:v>37529</c:v>
                </c:pt>
                <c:pt idx="92">
                  <c:v>37536</c:v>
                </c:pt>
                <c:pt idx="93">
                  <c:v>37543</c:v>
                </c:pt>
                <c:pt idx="94">
                  <c:v>37550</c:v>
                </c:pt>
                <c:pt idx="95">
                  <c:v>37557</c:v>
                </c:pt>
                <c:pt idx="96">
                  <c:v>37564</c:v>
                </c:pt>
                <c:pt idx="97">
                  <c:v>37571</c:v>
                </c:pt>
                <c:pt idx="98">
                  <c:v>37578</c:v>
                </c:pt>
                <c:pt idx="99">
                  <c:v>37585</c:v>
                </c:pt>
                <c:pt idx="100">
                  <c:v>37592</c:v>
                </c:pt>
                <c:pt idx="101">
                  <c:v>37599</c:v>
                </c:pt>
                <c:pt idx="102">
                  <c:v>37606</c:v>
                </c:pt>
                <c:pt idx="103">
                  <c:v>37613</c:v>
                </c:pt>
                <c:pt idx="104">
                  <c:v>37620</c:v>
                </c:pt>
                <c:pt idx="105">
                  <c:v>37627</c:v>
                </c:pt>
                <c:pt idx="106">
                  <c:v>37634</c:v>
                </c:pt>
                <c:pt idx="107">
                  <c:v>37641</c:v>
                </c:pt>
                <c:pt idx="108">
                  <c:v>37648</c:v>
                </c:pt>
                <c:pt idx="109">
                  <c:v>37655</c:v>
                </c:pt>
                <c:pt idx="110">
                  <c:v>37662</c:v>
                </c:pt>
                <c:pt idx="111">
                  <c:v>37669</c:v>
                </c:pt>
                <c:pt idx="112">
                  <c:v>37676</c:v>
                </c:pt>
                <c:pt idx="113">
                  <c:v>37683</c:v>
                </c:pt>
                <c:pt idx="114">
                  <c:v>37690</c:v>
                </c:pt>
                <c:pt idx="115">
                  <c:v>37697</c:v>
                </c:pt>
                <c:pt idx="116">
                  <c:v>37704</c:v>
                </c:pt>
                <c:pt idx="117">
                  <c:v>37711</c:v>
                </c:pt>
                <c:pt idx="118">
                  <c:v>37718</c:v>
                </c:pt>
                <c:pt idx="119">
                  <c:v>37725</c:v>
                </c:pt>
                <c:pt idx="120">
                  <c:v>37732</c:v>
                </c:pt>
                <c:pt idx="121">
                  <c:v>37739</c:v>
                </c:pt>
                <c:pt idx="122">
                  <c:v>37746</c:v>
                </c:pt>
                <c:pt idx="123">
                  <c:v>37753</c:v>
                </c:pt>
                <c:pt idx="124">
                  <c:v>37760</c:v>
                </c:pt>
                <c:pt idx="125">
                  <c:v>37767</c:v>
                </c:pt>
                <c:pt idx="126">
                  <c:v>37774</c:v>
                </c:pt>
                <c:pt idx="127">
                  <c:v>37781</c:v>
                </c:pt>
                <c:pt idx="128">
                  <c:v>37788</c:v>
                </c:pt>
                <c:pt idx="129">
                  <c:v>37795</c:v>
                </c:pt>
                <c:pt idx="130">
                  <c:v>37802</c:v>
                </c:pt>
                <c:pt idx="131">
                  <c:v>37809</c:v>
                </c:pt>
                <c:pt idx="132">
                  <c:v>37816</c:v>
                </c:pt>
                <c:pt idx="133">
                  <c:v>37823</c:v>
                </c:pt>
                <c:pt idx="134">
                  <c:v>37830</c:v>
                </c:pt>
                <c:pt idx="135">
                  <c:v>37837</c:v>
                </c:pt>
                <c:pt idx="136">
                  <c:v>37844</c:v>
                </c:pt>
                <c:pt idx="137">
                  <c:v>37851</c:v>
                </c:pt>
                <c:pt idx="138">
                  <c:v>37858</c:v>
                </c:pt>
                <c:pt idx="139">
                  <c:v>37865</c:v>
                </c:pt>
                <c:pt idx="140">
                  <c:v>37872</c:v>
                </c:pt>
                <c:pt idx="141">
                  <c:v>37879</c:v>
                </c:pt>
                <c:pt idx="142">
                  <c:v>37886</c:v>
                </c:pt>
                <c:pt idx="143">
                  <c:v>37893</c:v>
                </c:pt>
                <c:pt idx="144">
                  <c:v>37900</c:v>
                </c:pt>
                <c:pt idx="145">
                  <c:v>37907</c:v>
                </c:pt>
                <c:pt idx="146">
                  <c:v>37914</c:v>
                </c:pt>
                <c:pt idx="147">
                  <c:v>37921</c:v>
                </c:pt>
                <c:pt idx="148">
                  <c:v>37928</c:v>
                </c:pt>
                <c:pt idx="149">
                  <c:v>37935</c:v>
                </c:pt>
                <c:pt idx="150">
                  <c:v>37942</c:v>
                </c:pt>
                <c:pt idx="151">
                  <c:v>37949</c:v>
                </c:pt>
                <c:pt idx="152">
                  <c:v>37956</c:v>
                </c:pt>
                <c:pt idx="153">
                  <c:v>37963</c:v>
                </c:pt>
                <c:pt idx="154">
                  <c:v>37970</c:v>
                </c:pt>
                <c:pt idx="155">
                  <c:v>37977</c:v>
                </c:pt>
                <c:pt idx="156">
                  <c:v>37984</c:v>
                </c:pt>
                <c:pt idx="157">
                  <c:v>37991</c:v>
                </c:pt>
                <c:pt idx="158">
                  <c:v>37998</c:v>
                </c:pt>
                <c:pt idx="159">
                  <c:v>38005</c:v>
                </c:pt>
                <c:pt idx="160">
                  <c:v>38012</c:v>
                </c:pt>
                <c:pt idx="161">
                  <c:v>38019</c:v>
                </c:pt>
                <c:pt idx="162">
                  <c:v>38026</c:v>
                </c:pt>
                <c:pt idx="163">
                  <c:v>38033</c:v>
                </c:pt>
                <c:pt idx="164">
                  <c:v>38040</c:v>
                </c:pt>
                <c:pt idx="165">
                  <c:v>38047</c:v>
                </c:pt>
                <c:pt idx="166">
                  <c:v>38054</c:v>
                </c:pt>
                <c:pt idx="167">
                  <c:v>38061</c:v>
                </c:pt>
                <c:pt idx="168">
                  <c:v>38068</c:v>
                </c:pt>
                <c:pt idx="169">
                  <c:v>38075</c:v>
                </c:pt>
                <c:pt idx="170">
                  <c:v>38082</c:v>
                </c:pt>
                <c:pt idx="171">
                  <c:v>38089</c:v>
                </c:pt>
                <c:pt idx="172">
                  <c:v>38096</c:v>
                </c:pt>
                <c:pt idx="173">
                  <c:v>38103</c:v>
                </c:pt>
                <c:pt idx="174">
                  <c:v>38110</c:v>
                </c:pt>
                <c:pt idx="175">
                  <c:v>38117</c:v>
                </c:pt>
                <c:pt idx="176">
                  <c:v>38124</c:v>
                </c:pt>
                <c:pt idx="177">
                  <c:v>38131</c:v>
                </c:pt>
                <c:pt idx="178">
                  <c:v>38138</c:v>
                </c:pt>
                <c:pt idx="179">
                  <c:v>38145</c:v>
                </c:pt>
                <c:pt idx="180">
                  <c:v>38152</c:v>
                </c:pt>
                <c:pt idx="181">
                  <c:v>38159</c:v>
                </c:pt>
                <c:pt idx="182">
                  <c:v>38166</c:v>
                </c:pt>
                <c:pt idx="183">
                  <c:v>38173</c:v>
                </c:pt>
                <c:pt idx="184">
                  <c:v>38180</c:v>
                </c:pt>
                <c:pt idx="185">
                  <c:v>38187</c:v>
                </c:pt>
                <c:pt idx="186">
                  <c:v>38194</c:v>
                </c:pt>
                <c:pt idx="187">
                  <c:v>38201</c:v>
                </c:pt>
                <c:pt idx="188">
                  <c:v>38208</c:v>
                </c:pt>
                <c:pt idx="189">
                  <c:v>38215</c:v>
                </c:pt>
                <c:pt idx="190">
                  <c:v>38222</c:v>
                </c:pt>
                <c:pt idx="191">
                  <c:v>38229</c:v>
                </c:pt>
                <c:pt idx="192">
                  <c:v>38236</c:v>
                </c:pt>
                <c:pt idx="193">
                  <c:v>38243</c:v>
                </c:pt>
                <c:pt idx="194">
                  <c:v>38250</c:v>
                </c:pt>
                <c:pt idx="195">
                  <c:v>38257</c:v>
                </c:pt>
                <c:pt idx="196">
                  <c:v>38264</c:v>
                </c:pt>
                <c:pt idx="197">
                  <c:v>38271</c:v>
                </c:pt>
                <c:pt idx="198">
                  <c:v>38278</c:v>
                </c:pt>
                <c:pt idx="199">
                  <c:v>38285</c:v>
                </c:pt>
                <c:pt idx="200">
                  <c:v>38292</c:v>
                </c:pt>
                <c:pt idx="201">
                  <c:v>38299</c:v>
                </c:pt>
                <c:pt idx="202">
                  <c:v>38306</c:v>
                </c:pt>
                <c:pt idx="203">
                  <c:v>38313</c:v>
                </c:pt>
                <c:pt idx="204">
                  <c:v>38320</c:v>
                </c:pt>
                <c:pt idx="205">
                  <c:v>38327</c:v>
                </c:pt>
                <c:pt idx="206">
                  <c:v>38334</c:v>
                </c:pt>
                <c:pt idx="207">
                  <c:v>38341</c:v>
                </c:pt>
                <c:pt idx="208">
                  <c:v>38348</c:v>
                </c:pt>
                <c:pt idx="209">
                  <c:v>38355</c:v>
                </c:pt>
                <c:pt idx="210">
                  <c:v>38362</c:v>
                </c:pt>
                <c:pt idx="211">
                  <c:v>38369</c:v>
                </c:pt>
                <c:pt idx="212">
                  <c:v>38376</c:v>
                </c:pt>
                <c:pt idx="213">
                  <c:v>38383</c:v>
                </c:pt>
                <c:pt idx="214">
                  <c:v>38390</c:v>
                </c:pt>
                <c:pt idx="215">
                  <c:v>38397</c:v>
                </c:pt>
                <c:pt idx="216">
                  <c:v>38404</c:v>
                </c:pt>
                <c:pt idx="217">
                  <c:v>38411</c:v>
                </c:pt>
                <c:pt idx="218">
                  <c:v>38418</c:v>
                </c:pt>
                <c:pt idx="219">
                  <c:v>38425</c:v>
                </c:pt>
                <c:pt idx="220">
                  <c:v>38432</c:v>
                </c:pt>
                <c:pt idx="221">
                  <c:v>38439</c:v>
                </c:pt>
                <c:pt idx="222">
                  <c:v>38446</c:v>
                </c:pt>
                <c:pt idx="223">
                  <c:v>38453</c:v>
                </c:pt>
                <c:pt idx="224">
                  <c:v>38460</c:v>
                </c:pt>
                <c:pt idx="225">
                  <c:v>38467</c:v>
                </c:pt>
                <c:pt idx="226">
                  <c:v>38474</c:v>
                </c:pt>
                <c:pt idx="227">
                  <c:v>38481</c:v>
                </c:pt>
                <c:pt idx="228">
                  <c:v>38488</c:v>
                </c:pt>
                <c:pt idx="229">
                  <c:v>38495</c:v>
                </c:pt>
                <c:pt idx="230">
                  <c:v>38502</c:v>
                </c:pt>
                <c:pt idx="231">
                  <c:v>38509</c:v>
                </c:pt>
                <c:pt idx="232">
                  <c:v>38516</c:v>
                </c:pt>
                <c:pt idx="233">
                  <c:v>38523</c:v>
                </c:pt>
                <c:pt idx="234">
                  <c:v>38530</c:v>
                </c:pt>
                <c:pt idx="235">
                  <c:v>38537</c:v>
                </c:pt>
                <c:pt idx="236">
                  <c:v>38544</c:v>
                </c:pt>
                <c:pt idx="237">
                  <c:v>38551</c:v>
                </c:pt>
                <c:pt idx="238">
                  <c:v>38558</c:v>
                </c:pt>
                <c:pt idx="239">
                  <c:v>38565</c:v>
                </c:pt>
                <c:pt idx="240">
                  <c:v>38572</c:v>
                </c:pt>
                <c:pt idx="241">
                  <c:v>38579</c:v>
                </c:pt>
                <c:pt idx="242">
                  <c:v>38586</c:v>
                </c:pt>
                <c:pt idx="243">
                  <c:v>38593</c:v>
                </c:pt>
                <c:pt idx="244">
                  <c:v>38600</c:v>
                </c:pt>
                <c:pt idx="245">
                  <c:v>38607</c:v>
                </c:pt>
                <c:pt idx="246">
                  <c:v>38614</c:v>
                </c:pt>
                <c:pt idx="247">
                  <c:v>38621</c:v>
                </c:pt>
                <c:pt idx="248">
                  <c:v>38628</c:v>
                </c:pt>
                <c:pt idx="249">
                  <c:v>38635</c:v>
                </c:pt>
                <c:pt idx="250">
                  <c:v>38642</c:v>
                </c:pt>
                <c:pt idx="251">
                  <c:v>38649</c:v>
                </c:pt>
                <c:pt idx="252">
                  <c:v>38656</c:v>
                </c:pt>
                <c:pt idx="253">
                  <c:v>38663</c:v>
                </c:pt>
                <c:pt idx="254">
                  <c:v>38670</c:v>
                </c:pt>
                <c:pt idx="255">
                  <c:v>38677</c:v>
                </c:pt>
                <c:pt idx="256">
                  <c:v>38684</c:v>
                </c:pt>
                <c:pt idx="257">
                  <c:v>38691</c:v>
                </c:pt>
                <c:pt idx="258">
                  <c:v>38698</c:v>
                </c:pt>
                <c:pt idx="259">
                  <c:v>38705</c:v>
                </c:pt>
                <c:pt idx="260">
                  <c:v>38712</c:v>
                </c:pt>
                <c:pt idx="261">
                  <c:v>38719</c:v>
                </c:pt>
                <c:pt idx="262">
                  <c:v>38726</c:v>
                </c:pt>
                <c:pt idx="263">
                  <c:v>38733</c:v>
                </c:pt>
                <c:pt idx="264">
                  <c:v>38740</c:v>
                </c:pt>
                <c:pt idx="265">
                  <c:v>38747</c:v>
                </c:pt>
                <c:pt idx="266">
                  <c:v>38754</c:v>
                </c:pt>
                <c:pt idx="267">
                  <c:v>38761</c:v>
                </c:pt>
                <c:pt idx="268">
                  <c:v>38768</c:v>
                </c:pt>
                <c:pt idx="269">
                  <c:v>38775</c:v>
                </c:pt>
                <c:pt idx="270">
                  <c:v>38782</c:v>
                </c:pt>
                <c:pt idx="271">
                  <c:v>38789</c:v>
                </c:pt>
                <c:pt idx="272">
                  <c:v>38796</c:v>
                </c:pt>
                <c:pt idx="273">
                  <c:v>38803</c:v>
                </c:pt>
                <c:pt idx="274">
                  <c:v>38810</c:v>
                </c:pt>
                <c:pt idx="275">
                  <c:v>38817</c:v>
                </c:pt>
                <c:pt idx="276">
                  <c:v>38824</c:v>
                </c:pt>
                <c:pt idx="277">
                  <c:v>38831</c:v>
                </c:pt>
                <c:pt idx="278">
                  <c:v>38838</c:v>
                </c:pt>
                <c:pt idx="279">
                  <c:v>38845</c:v>
                </c:pt>
                <c:pt idx="280">
                  <c:v>38852</c:v>
                </c:pt>
                <c:pt idx="281">
                  <c:v>38859</c:v>
                </c:pt>
                <c:pt idx="282">
                  <c:v>38866</c:v>
                </c:pt>
                <c:pt idx="283">
                  <c:v>38873</c:v>
                </c:pt>
                <c:pt idx="284">
                  <c:v>38880</c:v>
                </c:pt>
                <c:pt idx="285">
                  <c:v>38887</c:v>
                </c:pt>
                <c:pt idx="286">
                  <c:v>38894</c:v>
                </c:pt>
                <c:pt idx="287">
                  <c:v>38901</c:v>
                </c:pt>
                <c:pt idx="288">
                  <c:v>38908</c:v>
                </c:pt>
                <c:pt idx="289">
                  <c:v>38915</c:v>
                </c:pt>
                <c:pt idx="290">
                  <c:v>38922</c:v>
                </c:pt>
                <c:pt idx="291">
                  <c:v>38929</c:v>
                </c:pt>
                <c:pt idx="292">
                  <c:v>38936</c:v>
                </c:pt>
                <c:pt idx="293">
                  <c:v>38943</c:v>
                </c:pt>
                <c:pt idx="294">
                  <c:v>38950</c:v>
                </c:pt>
                <c:pt idx="295">
                  <c:v>38957</c:v>
                </c:pt>
                <c:pt idx="296">
                  <c:v>38964</c:v>
                </c:pt>
                <c:pt idx="297">
                  <c:v>38971</c:v>
                </c:pt>
                <c:pt idx="298">
                  <c:v>38978</c:v>
                </c:pt>
                <c:pt idx="299">
                  <c:v>38985</c:v>
                </c:pt>
                <c:pt idx="300">
                  <c:v>38992</c:v>
                </c:pt>
                <c:pt idx="301">
                  <c:v>38999</c:v>
                </c:pt>
                <c:pt idx="302">
                  <c:v>39006</c:v>
                </c:pt>
                <c:pt idx="303">
                  <c:v>39013</c:v>
                </c:pt>
                <c:pt idx="304">
                  <c:v>39020</c:v>
                </c:pt>
                <c:pt idx="305">
                  <c:v>39027</c:v>
                </c:pt>
                <c:pt idx="306">
                  <c:v>39034</c:v>
                </c:pt>
                <c:pt idx="307">
                  <c:v>39041</c:v>
                </c:pt>
                <c:pt idx="308">
                  <c:v>39048</c:v>
                </c:pt>
                <c:pt idx="309">
                  <c:v>39055</c:v>
                </c:pt>
                <c:pt idx="310">
                  <c:v>39062</c:v>
                </c:pt>
                <c:pt idx="311">
                  <c:v>39069</c:v>
                </c:pt>
                <c:pt idx="312">
                  <c:v>39076</c:v>
                </c:pt>
                <c:pt idx="313">
                  <c:v>39083</c:v>
                </c:pt>
                <c:pt idx="314">
                  <c:v>39090</c:v>
                </c:pt>
                <c:pt idx="315">
                  <c:v>39097</c:v>
                </c:pt>
                <c:pt idx="316">
                  <c:v>39104</c:v>
                </c:pt>
                <c:pt idx="317">
                  <c:v>39111</c:v>
                </c:pt>
                <c:pt idx="318">
                  <c:v>39118</c:v>
                </c:pt>
                <c:pt idx="319">
                  <c:v>39125</c:v>
                </c:pt>
                <c:pt idx="320">
                  <c:v>39132</c:v>
                </c:pt>
                <c:pt idx="321">
                  <c:v>39139</c:v>
                </c:pt>
                <c:pt idx="322">
                  <c:v>39146</c:v>
                </c:pt>
                <c:pt idx="323">
                  <c:v>39153</c:v>
                </c:pt>
                <c:pt idx="324">
                  <c:v>39160</c:v>
                </c:pt>
                <c:pt idx="325">
                  <c:v>39167</c:v>
                </c:pt>
                <c:pt idx="326">
                  <c:v>39174</c:v>
                </c:pt>
                <c:pt idx="327">
                  <c:v>39181</c:v>
                </c:pt>
                <c:pt idx="328">
                  <c:v>39188</c:v>
                </c:pt>
                <c:pt idx="329">
                  <c:v>39195</c:v>
                </c:pt>
                <c:pt idx="330">
                  <c:v>39202</c:v>
                </c:pt>
                <c:pt idx="331">
                  <c:v>39209</c:v>
                </c:pt>
                <c:pt idx="332">
                  <c:v>39216</c:v>
                </c:pt>
                <c:pt idx="333">
                  <c:v>39223</c:v>
                </c:pt>
                <c:pt idx="334">
                  <c:v>39230</c:v>
                </c:pt>
                <c:pt idx="335">
                  <c:v>39237</c:v>
                </c:pt>
                <c:pt idx="336">
                  <c:v>39244</c:v>
                </c:pt>
                <c:pt idx="337">
                  <c:v>39251</c:v>
                </c:pt>
                <c:pt idx="338">
                  <c:v>39258</c:v>
                </c:pt>
                <c:pt idx="339">
                  <c:v>39265</c:v>
                </c:pt>
                <c:pt idx="340">
                  <c:v>39272</c:v>
                </c:pt>
                <c:pt idx="341">
                  <c:v>39279</c:v>
                </c:pt>
                <c:pt idx="342">
                  <c:v>39286</c:v>
                </c:pt>
                <c:pt idx="343">
                  <c:v>39293</c:v>
                </c:pt>
                <c:pt idx="344">
                  <c:v>39300</c:v>
                </c:pt>
                <c:pt idx="345">
                  <c:v>39307</c:v>
                </c:pt>
                <c:pt idx="346">
                  <c:v>39314</c:v>
                </c:pt>
                <c:pt idx="347">
                  <c:v>39321</c:v>
                </c:pt>
                <c:pt idx="348">
                  <c:v>39328</c:v>
                </c:pt>
                <c:pt idx="349">
                  <c:v>39335</c:v>
                </c:pt>
                <c:pt idx="350">
                  <c:v>39342</c:v>
                </c:pt>
                <c:pt idx="351">
                  <c:v>39349</c:v>
                </c:pt>
                <c:pt idx="352">
                  <c:v>39356</c:v>
                </c:pt>
                <c:pt idx="353">
                  <c:v>39363</c:v>
                </c:pt>
                <c:pt idx="354">
                  <c:v>39370</c:v>
                </c:pt>
                <c:pt idx="355">
                  <c:v>39377</c:v>
                </c:pt>
                <c:pt idx="356">
                  <c:v>39384</c:v>
                </c:pt>
                <c:pt idx="357">
                  <c:v>39391</c:v>
                </c:pt>
                <c:pt idx="358">
                  <c:v>39398</c:v>
                </c:pt>
                <c:pt idx="359">
                  <c:v>39405</c:v>
                </c:pt>
                <c:pt idx="360">
                  <c:v>39412</c:v>
                </c:pt>
                <c:pt idx="361">
                  <c:v>39419</c:v>
                </c:pt>
                <c:pt idx="362">
                  <c:v>39426</c:v>
                </c:pt>
                <c:pt idx="363">
                  <c:v>39433</c:v>
                </c:pt>
                <c:pt idx="364">
                  <c:v>39440</c:v>
                </c:pt>
                <c:pt idx="365">
                  <c:v>39447</c:v>
                </c:pt>
              </c:numCache>
            </c:numRef>
          </c:cat>
          <c:val>
            <c:numRef>
              <c:f>List1!$B$2:$B$367</c:f>
              <c:numCache>
                <c:formatCode>0.0</c:formatCode>
                <c:ptCount val="366"/>
                <c:pt idx="0">
                  <c:v>141.6</c:v>
                </c:pt>
                <c:pt idx="1">
                  <c:v>143.9</c:v>
                </c:pt>
                <c:pt idx="2">
                  <c:v>149.69999999999999</c:v>
                </c:pt>
                <c:pt idx="3">
                  <c:v>149.6</c:v>
                </c:pt>
                <c:pt idx="4">
                  <c:v>148.6</c:v>
                </c:pt>
                <c:pt idx="5">
                  <c:v>146.6</c:v>
                </c:pt>
                <c:pt idx="6">
                  <c:v>149.9</c:v>
                </c:pt>
                <c:pt idx="7">
                  <c:v>146.80000000000001</c:v>
                </c:pt>
                <c:pt idx="8">
                  <c:v>145</c:v>
                </c:pt>
                <c:pt idx="9">
                  <c:v>143.30000000000001</c:v>
                </c:pt>
                <c:pt idx="10">
                  <c:v>142.6</c:v>
                </c:pt>
                <c:pt idx="11">
                  <c:v>141.6</c:v>
                </c:pt>
                <c:pt idx="12">
                  <c:v>141.80000000000001</c:v>
                </c:pt>
                <c:pt idx="13">
                  <c:v>145.1</c:v>
                </c:pt>
                <c:pt idx="14">
                  <c:v>150.9</c:v>
                </c:pt>
                <c:pt idx="15">
                  <c:v>157.5</c:v>
                </c:pt>
                <c:pt idx="16">
                  <c:v>162.5</c:v>
                </c:pt>
                <c:pt idx="17">
                  <c:v>162.4</c:v>
                </c:pt>
                <c:pt idx="18">
                  <c:v>169.5</c:v>
                </c:pt>
                <c:pt idx="19">
                  <c:v>169.7</c:v>
                </c:pt>
                <c:pt idx="20">
                  <c:v>167.3</c:v>
                </c:pt>
                <c:pt idx="21">
                  <c:v>169.1</c:v>
                </c:pt>
                <c:pt idx="22">
                  <c:v>166.5</c:v>
                </c:pt>
                <c:pt idx="23">
                  <c:v>161.69999999999999</c:v>
                </c:pt>
                <c:pt idx="24">
                  <c:v>156.6</c:v>
                </c:pt>
                <c:pt idx="25">
                  <c:v>149.5</c:v>
                </c:pt>
                <c:pt idx="26">
                  <c:v>142.69999999999999</c:v>
                </c:pt>
                <c:pt idx="27">
                  <c:v>139.19999999999999</c:v>
                </c:pt>
                <c:pt idx="28">
                  <c:v>137.19999999999999</c:v>
                </c:pt>
                <c:pt idx="29">
                  <c:v>135.80000000000001</c:v>
                </c:pt>
                <c:pt idx="30">
                  <c:v>135.80000000000001</c:v>
                </c:pt>
                <c:pt idx="31">
                  <c:v>135.80000000000001</c:v>
                </c:pt>
                <c:pt idx="32">
                  <c:v>138.5</c:v>
                </c:pt>
                <c:pt idx="33">
                  <c:v>143.5</c:v>
                </c:pt>
                <c:pt idx="34">
                  <c:v>151</c:v>
                </c:pt>
                <c:pt idx="35">
                  <c:v>156.80000000000001</c:v>
                </c:pt>
                <c:pt idx="36">
                  <c:v>154.30000000000001</c:v>
                </c:pt>
                <c:pt idx="37">
                  <c:v>154.80000000000001</c:v>
                </c:pt>
                <c:pt idx="38">
                  <c:v>149.5</c:v>
                </c:pt>
                <c:pt idx="39">
                  <c:v>141.69999999999999</c:v>
                </c:pt>
                <c:pt idx="40">
                  <c:v>134.69999999999999</c:v>
                </c:pt>
                <c:pt idx="41">
                  <c:v>130.30000000000001</c:v>
                </c:pt>
                <c:pt idx="42">
                  <c:v>126</c:v>
                </c:pt>
                <c:pt idx="43">
                  <c:v>123.3</c:v>
                </c:pt>
                <c:pt idx="44">
                  <c:v>120.9</c:v>
                </c:pt>
                <c:pt idx="45">
                  <c:v>118.6</c:v>
                </c:pt>
                <c:pt idx="46">
                  <c:v>117.8</c:v>
                </c:pt>
                <c:pt idx="47">
                  <c:v>113.6</c:v>
                </c:pt>
                <c:pt idx="48">
                  <c:v>112.2</c:v>
                </c:pt>
                <c:pt idx="49">
                  <c:v>111.4</c:v>
                </c:pt>
                <c:pt idx="50">
                  <c:v>108.2</c:v>
                </c:pt>
                <c:pt idx="51">
                  <c:v>110.3</c:v>
                </c:pt>
                <c:pt idx="52">
                  <c:v>113.5</c:v>
                </c:pt>
                <c:pt idx="53">
                  <c:v>114.8</c:v>
                </c:pt>
                <c:pt idx="54">
                  <c:v>113.9</c:v>
                </c:pt>
                <c:pt idx="55">
                  <c:v>112.7</c:v>
                </c:pt>
                <c:pt idx="56">
                  <c:v>112</c:v>
                </c:pt>
                <c:pt idx="57">
                  <c:v>113.7</c:v>
                </c:pt>
                <c:pt idx="58">
                  <c:v>112.5</c:v>
                </c:pt>
                <c:pt idx="59">
                  <c:v>112.9</c:v>
                </c:pt>
                <c:pt idx="60">
                  <c:v>112.6</c:v>
                </c:pt>
                <c:pt idx="61">
                  <c:v>115.7</c:v>
                </c:pt>
                <c:pt idx="62">
                  <c:v>123.2</c:v>
                </c:pt>
                <c:pt idx="63">
                  <c:v>130</c:v>
                </c:pt>
                <c:pt idx="64">
                  <c:v>134.6</c:v>
                </c:pt>
                <c:pt idx="65">
                  <c:v>137.9</c:v>
                </c:pt>
                <c:pt idx="66">
                  <c:v>142.19999999999999</c:v>
                </c:pt>
                <c:pt idx="67">
                  <c:v>140.80000000000001</c:v>
                </c:pt>
                <c:pt idx="68">
                  <c:v>140.69999999999999</c:v>
                </c:pt>
                <c:pt idx="69">
                  <c:v>139.30000000000001</c:v>
                </c:pt>
                <c:pt idx="70">
                  <c:v>139.6</c:v>
                </c:pt>
                <c:pt idx="71">
                  <c:v>138.9</c:v>
                </c:pt>
                <c:pt idx="72">
                  <c:v>140</c:v>
                </c:pt>
                <c:pt idx="73">
                  <c:v>138.9</c:v>
                </c:pt>
                <c:pt idx="74">
                  <c:v>139.30000000000001</c:v>
                </c:pt>
                <c:pt idx="75">
                  <c:v>137.19999999999999</c:v>
                </c:pt>
                <c:pt idx="76">
                  <c:v>137.5</c:v>
                </c:pt>
                <c:pt idx="77">
                  <c:v>138.1</c:v>
                </c:pt>
                <c:pt idx="78">
                  <c:v>139.6</c:v>
                </c:pt>
                <c:pt idx="79">
                  <c:v>138.4</c:v>
                </c:pt>
                <c:pt idx="80">
                  <c:v>139.9</c:v>
                </c:pt>
                <c:pt idx="81">
                  <c:v>141.9</c:v>
                </c:pt>
                <c:pt idx="82">
                  <c:v>141.4</c:v>
                </c:pt>
                <c:pt idx="83">
                  <c:v>139.5</c:v>
                </c:pt>
                <c:pt idx="84">
                  <c:v>139.5</c:v>
                </c:pt>
                <c:pt idx="85">
                  <c:v>139.69999999999999</c:v>
                </c:pt>
                <c:pt idx="86">
                  <c:v>140.4</c:v>
                </c:pt>
                <c:pt idx="87">
                  <c:v>139.30000000000001</c:v>
                </c:pt>
                <c:pt idx="88">
                  <c:v>139.5</c:v>
                </c:pt>
                <c:pt idx="89">
                  <c:v>140.6</c:v>
                </c:pt>
                <c:pt idx="90">
                  <c:v>139.6</c:v>
                </c:pt>
                <c:pt idx="91">
                  <c:v>142.4</c:v>
                </c:pt>
                <c:pt idx="92">
                  <c:v>145.6</c:v>
                </c:pt>
                <c:pt idx="93">
                  <c:v>146.1</c:v>
                </c:pt>
                <c:pt idx="94">
                  <c:v>148.19999999999999</c:v>
                </c:pt>
                <c:pt idx="95">
                  <c:v>146.6</c:v>
                </c:pt>
                <c:pt idx="96">
                  <c:v>146.6</c:v>
                </c:pt>
                <c:pt idx="97">
                  <c:v>144.5</c:v>
                </c:pt>
                <c:pt idx="98">
                  <c:v>141</c:v>
                </c:pt>
                <c:pt idx="99">
                  <c:v>137.6</c:v>
                </c:pt>
                <c:pt idx="100">
                  <c:v>135.80000000000001</c:v>
                </c:pt>
                <c:pt idx="101">
                  <c:v>135.69999999999999</c:v>
                </c:pt>
                <c:pt idx="102">
                  <c:v>136.30000000000001</c:v>
                </c:pt>
                <c:pt idx="103">
                  <c:v>141.1</c:v>
                </c:pt>
                <c:pt idx="104">
                  <c:v>145.69999999999999</c:v>
                </c:pt>
                <c:pt idx="105">
                  <c:v>145.30000000000001</c:v>
                </c:pt>
                <c:pt idx="106">
                  <c:v>146.30000000000001</c:v>
                </c:pt>
                <c:pt idx="107">
                  <c:v>146.30000000000001</c:v>
                </c:pt>
                <c:pt idx="108">
                  <c:v>147.80000000000001</c:v>
                </c:pt>
                <c:pt idx="109">
                  <c:v>153.9</c:v>
                </c:pt>
                <c:pt idx="110">
                  <c:v>162.30000000000001</c:v>
                </c:pt>
                <c:pt idx="111">
                  <c:v>166.8</c:v>
                </c:pt>
                <c:pt idx="112">
                  <c:v>165.6</c:v>
                </c:pt>
                <c:pt idx="113">
                  <c:v>167.9</c:v>
                </c:pt>
                <c:pt idx="114">
                  <c:v>170.1</c:v>
                </c:pt>
                <c:pt idx="115">
                  <c:v>171.2</c:v>
                </c:pt>
                <c:pt idx="116">
                  <c:v>166.5</c:v>
                </c:pt>
                <c:pt idx="117">
                  <c:v>161.80000000000001</c:v>
                </c:pt>
                <c:pt idx="118">
                  <c:v>159.69999999999999</c:v>
                </c:pt>
                <c:pt idx="119">
                  <c:v>156.1</c:v>
                </c:pt>
                <c:pt idx="120">
                  <c:v>154.4</c:v>
                </c:pt>
                <c:pt idx="121">
                  <c:v>152.6</c:v>
                </c:pt>
                <c:pt idx="122">
                  <c:v>148.19999999999999</c:v>
                </c:pt>
                <c:pt idx="123">
                  <c:v>146.69999999999999</c:v>
                </c:pt>
                <c:pt idx="124">
                  <c:v>148.19999999999999</c:v>
                </c:pt>
                <c:pt idx="125">
                  <c:v>147.69999999999999</c:v>
                </c:pt>
                <c:pt idx="126">
                  <c:v>146.6</c:v>
                </c:pt>
                <c:pt idx="127">
                  <c:v>149.19999999999999</c:v>
                </c:pt>
                <c:pt idx="128">
                  <c:v>151.69999999999999</c:v>
                </c:pt>
                <c:pt idx="129">
                  <c:v>148.9</c:v>
                </c:pt>
                <c:pt idx="130">
                  <c:v>148.1</c:v>
                </c:pt>
                <c:pt idx="131">
                  <c:v>148.5</c:v>
                </c:pt>
                <c:pt idx="132">
                  <c:v>152.80000000000001</c:v>
                </c:pt>
                <c:pt idx="133">
                  <c:v>153.4</c:v>
                </c:pt>
                <c:pt idx="134">
                  <c:v>152.69999999999999</c:v>
                </c:pt>
                <c:pt idx="135">
                  <c:v>155.30000000000001</c:v>
                </c:pt>
                <c:pt idx="136">
                  <c:v>158.69999999999999</c:v>
                </c:pt>
                <c:pt idx="137">
                  <c:v>163.1</c:v>
                </c:pt>
                <c:pt idx="138">
                  <c:v>173</c:v>
                </c:pt>
                <c:pt idx="139">
                  <c:v>172.4</c:v>
                </c:pt>
                <c:pt idx="140">
                  <c:v>169</c:v>
                </c:pt>
                <c:pt idx="141">
                  <c:v>167.4</c:v>
                </c:pt>
                <c:pt idx="142">
                  <c:v>161.80000000000001</c:v>
                </c:pt>
                <c:pt idx="143">
                  <c:v>156.4</c:v>
                </c:pt>
                <c:pt idx="144">
                  <c:v>155.1</c:v>
                </c:pt>
                <c:pt idx="145">
                  <c:v>155.30000000000001</c:v>
                </c:pt>
                <c:pt idx="146">
                  <c:v>156.4</c:v>
                </c:pt>
                <c:pt idx="147">
                  <c:v>153.6</c:v>
                </c:pt>
                <c:pt idx="148">
                  <c:v>153.19999999999999</c:v>
                </c:pt>
                <c:pt idx="149">
                  <c:v>150.19999999999999</c:v>
                </c:pt>
                <c:pt idx="150">
                  <c:v>149.80000000000001</c:v>
                </c:pt>
                <c:pt idx="151">
                  <c:v>151.69999999999999</c:v>
                </c:pt>
                <c:pt idx="152">
                  <c:v>149.30000000000001</c:v>
                </c:pt>
                <c:pt idx="153">
                  <c:v>148.1</c:v>
                </c:pt>
                <c:pt idx="154">
                  <c:v>147.30000000000001</c:v>
                </c:pt>
                <c:pt idx="155">
                  <c:v>149.9</c:v>
                </c:pt>
                <c:pt idx="156">
                  <c:v>149.5</c:v>
                </c:pt>
                <c:pt idx="157">
                  <c:v>153.19999999999999</c:v>
                </c:pt>
                <c:pt idx="158">
                  <c:v>158.5</c:v>
                </c:pt>
                <c:pt idx="159">
                  <c:v>161.9</c:v>
                </c:pt>
                <c:pt idx="160">
                  <c:v>164.4</c:v>
                </c:pt>
                <c:pt idx="161">
                  <c:v>163.19999999999999</c:v>
                </c:pt>
                <c:pt idx="162">
                  <c:v>164.9</c:v>
                </c:pt>
                <c:pt idx="163">
                  <c:v>165.6</c:v>
                </c:pt>
                <c:pt idx="164">
                  <c:v>168</c:v>
                </c:pt>
                <c:pt idx="165">
                  <c:v>170.3</c:v>
                </c:pt>
                <c:pt idx="166">
                  <c:v>172.9</c:v>
                </c:pt>
                <c:pt idx="167">
                  <c:v>171.4</c:v>
                </c:pt>
                <c:pt idx="168">
                  <c:v>173.7</c:v>
                </c:pt>
                <c:pt idx="169">
                  <c:v>175.5</c:v>
                </c:pt>
                <c:pt idx="170">
                  <c:v>177.6</c:v>
                </c:pt>
                <c:pt idx="171">
                  <c:v>177.8</c:v>
                </c:pt>
                <c:pt idx="172">
                  <c:v>181</c:v>
                </c:pt>
                <c:pt idx="173">
                  <c:v>181.2</c:v>
                </c:pt>
                <c:pt idx="174">
                  <c:v>184.8</c:v>
                </c:pt>
                <c:pt idx="175">
                  <c:v>193.9</c:v>
                </c:pt>
                <c:pt idx="176">
                  <c:v>201.5</c:v>
                </c:pt>
                <c:pt idx="177">
                  <c:v>206.3</c:v>
                </c:pt>
                <c:pt idx="178">
                  <c:v>204.1</c:v>
                </c:pt>
                <c:pt idx="179">
                  <c:v>202.1</c:v>
                </c:pt>
                <c:pt idx="180">
                  <c:v>196.6</c:v>
                </c:pt>
                <c:pt idx="181">
                  <c:v>191.4</c:v>
                </c:pt>
                <c:pt idx="182">
                  <c:v>190</c:v>
                </c:pt>
                <c:pt idx="183">
                  <c:v>187.5</c:v>
                </c:pt>
                <c:pt idx="184">
                  <c:v>190.7</c:v>
                </c:pt>
                <c:pt idx="185">
                  <c:v>192.6</c:v>
                </c:pt>
                <c:pt idx="186">
                  <c:v>190.1</c:v>
                </c:pt>
                <c:pt idx="187">
                  <c:v>188.5</c:v>
                </c:pt>
                <c:pt idx="188">
                  <c:v>187.8</c:v>
                </c:pt>
                <c:pt idx="189">
                  <c:v>188.1</c:v>
                </c:pt>
                <c:pt idx="190">
                  <c:v>189.2</c:v>
                </c:pt>
                <c:pt idx="191">
                  <c:v>186.6</c:v>
                </c:pt>
                <c:pt idx="192">
                  <c:v>185.4</c:v>
                </c:pt>
                <c:pt idx="193">
                  <c:v>185.2</c:v>
                </c:pt>
                <c:pt idx="194">
                  <c:v>187.8</c:v>
                </c:pt>
                <c:pt idx="195">
                  <c:v>193.4</c:v>
                </c:pt>
                <c:pt idx="196">
                  <c:v>194.1</c:v>
                </c:pt>
                <c:pt idx="197">
                  <c:v>198.8</c:v>
                </c:pt>
                <c:pt idx="198">
                  <c:v>202.4</c:v>
                </c:pt>
                <c:pt idx="199">
                  <c:v>202</c:v>
                </c:pt>
                <c:pt idx="200">
                  <c:v>202.6</c:v>
                </c:pt>
                <c:pt idx="201">
                  <c:v>199.2</c:v>
                </c:pt>
                <c:pt idx="202">
                  <c:v>196</c:v>
                </c:pt>
                <c:pt idx="203">
                  <c:v>194.3</c:v>
                </c:pt>
                <c:pt idx="204">
                  <c:v>194.5</c:v>
                </c:pt>
                <c:pt idx="205">
                  <c:v>191</c:v>
                </c:pt>
                <c:pt idx="206">
                  <c:v>184.2</c:v>
                </c:pt>
                <c:pt idx="207">
                  <c:v>182</c:v>
                </c:pt>
                <c:pt idx="208">
                  <c:v>179.8</c:v>
                </c:pt>
                <c:pt idx="209">
                  <c:v>178.8</c:v>
                </c:pt>
                <c:pt idx="210">
                  <c:v>181.3</c:v>
                </c:pt>
                <c:pt idx="211">
                  <c:v>184.3</c:v>
                </c:pt>
                <c:pt idx="212">
                  <c:v>188</c:v>
                </c:pt>
                <c:pt idx="213">
                  <c:v>193.6</c:v>
                </c:pt>
                <c:pt idx="214">
                  <c:v>193</c:v>
                </c:pt>
                <c:pt idx="215">
                  <c:v>191.4</c:v>
                </c:pt>
                <c:pt idx="216">
                  <c:v>191.9</c:v>
                </c:pt>
                <c:pt idx="217">
                  <c:v>194.3</c:v>
                </c:pt>
                <c:pt idx="218">
                  <c:v>201.8</c:v>
                </c:pt>
                <c:pt idx="219">
                  <c:v>207.8</c:v>
                </c:pt>
                <c:pt idx="220">
                  <c:v>213.4</c:v>
                </c:pt>
                <c:pt idx="221">
                  <c:v>217.7</c:v>
                </c:pt>
                <c:pt idx="222">
                  <c:v>223.6</c:v>
                </c:pt>
                <c:pt idx="223">
                  <c:v>229</c:v>
                </c:pt>
                <c:pt idx="224">
                  <c:v>223.9</c:v>
                </c:pt>
                <c:pt idx="225">
                  <c:v>223.7</c:v>
                </c:pt>
                <c:pt idx="226">
                  <c:v>223.1</c:v>
                </c:pt>
                <c:pt idx="227">
                  <c:v>217.9</c:v>
                </c:pt>
                <c:pt idx="228">
                  <c:v>215.6</c:v>
                </c:pt>
                <c:pt idx="229">
                  <c:v>211.8</c:v>
                </c:pt>
                <c:pt idx="230">
                  <c:v>209.2</c:v>
                </c:pt>
                <c:pt idx="231">
                  <c:v>211.8</c:v>
                </c:pt>
                <c:pt idx="232">
                  <c:v>213.9</c:v>
                </c:pt>
                <c:pt idx="233">
                  <c:v>216.7</c:v>
                </c:pt>
                <c:pt idx="234">
                  <c:v>222.4</c:v>
                </c:pt>
                <c:pt idx="235">
                  <c:v>222.8</c:v>
                </c:pt>
                <c:pt idx="236">
                  <c:v>233.1</c:v>
                </c:pt>
                <c:pt idx="237">
                  <c:v>231.2</c:v>
                </c:pt>
                <c:pt idx="238">
                  <c:v>227.6</c:v>
                </c:pt>
                <c:pt idx="239">
                  <c:v>227.9</c:v>
                </c:pt>
                <c:pt idx="240">
                  <c:v>236.3</c:v>
                </c:pt>
                <c:pt idx="241">
                  <c:v>256</c:v>
                </c:pt>
                <c:pt idx="242">
                  <c:v>262.2</c:v>
                </c:pt>
                <c:pt idx="243">
                  <c:v>262.10000000000002</c:v>
                </c:pt>
                <c:pt idx="244">
                  <c:v>308.3</c:v>
                </c:pt>
                <c:pt idx="245">
                  <c:v>295.60000000000002</c:v>
                </c:pt>
                <c:pt idx="246">
                  <c:v>277.60000000000002</c:v>
                </c:pt>
                <c:pt idx="247">
                  <c:v>281.2</c:v>
                </c:pt>
                <c:pt idx="248">
                  <c:v>296.8</c:v>
                </c:pt>
                <c:pt idx="249">
                  <c:v>287.5</c:v>
                </c:pt>
                <c:pt idx="250">
                  <c:v>274.10000000000002</c:v>
                </c:pt>
                <c:pt idx="251">
                  <c:v>261.2</c:v>
                </c:pt>
                <c:pt idx="252">
                  <c:v>248.5</c:v>
                </c:pt>
                <c:pt idx="253">
                  <c:v>238.2</c:v>
                </c:pt>
                <c:pt idx="254">
                  <c:v>230.2</c:v>
                </c:pt>
                <c:pt idx="255">
                  <c:v>221.1</c:v>
                </c:pt>
                <c:pt idx="256">
                  <c:v>216.6</c:v>
                </c:pt>
                <c:pt idx="257">
                  <c:v>216.8</c:v>
                </c:pt>
                <c:pt idx="258">
                  <c:v>221.7</c:v>
                </c:pt>
                <c:pt idx="259">
                  <c:v>224.7</c:v>
                </c:pt>
                <c:pt idx="260">
                  <c:v>223</c:v>
                </c:pt>
                <c:pt idx="261">
                  <c:v>227.7</c:v>
                </c:pt>
                <c:pt idx="262">
                  <c:v>236.3</c:v>
                </c:pt>
                <c:pt idx="263">
                  <c:v>234.2</c:v>
                </c:pt>
                <c:pt idx="264">
                  <c:v>235.9</c:v>
                </c:pt>
                <c:pt idx="265">
                  <c:v>237.5</c:v>
                </c:pt>
                <c:pt idx="266">
                  <c:v>235.4</c:v>
                </c:pt>
                <c:pt idx="267">
                  <c:v>229</c:v>
                </c:pt>
                <c:pt idx="268">
                  <c:v>224.9</c:v>
                </c:pt>
                <c:pt idx="269">
                  <c:v>227.7</c:v>
                </c:pt>
                <c:pt idx="270">
                  <c:v>236</c:v>
                </c:pt>
                <c:pt idx="271">
                  <c:v>239.5</c:v>
                </c:pt>
                <c:pt idx="272">
                  <c:v>253.7</c:v>
                </c:pt>
                <c:pt idx="273">
                  <c:v>252.2</c:v>
                </c:pt>
                <c:pt idx="274">
                  <c:v>260.89999999999969</c:v>
                </c:pt>
                <c:pt idx="275">
                  <c:v>270.60000000000002</c:v>
                </c:pt>
                <c:pt idx="276">
                  <c:v>280.7</c:v>
                </c:pt>
                <c:pt idx="277">
                  <c:v>292.39999999999969</c:v>
                </c:pt>
                <c:pt idx="278">
                  <c:v>291</c:v>
                </c:pt>
                <c:pt idx="279">
                  <c:v>287.60000000000002</c:v>
                </c:pt>
                <c:pt idx="280">
                  <c:v>291.10000000000002</c:v>
                </c:pt>
                <c:pt idx="281">
                  <c:v>284.2</c:v>
                </c:pt>
                <c:pt idx="282">
                  <c:v>282.39999999999969</c:v>
                </c:pt>
                <c:pt idx="283">
                  <c:v>285.2</c:v>
                </c:pt>
                <c:pt idx="284">
                  <c:v>287.39999999999969</c:v>
                </c:pt>
                <c:pt idx="285">
                  <c:v>283.39999999999969</c:v>
                </c:pt>
                <c:pt idx="286">
                  <c:v>283.7</c:v>
                </c:pt>
                <c:pt idx="287">
                  <c:v>291.39999999999969</c:v>
                </c:pt>
                <c:pt idx="288">
                  <c:v>294.89999999999969</c:v>
                </c:pt>
                <c:pt idx="289">
                  <c:v>296.8</c:v>
                </c:pt>
                <c:pt idx="290">
                  <c:v>299.2</c:v>
                </c:pt>
                <c:pt idx="291">
                  <c:v>299.7</c:v>
                </c:pt>
                <c:pt idx="292">
                  <c:v>304.5</c:v>
                </c:pt>
                <c:pt idx="293">
                  <c:v>300</c:v>
                </c:pt>
                <c:pt idx="294">
                  <c:v>291.89999999999969</c:v>
                </c:pt>
                <c:pt idx="295">
                  <c:v>284.3</c:v>
                </c:pt>
                <c:pt idx="296">
                  <c:v>272.5</c:v>
                </c:pt>
                <c:pt idx="297">
                  <c:v>261.10000000000002</c:v>
                </c:pt>
                <c:pt idx="298">
                  <c:v>248.9</c:v>
                </c:pt>
                <c:pt idx="299">
                  <c:v>236.8</c:v>
                </c:pt>
                <c:pt idx="300">
                  <c:v>230.9</c:v>
                </c:pt>
                <c:pt idx="301">
                  <c:v>226.6</c:v>
                </c:pt>
                <c:pt idx="302">
                  <c:v>223.9</c:v>
                </c:pt>
                <c:pt idx="303">
                  <c:v>222.9</c:v>
                </c:pt>
                <c:pt idx="304">
                  <c:v>224.7</c:v>
                </c:pt>
                <c:pt idx="305">
                  <c:v>223.2</c:v>
                </c:pt>
                <c:pt idx="306">
                  <c:v>225.9</c:v>
                </c:pt>
                <c:pt idx="307">
                  <c:v>226.1</c:v>
                </c:pt>
                <c:pt idx="308">
                  <c:v>226.4</c:v>
                </c:pt>
                <c:pt idx="309">
                  <c:v>232</c:v>
                </c:pt>
                <c:pt idx="310">
                  <c:v>231.1</c:v>
                </c:pt>
                <c:pt idx="311">
                  <c:v>233.3</c:v>
                </c:pt>
                <c:pt idx="312">
                  <c:v>234.6</c:v>
                </c:pt>
                <c:pt idx="313">
                  <c:v>234</c:v>
                </c:pt>
                <c:pt idx="314">
                  <c:v>230.4</c:v>
                </c:pt>
                <c:pt idx="315">
                  <c:v>222</c:v>
                </c:pt>
                <c:pt idx="316">
                  <c:v>215.5</c:v>
                </c:pt>
                <c:pt idx="317">
                  <c:v>216.4</c:v>
                </c:pt>
                <c:pt idx="318">
                  <c:v>219.4</c:v>
                </c:pt>
                <c:pt idx="319">
                  <c:v>224</c:v>
                </c:pt>
                <c:pt idx="320">
                  <c:v>229.2</c:v>
                </c:pt>
                <c:pt idx="321">
                  <c:v>237.9</c:v>
                </c:pt>
                <c:pt idx="322">
                  <c:v>250.4</c:v>
                </c:pt>
                <c:pt idx="323">
                  <c:v>254.2</c:v>
                </c:pt>
                <c:pt idx="324">
                  <c:v>255.4</c:v>
                </c:pt>
                <c:pt idx="325">
                  <c:v>258.2</c:v>
                </c:pt>
                <c:pt idx="326">
                  <c:v>267.8</c:v>
                </c:pt>
                <c:pt idx="327">
                  <c:v>279</c:v>
                </c:pt>
                <c:pt idx="328">
                  <c:v>286.60000000000002</c:v>
                </c:pt>
                <c:pt idx="329">
                  <c:v>285.7</c:v>
                </c:pt>
                <c:pt idx="330">
                  <c:v>296.60000000000002</c:v>
                </c:pt>
                <c:pt idx="331">
                  <c:v>304.3</c:v>
                </c:pt>
                <c:pt idx="332">
                  <c:v>310.60000000000002</c:v>
                </c:pt>
                <c:pt idx="333">
                  <c:v>324.7</c:v>
                </c:pt>
                <c:pt idx="334">
                  <c:v>323.3</c:v>
                </c:pt>
                <c:pt idx="335">
                  <c:v>317.2</c:v>
                </c:pt>
                <c:pt idx="336">
                  <c:v>308.3</c:v>
                </c:pt>
                <c:pt idx="337">
                  <c:v>301.8</c:v>
                </c:pt>
                <c:pt idx="338">
                  <c:v>299.5</c:v>
                </c:pt>
                <c:pt idx="339">
                  <c:v>297.60000000000002</c:v>
                </c:pt>
                <c:pt idx="340">
                  <c:v>301</c:v>
                </c:pt>
                <c:pt idx="341">
                  <c:v>308.39999999999969</c:v>
                </c:pt>
                <c:pt idx="342">
                  <c:v>298</c:v>
                </c:pt>
                <c:pt idx="343">
                  <c:v>289.39999999999969</c:v>
                </c:pt>
                <c:pt idx="344">
                  <c:v>286.10000000000002</c:v>
                </c:pt>
                <c:pt idx="345">
                  <c:v>279.7</c:v>
                </c:pt>
                <c:pt idx="346">
                  <c:v>282.5</c:v>
                </c:pt>
                <c:pt idx="347">
                  <c:v>279.89999999999969</c:v>
                </c:pt>
                <c:pt idx="348">
                  <c:v>285.7</c:v>
                </c:pt>
                <c:pt idx="349">
                  <c:v>287.89999999999969</c:v>
                </c:pt>
                <c:pt idx="350">
                  <c:v>283.60000000000002</c:v>
                </c:pt>
                <c:pt idx="351">
                  <c:v>286.10000000000002</c:v>
                </c:pt>
                <c:pt idx="352">
                  <c:v>283.2</c:v>
                </c:pt>
                <c:pt idx="353">
                  <c:v>280.89999999999969</c:v>
                </c:pt>
                <c:pt idx="354">
                  <c:v>279.3</c:v>
                </c:pt>
                <c:pt idx="355">
                  <c:v>285.3</c:v>
                </c:pt>
                <c:pt idx="356">
                  <c:v>290.5</c:v>
                </c:pt>
                <c:pt idx="357">
                  <c:v>305.10000000000002</c:v>
                </c:pt>
                <c:pt idx="358">
                  <c:v>314.60000000000002</c:v>
                </c:pt>
                <c:pt idx="359">
                  <c:v>312.3</c:v>
                </c:pt>
                <c:pt idx="360">
                  <c:v>311.8</c:v>
                </c:pt>
                <c:pt idx="361">
                  <c:v>307.7</c:v>
                </c:pt>
                <c:pt idx="362">
                  <c:v>300.7</c:v>
                </c:pt>
                <c:pt idx="363">
                  <c:v>301.10000000000002</c:v>
                </c:pt>
                <c:pt idx="364">
                  <c:v>299.10000000000002</c:v>
                </c:pt>
                <c:pt idx="365">
                  <c:v>307.60000000000002</c:v>
                </c:pt>
              </c:numCache>
            </c:numRef>
          </c:val>
        </c:ser>
        <c:marker val="1"/>
        <c:axId val="118878208"/>
        <c:axId val="118879744"/>
      </c:lineChart>
      <c:dateAx>
        <c:axId val="118878208"/>
        <c:scaling>
          <c:orientation val="minMax"/>
        </c:scaling>
        <c:axPos val="b"/>
        <c:numFmt formatCode="d/m/yyyy" sourceLinked="1"/>
        <c:majorTickMark val="none"/>
        <c:tickLblPos val="nextTo"/>
        <c:txPr>
          <a:bodyPr rot="-5400000" vert="horz" anchor="t" anchorCtr="1"/>
          <a:lstStyle/>
          <a:p>
            <a:pPr>
              <a:defRPr>
                <a:latin typeface="Times New Roman" pitchFamily="18" charset="0"/>
                <a:cs typeface="Times New Roman" pitchFamily="18" charset="0"/>
              </a:defRPr>
            </a:pPr>
            <a:endParaRPr lang="cs-CZ"/>
          </a:p>
        </c:txPr>
        <c:crossAx val="118879744"/>
        <c:crosses val="autoZero"/>
        <c:auto val="1"/>
        <c:lblOffset val="100"/>
      </c:dateAx>
      <c:valAx>
        <c:axId val="118879744"/>
        <c:scaling>
          <c:orientation val="minMax"/>
        </c:scaling>
        <c:axPos val="l"/>
        <c:majorGridlines>
          <c:spPr>
            <a:ln>
              <a:solidFill>
                <a:srgbClr val="002776"/>
              </a:solidFill>
            </a:ln>
          </c:spPr>
        </c:majorGridlines>
        <c:numFmt formatCode="0.0" sourceLinked="1"/>
        <c:majorTickMark val="none"/>
        <c:tickLblPos val="nextTo"/>
        <c:txPr>
          <a:bodyPr/>
          <a:lstStyle/>
          <a:p>
            <a:pPr>
              <a:defRPr>
                <a:latin typeface="Times New Roman" pitchFamily="18" charset="0"/>
                <a:cs typeface="Times New Roman" pitchFamily="18" charset="0"/>
              </a:defRPr>
            </a:pPr>
            <a:endParaRPr lang="cs-CZ"/>
          </a:p>
        </c:txPr>
        <c:crossAx val="118878208"/>
        <c:crosses val="autoZero"/>
        <c:crossBetween val="between"/>
      </c:valAx>
    </c:plotArea>
    <c:legend>
      <c:legendPos val="b"/>
      <c:txPr>
        <a:bodyPr/>
        <a:lstStyle/>
        <a:p>
          <a:pPr>
            <a:defRPr>
              <a:latin typeface="Times New Roman" pitchFamily="18" charset="0"/>
              <a:cs typeface="Times New Roman" pitchFamily="18" charset="0"/>
            </a:defRPr>
          </a:pPr>
          <a:endParaRPr lang="cs-CZ"/>
        </a:p>
      </c:txPr>
    </c:legend>
    <c:plotVisOnly val="1"/>
  </c:chart>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cs-CZ"/>
  <c:style val="4"/>
  <c:clrMapOvr bg1="lt1" tx1="dk1" bg2="lt2" tx2="dk2" accent1="accent1" accent2="accent2" accent3="accent3" accent4="accent4" accent5="accent5" accent6="accent6" hlink="hlink" folHlink="folHlink"/>
  <c:chart>
    <c:autoTitleDeleted val="1"/>
    <c:view3D>
      <c:rAngAx val="1"/>
    </c:view3D>
    <c:plotArea>
      <c:layout/>
      <c:bar3DChart>
        <c:barDir val="col"/>
        <c:grouping val="clustered"/>
        <c:ser>
          <c:idx val="0"/>
          <c:order val="0"/>
          <c:tx>
            <c:strRef>
              <c:f>List1!$B$1</c:f>
              <c:strCache>
                <c:ptCount val="1"/>
                <c:pt idx="0">
                  <c:v>inflace (%)</c:v>
                </c:pt>
              </c:strCache>
            </c:strRef>
          </c:tx>
          <c:spPr>
            <a:gradFill rotWithShape="1">
              <a:gsLst>
                <a:gs pos="0">
                  <a:srgbClr val="92D400">
                    <a:shade val="51000"/>
                    <a:satMod val="130000"/>
                  </a:srgbClr>
                </a:gs>
                <a:gs pos="80000">
                  <a:srgbClr val="92D400">
                    <a:shade val="93000"/>
                    <a:satMod val="130000"/>
                  </a:srgbClr>
                </a:gs>
                <a:gs pos="100000">
                  <a:srgbClr val="92D40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a:latin typeface="Times New Roman" pitchFamily="18" charset="0"/>
                    <a:cs typeface="Times New Roman" pitchFamily="18" charset="0"/>
                  </a:defRPr>
                </a:pPr>
                <a:endParaRPr lang="cs-CZ"/>
              </a:p>
            </c:txPr>
            <c:showVal val="1"/>
          </c:dLbls>
          <c:cat>
            <c:strRef>
              <c:f>List1!$A$2:$A$9</c:f>
              <c:strCache>
                <c:ptCount val="8"/>
                <c:pt idx="0">
                  <c:v>květen</c:v>
                </c:pt>
                <c:pt idx="1">
                  <c:v>červen</c:v>
                </c:pt>
                <c:pt idx="2">
                  <c:v>červenec</c:v>
                </c:pt>
                <c:pt idx="3">
                  <c:v>srpen</c:v>
                </c:pt>
                <c:pt idx="4">
                  <c:v>září</c:v>
                </c:pt>
                <c:pt idx="5">
                  <c:v>říjen</c:v>
                </c:pt>
                <c:pt idx="6">
                  <c:v>listopad</c:v>
                </c:pt>
                <c:pt idx="7">
                  <c:v>prosinec</c:v>
                </c:pt>
              </c:strCache>
            </c:strRef>
          </c:cat>
          <c:val>
            <c:numRef>
              <c:f>List1!$B$2:$B$9</c:f>
              <c:numCache>
                <c:formatCode>General</c:formatCode>
                <c:ptCount val="8"/>
                <c:pt idx="0">
                  <c:v>4.0999999999999996</c:v>
                </c:pt>
                <c:pt idx="1">
                  <c:v>4.3</c:v>
                </c:pt>
                <c:pt idx="2">
                  <c:v>4.2</c:v>
                </c:pt>
                <c:pt idx="3">
                  <c:v>3.9</c:v>
                </c:pt>
                <c:pt idx="4">
                  <c:v>2.1</c:v>
                </c:pt>
                <c:pt idx="5">
                  <c:v>1.3</c:v>
                </c:pt>
                <c:pt idx="6">
                  <c:v>2</c:v>
                </c:pt>
                <c:pt idx="7">
                  <c:v>2.5</c:v>
                </c:pt>
              </c:numCache>
            </c:numRef>
          </c:val>
        </c:ser>
        <c:gapWidth val="75"/>
        <c:shape val="box"/>
        <c:axId val="118814208"/>
        <c:axId val="118815744"/>
        <c:axId val="0"/>
      </c:bar3DChart>
      <c:catAx>
        <c:axId val="118814208"/>
        <c:scaling>
          <c:orientation val="minMax"/>
        </c:scaling>
        <c:axPos val="b"/>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18815744"/>
        <c:crosses val="autoZero"/>
        <c:auto val="1"/>
        <c:lblAlgn val="ctr"/>
        <c:lblOffset val="100"/>
      </c:catAx>
      <c:valAx>
        <c:axId val="118815744"/>
        <c:scaling>
          <c:orientation val="minMax"/>
        </c:scaling>
        <c:axPos val="l"/>
        <c:majorGridlines>
          <c:spPr>
            <a:ln>
              <a:solidFill>
                <a:srgbClr val="002776"/>
              </a:solidFill>
            </a:ln>
          </c:spPr>
        </c:majorGridlines>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18814208"/>
        <c:crosses val="autoZero"/>
        <c:crossBetween val="between"/>
      </c:valAx>
    </c:plotArea>
    <c:legend>
      <c:legendPos val="b"/>
      <c:txPr>
        <a:bodyPr/>
        <a:lstStyle/>
        <a:p>
          <a:pPr>
            <a:defRPr>
              <a:latin typeface="Times New Roman" pitchFamily="18" charset="0"/>
              <a:cs typeface="Times New Roman" pitchFamily="18" charset="0"/>
            </a:defRPr>
          </a:pPr>
          <a:endParaRPr lang="cs-CZ"/>
        </a:p>
      </c:txPr>
    </c:legend>
    <c:plotVisOnly val="1"/>
  </c:chart>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cs-CZ"/>
  <c:style val="4"/>
  <c:clrMapOvr bg1="lt1" tx1="dk1" bg2="lt2" tx2="dk2" accent1="accent1" accent2="accent2" accent3="accent3" accent4="accent4" accent5="accent5" accent6="accent6" hlink="hlink" folHlink="folHlink"/>
  <c:chart>
    <c:autoTitleDeleted val="1"/>
    <c:view3D>
      <c:rAngAx val="1"/>
    </c:view3D>
    <c:plotArea>
      <c:layout/>
      <c:bar3DChart>
        <c:barDir val="col"/>
        <c:grouping val="clustered"/>
        <c:ser>
          <c:idx val="0"/>
          <c:order val="0"/>
          <c:tx>
            <c:strRef>
              <c:f>List1!$B$1</c:f>
              <c:strCache>
                <c:ptCount val="1"/>
                <c:pt idx="0">
                  <c:v>Počet nových rodinných domů na prodej v USA (tis.)</c:v>
                </c:pt>
              </c:strCache>
            </c:strRef>
          </c:tx>
          <c:spPr>
            <a:gradFill rotWithShape="1">
              <a:gsLst>
                <a:gs pos="0">
                  <a:srgbClr val="92D400">
                    <a:shade val="51000"/>
                    <a:satMod val="130000"/>
                  </a:srgbClr>
                </a:gs>
                <a:gs pos="80000">
                  <a:srgbClr val="92D400">
                    <a:shade val="93000"/>
                    <a:satMod val="130000"/>
                  </a:srgbClr>
                </a:gs>
                <a:gs pos="100000">
                  <a:srgbClr val="92D40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a:latin typeface="Times New Roman" pitchFamily="18" charset="0"/>
                    <a:cs typeface="Times New Roman" pitchFamily="18" charset="0"/>
                  </a:defRPr>
                </a:pPr>
                <a:endParaRPr lang="cs-CZ"/>
              </a:p>
            </c:txPr>
            <c:showVal val="1"/>
          </c:dLbls>
          <c:cat>
            <c:strRef>
              <c:f>List1!$A$2:$A$12</c:f>
              <c:strCache>
                <c:ptCount val="11"/>
                <c:pt idx="0">
                  <c:v>únor- květen</c:v>
                </c:pt>
                <c:pt idx="1">
                  <c:v>červen- září</c:v>
                </c:pt>
                <c:pt idx="2">
                  <c:v>říjen- leden 2007</c:v>
                </c:pt>
                <c:pt idx="3">
                  <c:v>únor- květen</c:v>
                </c:pt>
                <c:pt idx="4">
                  <c:v>červen- září</c:v>
                </c:pt>
                <c:pt idx="5">
                  <c:v>říjen- leden 2008</c:v>
                </c:pt>
                <c:pt idx="6">
                  <c:v>únor- květen</c:v>
                </c:pt>
                <c:pt idx="7">
                  <c:v>červen- září</c:v>
                </c:pt>
                <c:pt idx="8">
                  <c:v>říjen- leden 2009</c:v>
                </c:pt>
                <c:pt idx="9">
                  <c:v>únor- květen</c:v>
                </c:pt>
                <c:pt idx="10">
                  <c:v>červen- září</c:v>
                </c:pt>
              </c:strCache>
            </c:strRef>
          </c:cat>
          <c:val>
            <c:numRef>
              <c:f>List1!$B$2:$B$12</c:f>
              <c:numCache>
                <c:formatCode>0.0</c:formatCode>
                <c:ptCount val="11"/>
                <c:pt idx="0">
                  <c:v>551</c:v>
                </c:pt>
                <c:pt idx="1">
                  <c:v>567.29999999999995</c:v>
                </c:pt>
                <c:pt idx="2">
                  <c:v>545.5</c:v>
                </c:pt>
                <c:pt idx="3">
                  <c:v>542</c:v>
                </c:pt>
                <c:pt idx="4">
                  <c:v>536.5</c:v>
                </c:pt>
                <c:pt idx="5">
                  <c:v>502.5</c:v>
                </c:pt>
                <c:pt idx="6">
                  <c:v>462.3</c:v>
                </c:pt>
                <c:pt idx="7">
                  <c:v>416.3</c:v>
                </c:pt>
                <c:pt idx="8">
                  <c:v>361.3</c:v>
                </c:pt>
                <c:pt idx="9">
                  <c:v>306.3</c:v>
                </c:pt>
                <c:pt idx="10">
                  <c:v>266.8</c:v>
                </c:pt>
              </c:numCache>
            </c:numRef>
          </c:val>
        </c:ser>
        <c:gapWidth val="75"/>
        <c:shape val="box"/>
        <c:axId val="67722240"/>
        <c:axId val="119067392"/>
        <c:axId val="0"/>
      </c:bar3DChart>
      <c:catAx>
        <c:axId val="67722240"/>
        <c:scaling>
          <c:orientation val="minMax"/>
        </c:scaling>
        <c:axPos val="b"/>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19067392"/>
        <c:crosses val="autoZero"/>
        <c:auto val="1"/>
        <c:lblAlgn val="ctr"/>
        <c:lblOffset val="100"/>
      </c:catAx>
      <c:valAx>
        <c:axId val="119067392"/>
        <c:scaling>
          <c:orientation val="minMax"/>
        </c:scaling>
        <c:axPos val="l"/>
        <c:majorGridlines>
          <c:spPr>
            <a:ln>
              <a:solidFill>
                <a:srgbClr val="002776"/>
              </a:solidFill>
            </a:ln>
          </c:spPr>
        </c:majorGridlines>
        <c:numFmt formatCode="0.0" sourceLinked="1"/>
        <c:majorTickMark val="none"/>
        <c:tickLblPos val="nextTo"/>
        <c:txPr>
          <a:bodyPr/>
          <a:lstStyle/>
          <a:p>
            <a:pPr>
              <a:defRPr>
                <a:latin typeface="Times New Roman" pitchFamily="18" charset="0"/>
                <a:cs typeface="Times New Roman" pitchFamily="18" charset="0"/>
              </a:defRPr>
            </a:pPr>
            <a:endParaRPr lang="cs-CZ"/>
          </a:p>
        </c:txPr>
        <c:crossAx val="67722240"/>
        <c:crosses val="autoZero"/>
        <c:crossBetween val="between"/>
      </c:valAx>
    </c:plotArea>
    <c:legend>
      <c:legendPos val="b"/>
      <c:txPr>
        <a:bodyPr/>
        <a:lstStyle/>
        <a:p>
          <a:pPr>
            <a:defRPr>
              <a:latin typeface="Times New Roman" pitchFamily="18" charset="0"/>
              <a:cs typeface="Times New Roman" pitchFamily="18" charset="0"/>
            </a:defRPr>
          </a:pPr>
          <a:endParaRPr lang="cs-CZ"/>
        </a:p>
      </c:txPr>
    </c:legend>
    <c:plotVisOnly val="1"/>
  </c:chart>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cs-CZ"/>
  <c:style val="4"/>
  <c:clrMapOvr bg1="lt1" tx1="dk1" bg2="lt2" tx2="dk2" accent1="accent1" accent2="accent2" accent3="accent3" accent4="accent4" accent5="accent5" accent6="accent6" hlink="hlink" folHlink="folHlink"/>
  <c:chart>
    <c:autoTitleDeleted val="1"/>
    <c:view3D>
      <c:rAngAx val="1"/>
    </c:view3D>
    <c:plotArea>
      <c:layout/>
      <c:bar3DChart>
        <c:barDir val="col"/>
        <c:grouping val="clustered"/>
        <c:ser>
          <c:idx val="0"/>
          <c:order val="0"/>
          <c:tx>
            <c:strRef>
              <c:f>List1!$B$1</c:f>
              <c:strCache>
                <c:ptCount val="1"/>
                <c:pt idx="0">
                  <c:v>Čtvrtletní změna reálného HDP USA (%)</c:v>
                </c:pt>
              </c:strCache>
            </c:strRef>
          </c:tx>
          <c:spPr>
            <a:gradFill rotWithShape="1">
              <a:gsLst>
                <a:gs pos="0">
                  <a:srgbClr val="92D400">
                    <a:shade val="51000"/>
                    <a:satMod val="130000"/>
                  </a:srgbClr>
                </a:gs>
                <a:gs pos="80000">
                  <a:srgbClr val="92D400">
                    <a:shade val="93000"/>
                    <a:satMod val="130000"/>
                  </a:srgbClr>
                </a:gs>
                <a:gs pos="100000">
                  <a:srgbClr val="92D40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a:latin typeface="Times New Roman" pitchFamily="18" charset="0"/>
                    <a:cs typeface="Times New Roman" pitchFamily="18" charset="0"/>
                  </a:defRPr>
                </a:pPr>
                <a:endParaRPr lang="cs-CZ"/>
              </a:p>
            </c:txPr>
            <c:showVal val="1"/>
          </c:dLbls>
          <c:cat>
            <c:strRef>
              <c:f>List1!$A$2:$A$13</c:f>
              <c:strCache>
                <c:ptCount val="12"/>
                <c:pt idx="0">
                  <c:v>2006-IV</c:v>
                </c:pt>
                <c:pt idx="1">
                  <c:v>2007-I</c:v>
                </c:pt>
                <c:pt idx="2">
                  <c:v>2007-II</c:v>
                </c:pt>
                <c:pt idx="3">
                  <c:v>2007-III</c:v>
                </c:pt>
                <c:pt idx="4">
                  <c:v>2007-IV</c:v>
                </c:pt>
                <c:pt idx="5">
                  <c:v>2008-I</c:v>
                </c:pt>
                <c:pt idx="6">
                  <c:v>2008-II</c:v>
                </c:pt>
                <c:pt idx="7">
                  <c:v>2008-III</c:v>
                </c:pt>
                <c:pt idx="8">
                  <c:v>2008-IV</c:v>
                </c:pt>
                <c:pt idx="9">
                  <c:v>2009-I</c:v>
                </c:pt>
                <c:pt idx="10">
                  <c:v>2009-II</c:v>
                </c:pt>
                <c:pt idx="11">
                  <c:v>2009-III</c:v>
                </c:pt>
              </c:strCache>
            </c:strRef>
          </c:cat>
          <c:val>
            <c:numRef>
              <c:f>List1!$B$2:$B$13</c:f>
              <c:numCache>
                <c:formatCode>General</c:formatCode>
                <c:ptCount val="12"/>
                <c:pt idx="0">
                  <c:v>2.6</c:v>
                </c:pt>
                <c:pt idx="1">
                  <c:v>1.5</c:v>
                </c:pt>
                <c:pt idx="2">
                  <c:v>1.9000000000000001</c:v>
                </c:pt>
                <c:pt idx="3">
                  <c:v>2.8</c:v>
                </c:pt>
                <c:pt idx="4">
                  <c:v>2.2999999999999998</c:v>
                </c:pt>
                <c:pt idx="5">
                  <c:v>2.5</c:v>
                </c:pt>
                <c:pt idx="6">
                  <c:v>2.1</c:v>
                </c:pt>
                <c:pt idx="7">
                  <c:v>0</c:v>
                </c:pt>
                <c:pt idx="8">
                  <c:v>-1.9000000000000001</c:v>
                </c:pt>
                <c:pt idx="9">
                  <c:v>-3.3</c:v>
                </c:pt>
                <c:pt idx="10">
                  <c:v>-3.8</c:v>
                </c:pt>
                <c:pt idx="11">
                  <c:v>-2.6</c:v>
                </c:pt>
              </c:numCache>
            </c:numRef>
          </c:val>
        </c:ser>
        <c:gapWidth val="75"/>
        <c:shape val="box"/>
        <c:axId val="120878976"/>
        <c:axId val="120880512"/>
        <c:axId val="0"/>
      </c:bar3DChart>
      <c:catAx>
        <c:axId val="120878976"/>
        <c:scaling>
          <c:orientation val="minMax"/>
        </c:scaling>
        <c:axPos val="b"/>
        <c:numFmt formatCode="General" sourceLinked="1"/>
        <c:majorTickMark val="none"/>
        <c:tickLblPos val="nextTo"/>
        <c:txPr>
          <a:bodyPr rot="-5400000" vert="horz" anchor="ctr" anchorCtr="0"/>
          <a:lstStyle/>
          <a:p>
            <a:pPr>
              <a:defRPr>
                <a:latin typeface="Times New Roman" pitchFamily="18" charset="0"/>
                <a:cs typeface="Times New Roman" pitchFamily="18" charset="0"/>
              </a:defRPr>
            </a:pPr>
            <a:endParaRPr lang="cs-CZ"/>
          </a:p>
        </c:txPr>
        <c:crossAx val="120880512"/>
        <c:crosses val="autoZero"/>
        <c:auto val="1"/>
        <c:lblAlgn val="ctr"/>
        <c:lblOffset val="100"/>
      </c:catAx>
      <c:valAx>
        <c:axId val="120880512"/>
        <c:scaling>
          <c:orientation val="minMax"/>
        </c:scaling>
        <c:axPos val="l"/>
        <c:majorGridlines>
          <c:spPr>
            <a:ln>
              <a:solidFill>
                <a:srgbClr val="002776"/>
              </a:solidFill>
            </a:ln>
          </c:spPr>
        </c:majorGridlines>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20878976"/>
        <c:crosses val="autoZero"/>
        <c:crossBetween val="between"/>
      </c:valAx>
    </c:plotArea>
    <c:legend>
      <c:legendPos val="b"/>
      <c:txPr>
        <a:bodyPr/>
        <a:lstStyle/>
        <a:p>
          <a:pPr>
            <a:defRPr>
              <a:latin typeface="Times New Roman" pitchFamily="18" charset="0"/>
              <a:cs typeface="Times New Roman" pitchFamily="18" charset="0"/>
            </a:defRPr>
          </a:pPr>
          <a:endParaRPr lang="cs-CZ"/>
        </a:p>
      </c:txPr>
    </c:legend>
    <c:plotVisOnly val="1"/>
  </c:chart>
  <c:externalData r:id="rId2"/>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cs-CZ"/>
  <c:style val="4"/>
  <c:clrMapOvr bg1="lt1" tx1="dk1" bg2="lt2" tx2="dk2" accent1="accent1" accent2="accent2" accent3="accent3" accent4="accent4" accent5="accent5" accent6="accent6" hlink="hlink" folHlink="folHlink"/>
  <c:chart>
    <c:autoTitleDeleted val="1"/>
    <c:view3D>
      <c:rAngAx val="1"/>
    </c:view3D>
    <c:plotArea>
      <c:layout/>
      <c:bar3DChart>
        <c:barDir val="col"/>
        <c:grouping val="clustered"/>
        <c:ser>
          <c:idx val="0"/>
          <c:order val="0"/>
          <c:tx>
            <c:strRef>
              <c:f>List1!$B$1</c:f>
              <c:strCache>
                <c:ptCount val="1"/>
                <c:pt idx="0">
                  <c:v>Míra nezaměstnanosti (%)</c:v>
                </c:pt>
              </c:strCache>
            </c:strRef>
          </c:tx>
          <c:spPr>
            <a:gradFill rotWithShape="1">
              <a:gsLst>
                <a:gs pos="0">
                  <a:srgbClr val="92D400">
                    <a:shade val="51000"/>
                    <a:satMod val="130000"/>
                  </a:srgbClr>
                </a:gs>
                <a:gs pos="80000">
                  <a:srgbClr val="92D400">
                    <a:shade val="93000"/>
                    <a:satMod val="130000"/>
                  </a:srgbClr>
                </a:gs>
                <a:gs pos="100000">
                  <a:srgbClr val="92D40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howVal val="1"/>
          </c:dLbls>
          <c:cat>
            <c:strRef>
              <c:f>List1!$A$2:$A$9</c:f>
              <c:strCache>
                <c:ptCount val="8"/>
                <c:pt idx="0">
                  <c:v>2008-I</c:v>
                </c:pt>
                <c:pt idx="1">
                  <c:v>2008-II</c:v>
                </c:pt>
                <c:pt idx="2">
                  <c:v>2008-III</c:v>
                </c:pt>
                <c:pt idx="3">
                  <c:v>2008-IV</c:v>
                </c:pt>
                <c:pt idx="4">
                  <c:v>2009-I</c:v>
                </c:pt>
                <c:pt idx="5">
                  <c:v>2009-II</c:v>
                </c:pt>
                <c:pt idx="6">
                  <c:v>2009-III</c:v>
                </c:pt>
                <c:pt idx="7">
                  <c:v>2009-IV</c:v>
                </c:pt>
              </c:strCache>
            </c:strRef>
          </c:cat>
          <c:val>
            <c:numRef>
              <c:f>List1!$B$2:$B$9</c:f>
              <c:numCache>
                <c:formatCode>General</c:formatCode>
                <c:ptCount val="8"/>
                <c:pt idx="0">
                  <c:v>5</c:v>
                </c:pt>
                <c:pt idx="1">
                  <c:v>5.6</c:v>
                </c:pt>
                <c:pt idx="2">
                  <c:v>6.3</c:v>
                </c:pt>
                <c:pt idx="3">
                  <c:v>7.2</c:v>
                </c:pt>
                <c:pt idx="4">
                  <c:v>8.5</c:v>
                </c:pt>
                <c:pt idx="5">
                  <c:v>9.4</c:v>
                </c:pt>
                <c:pt idx="6">
                  <c:v>9.9</c:v>
                </c:pt>
                <c:pt idx="7">
                  <c:v>9.9</c:v>
                </c:pt>
              </c:numCache>
            </c:numRef>
          </c:val>
        </c:ser>
        <c:gapWidth val="75"/>
        <c:shape val="box"/>
        <c:axId val="121146752"/>
        <c:axId val="121156736"/>
        <c:axId val="0"/>
      </c:bar3DChart>
      <c:catAx>
        <c:axId val="121146752"/>
        <c:scaling>
          <c:orientation val="minMax"/>
        </c:scaling>
        <c:axPos val="b"/>
        <c:numFmt formatCode="General" sourceLinked="1"/>
        <c:majorTickMark val="none"/>
        <c:tickLblPos val="nextTo"/>
        <c:crossAx val="121156736"/>
        <c:crosses val="autoZero"/>
        <c:auto val="1"/>
        <c:lblAlgn val="ctr"/>
        <c:lblOffset val="100"/>
      </c:catAx>
      <c:valAx>
        <c:axId val="121156736"/>
        <c:scaling>
          <c:orientation val="minMax"/>
        </c:scaling>
        <c:axPos val="l"/>
        <c:majorGridlines>
          <c:spPr>
            <a:ln>
              <a:solidFill>
                <a:srgbClr val="002776"/>
              </a:solidFill>
            </a:ln>
          </c:spPr>
        </c:majorGridlines>
        <c:numFmt formatCode="General" sourceLinked="1"/>
        <c:majorTickMark val="none"/>
        <c:tickLblPos val="nextTo"/>
        <c:crossAx val="121146752"/>
        <c:crosses val="autoZero"/>
        <c:crossBetween val="between"/>
      </c:valAx>
    </c:plotArea>
    <c:legend>
      <c:legendPos val="b"/>
    </c:legend>
    <c:plotVisOnly val="1"/>
  </c:chart>
  <c:txPr>
    <a:bodyPr/>
    <a:lstStyle/>
    <a:p>
      <a:pPr>
        <a:defRPr>
          <a:latin typeface="Times New Roman" pitchFamily="18" charset="0"/>
          <a:cs typeface="Times New Roman" pitchFamily="18" charset="0"/>
        </a:defRPr>
      </a:pPr>
      <a:endParaRPr lang="cs-CZ"/>
    </a:p>
  </c:txPr>
  <c:externalData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cs-CZ"/>
  <c:style val="20"/>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5930704996953913E-2"/>
          <c:y val="4.3650793650793704E-2"/>
          <c:w val="0.38161721931355808"/>
          <c:h val="0.65079365079365814"/>
        </c:manualLayout>
      </c:layout>
      <c:doughnutChart>
        <c:ser>
          <c:idx val="0"/>
          <c:order val="0"/>
          <c:dPt>
            <c:idx val="2"/>
            <c:spPr>
              <a:solidFill>
                <a:srgbClr val="003399"/>
              </a:solidFill>
            </c:spPr>
          </c:dPt>
          <c:dPt>
            <c:idx val="3"/>
            <c:spPr>
              <a:solidFill>
                <a:srgbClr val="003399">
                  <a:alpha val="75000"/>
                </a:srgbClr>
              </a:solidFill>
            </c:spPr>
          </c:dPt>
          <c:dPt>
            <c:idx val="4"/>
            <c:spPr>
              <a:solidFill>
                <a:srgbClr val="003399">
                  <a:alpha val="51000"/>
                </a:srgbClr>
              </a:solidFill>
            </c:spPr>
          </c:dPt>
          <c:dPt>
            <c:idx val="5"/>
            <c:spPr>
              <a:solidFill>
                <a:srgbClr val="003399">
                  <a:alpha val="77000"/>
                </a:srgbClr>
              </a:solidFill>
            </c:spPr>
          </c:dPt>
          <c:dPt>
            <c:idx val="6"/>
            <c:spPr>
              <a:solidFill>
                <a:srgbClr val="003399">
                  <a:alpha val="45000"/>
                </a:srgbClr>
              </a:solidFill>
            </c:spPr>
          </c:dPt>
          <c:dPt>
            <c:idx val="7"/>
            <c:spPr>
              <a:solidFill>
                <a:srgbClr val="003399">
                  <a:alpha val="20000"/>
                </a:srgbClr>
              </a:solidFill>
            </c:spPr>
          </c:dPt>
          <c:dLbls>
            <c:dLbl>
              <c:idx val="0"/>
              <c:layout>
                <c:manualLayout>
                  <c:x val="7.6788830715532302E-2"/>
                  <c:y val="8.3333333333333343E-2"/>
                </c:manualLayout>
              </c:layout>
              <c:showVal val="1"/>
            </c:dLbl>
            <c:dLbl>
              <c:idx val="2"/>
              <c:layout>
                <c:manualLayout>
                  <c:x val="-7.6788830715532302E-2"/>
                  <c:y val="-1.1904761904761921E-2"/>
                </c:manualLayout>
              </c:layout>
              <c:showVal val="1"/>
            </c:dLbl>
            <c:dLbl>
              <c:idx val="3"/>
              <c:layout>
                <c:manualLayout>
                  <c:x val="-7.6788830715532302E-2"/>
                  <c:y val="-5.9523809523809507E-2"/>
                </c:manualLayout>
              </c:layout>
              <c:showVal val="1"/>
            </c:dLbl>
            <c:dLbl>
              <c:idx val="4"/>
              <c:layout>
                <c:manualLayout>
                  <c:x val="-5.5846422338568992E-2"/>
                  <c:y val="-9.1269841269841293E-2"/>
                </c:manualLayout>
              </c:layout>
              <c:showVal val="1"/>
            </c:dLbl>
            <c:dLbl>
              <c:idx val="5"/>
              <c:layout>
                <c:manualLayout>
                  <c:x val="-4.1884816753926704E-2"/>
                  <c:y val="-9.5238095238095247E-2"/>
                </c:manualLayout>
              </c:layout>
              <c:showVal val="1"/>
            </c:dLbl>
            <c:dLbl>
              <c:idx val="6"/>
              <c:layout>
                <c:manualLayout>
                  <c:x val="-1.3961605584642343E-2"/>
                  <c:y val="-9.9206349206350228E-2"/>
                </c:manualLayout>
              </c:layout>
              <c:showVal val="1"/>
            </c:dLbl>
            <c:dLbl>
              <c:idx val="7"/>
              <c:layout>
                <c:manualLayout>
                  <c:x val="1.8615474112856321E-2"/>
                  <c:y val="-9.5238095238095247E-2"/>
                </c:manualLayout>
              </c:layout>
              <c:showVal val="1"/>
            </c:dLbl>
            <c:delete val="1"/>
            <c:spPr>
              <a:noFill/>
            </c:spPr>
          </c:dLbls>
          <c:cat>
            <c:strRef>
              <c:f>List1!$A$1:$A$8</c:f>
              <c:strCache>
                <c:ptCount val="8"/>
                <c:pt idx="0">
                  <c:v>Banky</c:v>
                </c:pt>
                <c:pt idx="1">
                  <c:v>Družstevní záložny</c:v>
                </c:pt>
                <c:pt idx="2">
                  <c:v>Pojišťovny</c:v>
                </c:pt>
                <c:pt idx="3">
                  <c:v>Penzijní fondy</c:v>
                </c:pt>
                <c:pt idx="4">
                  <c:v>Investiční společnosti, investiční a podílové fondy</c:v>
                </c:pt>
                <c:pt idx="5">
                  <c:v>Leasingové společnosti</c:v>
                </c:pt>
                <c:pt idx="6">
                  <c:v>Spol. ostatního úvěrování (splátkový prodej, forfaiting, faktoring)</c:v>
                </c:pt>
                <c:pt idx="7">
                  <c:v>Ostatní nebankovní finanční společnosti</c:v>
                </c:pt>
              </c:strCache>
            </c:strRef>
          </c:cat>
          <c:val>
            <c:numRef>
              <c:f>List1!$B$1:$B$8</c:f>
              <c:numCache>
                <c:formatCode>0.0%</c:formatCode>
                <c:ptCount val="8"/>
                <c:pt idx="0">
                  <c:v>0.75000000000000555</c:v>
                </c:pt>
                <c:pt idx="1">
                  <c:v>2.0000000000000052E-3</c:v>
                </c:pt>
                <c:pt idx="2">
                  <c:v>7.5000000000000011E-2</c:v>
                </c:pt>
                <c:pt idx="3">
                  <c:v>3.5999999999999997E-2</c:v>
                </c:pt>
                <c:pt idx="4">
                  <c:v>3.1000000000000052E-2</c:v>
                </c:pt>
                <c:pt idx="5">
                  <c:v>5.6000000000000001E-2</c:v>
                </c:pt>
                <c:pt idx="6">
                  <c:v>2.5000000000000001E-2</c:v>
                </c:pt>
                <c:pt idx="7">
                  <c:v>2.4E-2</c:v>
                </c:pt>
              </c:numCache>
            </c:numRef>
          </c:val>
        </c:ser>
        <c:firstSliceAng val="0"/>
        <c:holeSize val="50"/>
      </c:doughnutChart>
    </c:plotArea>
    <c:legend>
      <c:legendPos val="r"/>
      <c:layout>
        <c:manualLayout>
          <c:xMode val="edge"/>
          <c:yMode val="edge"/>
          <c:x val="0.51376070137829633"/>
          <c:y val="2.3264800233304189E-3"/>
          <c:w val="0.46957258614925096"/>
          <c:h val="0.97915500145815848"/>
        </c:manualLayout>
      </c:layout>
      <c:txPr>
        <a:bodyPr/>
        <a:lstStyle/>
        <a:p>
          <a:pPr>
            <a:defRPr>
              <a:latin typeface="Times New Roman" pitchFamily="18" charset="0"/>
              <a:cs typeface="Times New Roman" pitchFamily="18" charset="0"/>
            </a:defRPr>
          </a:pPr>
          <a:endParaRPr lang="cs-CZ"/>
        </a:p>
      </c:txPr>
    </c:legend>
    <c:plotVisOnly val="1"/>
  </c:chart>
  <c:externalData r:id="rId2"/>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cs-CZ"/>
  <c:style val="20"/>
  <c:chart>
    <c:autoTitleDeleted val="1"/>
    <c:view3D>
      <c:rAngAx val="1"/>
    </c:view3D>
    <c:plotArea>
      <c:layout/>
      <c:bar3DChart>
        <c:barDir val="col"/>
        <c:grouping val="clustered"/>
        <c:ser>
          <c:idx val="0"/>
          <c:order val="0"/>
          <c:tx>
            <c:strRef>
              <c:f>List1!$B$1</c:f>
              <c:strCache>
                <c:ptCount val="1"/>
                <c:pt idx="0">
                  <c:v>Poměr primárních vkladů k úvěrům ve vybraných zemích EU v roce 2008</c:v>
                </c:pt>
              </c:strCache>
            </c:strRef>
          </c:tx>
          <c:dLbls>
            <c:dLbl>
              <c:idx val="0"/>
              <c:layout>
                <c:manualLayout>
                  <c:x val="0"/>
                  <c:y val="1.5873015873015883E-2"/>
                </c:manualLayout>
              </c:layout>
              <c:showVal val="1"/>
            </c:dLbl>
            <c:dLbl>
              <c:idx val="1"/>
              <c:layout>
                <c:manualLayout>
                  <c:x val="4.6296296296297014E-3"/>
                  <c:y val="7.9365079365079534E-3"/>
                </c:manualLayout>
              </c:layout>
              <c:showVal val="1"/>
            </c:dLbl>
            <c:txPr>
              <a:bodyPr/>
              <a:lstStyle/>
              <a:p>
                <a:pPr>
                  <a:defRPr>
                    <a:latin typeface="Times New Roman" pitchFamily="18" charset="0"/>
                    <a:cs typeface="Times New Roman" pitchFamily="18" charset="0"/>
                  </a:defRPr>
                </a:pPr>
                <a:endParaRPr lang="cs-CZ"/>
              </a:p>
            </c:txPr>
            <c:showVal val="1"/>
          </c:dLbls>
          <c:cat>
            <c:strRef>
              <c:f>List1!$A$2:$A$22</c:f>
              <c:strCache>
                <c:ptCount val="21"/>
                <c:pt idx="0">
                  <c:v>CZ</c:v>
                </c:pt>
                <c:pt idx="1">
                  <c:v>SK</c:v>
                </c:pt>
                <c:pt idx="2">
                  <c:v>PL</c:v>
                </c:pt>
                <c:pt idx="3">
                  <c:v>BG</c:v>
                </c:pt>
                <c:pt idx="4">
                  <c:v>RO</c:v>
                </c:pt>
                <c:pt idx="5">
                  <c:v>HU</c:v>
                </c:pt>
                <c:pt idx="6">
                  <c:v>SI</c:v>
                </c:pt>
                <c:pt idx="7">
                  <c:v>LT</c:v>
                </c:pt>
                <c:pt idx="8">
                  <c:v>EE</c:v>
                </c:pt>
                <c:pt idx="9">
                  <c:v>LV</c:v>
                </c:pt>
                <c:pt idx="11">
                  <c:v>BE</c:v>
                </c:pt>
                <c:pt idx="12">
                  <c:v>DE</c:v>
                </c:pt>
                <c:pt idx="13">
                  <c:v>AT</c:v>
                </c:pt>
                <c:pt idx="14">
                  <c:v>FR</c:v>
                </c:pt>
                <c:pt idx="16">
                  <c:v>UK</c:v>
                </c:pt>
                <c:pt idx="17">
                  <c:v>SE</c:v>
                </c:pt>
                <c:pt idx="18">
                  <c:v>DK</c:v>
                </c:pt>
                <c:pt idx="20">
                  <c:v>EU</c:v>
                </c:pt>
              </c:strCache>
            </c:strRef>
          </c:cat>
          <c:val>
            <c:numRef>
              <c:f>List1!$B$2:$B$22</c:f>
              <c:numCache>
                <c:formatCode>General</c:formatCode>
                <c:ptCount val="21"/>
                <c:pt idx="0">
                  <c:v>132</c:v>
                </c:pt>
                <c:pt idx="1">
                  <c:v>130</c:v>
                </c:pt>
                <c:pt idx="2">
                  <c:v>93</c:v>
                </c:pt>
                <c:pt idx="3">
                  <c:v>80</c:v>
                </c:pt>
                <c:pt idx="4">
                  <c:v>78</c:v>
                </c:pt>
                <c:pt idx="5">
                  <c:v>70</c:v>
                </c:pt>
                <c:pt idx="6">
                  <c:v>65</c:v>
                </c:pt>
                <c:pt idx="7">
                  <c:v>50</c:v>
                </c:pt>
                <c:pt idx="8">
                  <c:v>48</c:v>
                </c:pt>
                <c:pt idx="9">
                  <c:v>44</c:v>
                </c:pt>
                <c:pt idx="11">
                  <c:v>125</c:v>
                </c:pt>
                <c:pt idx="12">
                  <c:v>107</c:v>
                </c:pt>
                <c:pt idx="13">
                  <c:v>83</c:v>
                </c:pt>
                <c:pt idx="14">
                  <c:v>67</c:v>
                </c:pt>
                <c:pt idx="16">
                  <c:v>85</c:v>
                </c:pt>
                <c:pt idx="17">
                  <c:v>46</c:v>
                </c:pt>
                <c:pt idx="18">
                  <c:v>37</c:v>
                </c:pt>
                <c:pt idx="20">
                  <c:v>83</c:v>
                </c:pt>
              </c:numCache>
            </c:numRef>
          </c:val>
        </c:ser>
        <c:gapWidth val="75"/>
        <c:shape val="box"/>
        <c:axId val="121230848"/>
        <c:axId val="121232384"/>
        <c:axId val="0"/>
      </c:bar3DChart>
      <c:catAx>
        <c:axId val="121230848"/>
        <c:scaling>
          <c:orientation val="minMax"/>
        </c:scaling>
        <c:axPos val="b"/>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21232384"/>
        <c:crosses val="autoZero"/>
        <c:auto val="1"/>
        <c:lblAlgn val="ctr"/>
        <c:lblOffset val="100"/>
      </c:catAx>
      <c:valAx>
        <c:axId val="121232384"/>
        <c:scaling>
          <c:orientation val="minMax"/>
        </c:scaling>
        <c:axPos val="l"/>
        <c:majorGridlines/>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21230848"/>
        <c:crosses val="autoZero"/>
        <c:crossBetween val="between"/>
      </c:valAx>
    </c:plotArea>
    <c:legend>
      <c:legendPos val="b"/>
      <c:legendEntry>
        <c:idx val="0"/>
        <c:txPr>
          <a:bodyPr/>
          <a:lstStyle/>
          <a:p>
            <a:pPr>
              <a:defRPr>
                <a:latin typeface="Times New Roman" pitchFamily="18" charset="0"/>
                <a:cs typeface="Times New Roman" pitchFamily="18" charset="0"/>
              </a:defRPr>
            </a:pPr>
            <a:endParaRPr lang="cs-CZ"/>
          </a:p>
        </c:txPr>
      </c:legendEntry>
    </c:legend>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cs-CZ"/>
  <c:style val="20"/>
  <c:clrMapOvr bg1="lt1" tx1="dk1" bg2="lt2" tx2="dk2" accent1="accent1" accent2="accent2" accent3="accent3" accent4="accent4" accent5="accent5" accent6="accent6" hlink="hlink" folHlink="folHlink"/>
  <c:chart>
    <c:autoTitleDeleted val="1"/>
    <c:view3D>
      <c:rAngAx val="1"/>
    </c:view3D>
    <c:plotArea>
      <c:layout/>
      <c:bar3DChart>
        <c:barDir val="col"/>
        <c:grouping val="clustered"/>
        <c:ser>
          <c:idx val="0"/>
          <c:order val="0"/>
          <c:tx>
            <c:strRef>
              <c:f>List1!$B$1</c:f>
              <c:strCache>
                <c:ptCount val="1"/>
                <c:pt idx="0">
                  <c:v>Čistá externí pozice bankovních sektorů v roce 2008</c:v>
                </c:pt>
              </c:strCache>
            </c:strRef>
          </c:tx>
          <c:dLbls>
            <c:txPr>
              <a:bodyPr/>
              <a:lstStyle/>
              <a:p>
                <a:pPr>
                  <a:defRPr>
                    <a:latin typeface="Times New Roman" pitchFamily="18" charset="0"/>
                    <a:cs typeface="Times New Roman" pitchFamily="18" charset="0"/>
                  </a:defRPr>
                </a:pPr>
                <a:endParaRPr lang="cs-CZ"/>
              </a:p>
            </c:txPr>
            <c:showVal val="1"/>
          </c:dLbls>
          <c:cat>
            <c:strRef>
              <c:f>List1!$A$2:$A$23</c:f>
              <c:strCache>
                <c:ptCount val="22"/>
                <c:pt idx="0">
                  <c:v>CZ</c:v>
                </c:pt>
                <c:pt idx="1">
                  <c:v>SI</c:v>
                </c:pt>
                <c:pt idx="2">
                  <c:v>PL</c:v>
                </c:pt>
                <c:pt idx="3">
                  <c:v>SK</c:v>
                </c:pt>
                <c:pt idx="4">
                  <c:v>BG</c:v>
                </c:pt>
                <c:pt idx="5">
                  <c:v>HU</c:v>
                </c:pt>
                <c:pt idx="6">
                  <c:v>RO</c:v>
                </c:pt>
                <c:pt idx="7">
                  <c:v>LT</c:v>
                </c:pt>
                <c:pt idx="8">
                  <c:v>EE</c:v>
                </c:pt>
                <c:pt idx="9">
                  <c:v>LV</c:v>
                </c:pt>
                <c:pt idx="11">
                  <c:v>AT</c:v>
                </c:pt>
                <c:pt idx="12">
                  <c:v>DE</c:v>
                </c:pt>
                <c:pt idx="13">
                  <c:v>BE</c:v>
                </c:pt>
                <c:pt idx="14">
                  <c:v>FR</c:v>
                </c:pt>
                <c:pt idx="16">
                  <c:v>SE</c:v>
                </c:pt>
                <c:pt idx="17">
                  <c:v>DK</c:v>
                </c:pt>
                <c:pt idx="18">
                  <c:v>UK</c:v>
                </c:pt>
                <c:pt idx="20">
                  <c:v>EA</c:v>
                </c:pt>
                <c:pt idx="21">
                  <c:v>EU</c:v>
                </c:pt>
              </c:strCache>
            </c:strRef>
          </c:cat>
          <c:val>
            <c:numRef>
              <c:f>List1!$B$2:$B$23</c:f>
              <c:numCache>
                <c:formatCode>General</c:formatCode>
                <c:ptCount val="22"/>
                <c:pt idx="0">
                  <c:v>7</c:v>
                </c:pt>
                <c:pt idx="1">
                  <c:v>6</c:v>
                </c:pt>
                <c:pt idx="2">
                  <c:v>-8</c:v>
                </c:pt>
                <c:pt idx="3">
                  <c:v>-9</c:v>
                </c:pt>
                <c:pt idx="4">
                  <c:v>-12</c:v>
                </c:pt>
                <c:pt idx="5">
                  <c:v>-14</c:v>
                </c:pt>
                <c:pt idx="6">
                  <c:v>-14</c:v>
                </c:pt>
                <c:pt idx="7">
                  <c:v>-25</c:v>
                </c:pt>
                <c:pt idx="8">
                  <c:v>-33</c:v>
                </c:pt>
                <c:pt idx="9">
                  <c:v>-48</c:v>
                </c:pt>
                <c:pt idx="11">
                  <c:v>43</c:v>
                </c:pt>
                <c:pt idx="12">
                  <c:v>21</c:v>
                </c:pt>
                <c:pt idx="13">
                  <c:v>0</c:v>
                </c:pt>
                <c:pt idx="14">
                  <c:v>-4</c:v>
                </c:pt>
                <c:pt idx="16">
                  <c:v>15</c:v>
                </c:pt>
                <c:pt idx="17">
                  <c:v>12</c:v>
                </c:pt>
                <c:pt idx="18">
                  <c:v>-3</c:v>
                </c:pt>
                <c:pt idx="20">
                  <c:v>4</c:v>
                </c:pt>
                <c:pt idx="21">
                  <c:v>6</c:v>
                </c:pt>
              </c:numCache>
            </c:numRef>
          </c:val>
        </c:ser>
        <c:gapWidth val="75"/>
        <c:shape val="box"/>
        <c:axId val="121339264"/>
        <c:axId val="122958976"/>
        <c:axId val="0"/>
      </c:bar3DChart>
      <c:catAx>
        <c:axId val="121339264"/>
        <c:scaling>
          <c:orientation val="minMax"/>
        </c:scaling>
        <c:axPos val="b"/>
        <c:numFmt formatCode="General" sourceLinked="1"/>
        <c:majorTickMark val="none"/>
        <c:tickLblPos val="low"/>
        <c:txPr>
          <a:bodyPr/>
          <a:lstStyle/>
          <a:p>
            <a:pPr>
              <a:defRPr>
                <a:latin typeface="Times New Roman" pitchFamily="18" charset="0"/>
                <a:cs typeface="Times New Roman" pitchFamily="18" charset="0"/>
              </a:defRPr>
            </a:pPr>
            <a:endParaRPr lang="cs-CZ"/>
          </a:p>
        </c:txPr>
        <c:crossAx val="122958976"/>
        <c:crosses val="autoZero"/>
        <c:auto val="1"/>
        <c:lblAlgn val="ctr"/>
        <c:lblOffset val="100"/>
      </c:catAx>
      <c:valAx>
        <c:axId val="122958976"/>
        <c:scaling>
          <c:orientation val="minMax"/>
        </c:scaling>
        <c:axPos val="l"/>
        <c:majorGridlines/>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21339264"/>
        <c:crosses val="autoZero"/>
        <c:crossBetween val="between"/>
      </c:valAx>
    </c:plotArea>
    <c:legend>
      <c:legendPos val="b"/>
      <c:legendEntry>
        <c:idx val="0"/>
        <c:txPr>
          <a:bodyPr/>
          <a:lstStyle/>
          <a:p>
            <a:pPr>
              <a:defRPr>
                <a:latin typeface="Times New Roman" pitchFamily="18" charset="0"/>
                <a:cs typeface="Times New Roman" pitchFamily="18" charset="0"/>
              </a:defRPr>
            </a:pPr>
            <a:endParaRPr lang="cs-CZ"/>
          </a:p>
        </c:txPr>
      </c:legendEntry>
    </c:legend>
    <c:plotVisOnly val="1"/>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cs-CZ"/>
  <c:style val="11"/>
  <c:chart>
    <c:autoTitleDeleted val="1"/>
    <c:plotArea>
      <c:layout>
        <c:manualLayout>
          <c:layoutTarget val="inner"/>
          <c:xMode val="edge"/>
          <c:yMode val="edge"/>
          <c:x val="0.13994215702248169"/>
          <c:y val="4.926732053135352E-2"/>
          <c:w val="0.67551510577098717"/>
          <c:h val="0.83316293729155289"/>
        </c:manualLayout>
      </c:layout>
      <c:lineChart>
        <c:grouping val="standard"/>
        <c:ser>
          <c:idx val="0"/>
          <c:order val="0"/>
          <c:tx>
            <c:strRef>
              <c:f>List2!$C$8</c:f>
              <c:strCache>
                <c:ptCount val="1"/>
                <c:pt idx="0">
                  <c:v>AS 2</c:v>
                </c:pt>
              </c:strCache>
            </c:strRef>
          </c:tx>
          <c:spPr>
            <a:ln>
              <a:solidFill>
                <a:srgbClr val="99CC33"/>
              </a:solidFill>
            </a:ln>
          </c:spPr>
          <c:marker>
            <c:symbol val="none"/>
          </c:marker>
          <c:val>
            <c:numRef>
              <c:f>List2!$C$9:$C$19</c:f>
              <c:numCache>
                <c:formatCode>General</c:formatCode>
                <c:ptCount val="11"/>
                <c:pt idx="0">
                  <c:v>5</c:v>
                </c:pt>
                <c:pt idx="1">
                  <c:v>10</c:v>
                </c:pt>
                <c:pt idx="2">
                  <c:v>15</c:v>
                </c:pt>
                <c:pt idx="3">
                  <c:v>20</c:v>
                </c:pt>
                <c:pt idx="4">
                  <c:v>25</c:v>
                </c:pt>
                <c:pt idx="5">
                  <c:v>30</c:v>
                </c:pt>
                <c:pt idx="6">
                  <c:v>35</c:v>
                </c:pt>
                <c:pt idx="7">
                  <c:v>40</c:v>
                </c:pt>
                <c:pt idx="8">
                  <c:v>45</c:v>
                </c:pt>
                <c:pt idx="9">
                  <c:v>50</c:v>
                </c:pt>
                <c:pt idx="10">
                  <c:v>55</c:v>
                </c:pt>
              </c:numCache>
            </c:numRef>
          </c:val>
        </c:ser>
        <c:ser>
          <c:idx val="1"/>
          <c:order val="1"/>
          <c:tx>
            <c:strRef>
              <c:f>List2!$D$8</c:f>
              <c:strCache>
                <c:ptCount val="1"/>
                <c:pt idx="0">
                  <c:v>AS 1</c:v>
                </c:pt>
              </c:strCache>
            </c:strRef>
          </c:tx>
          <c:marker>
            <c:symbol val="none"/>
          </c:marker>
          <c:val>
            <c:numRef>
              <c:f>List2!$D$9:$D$18</c:f>
              <c:numCache>
                <c:formatCode>General</c:formatCode>
                <c:ptCount val="10"/>
                <c:pt idx="0">
                  <c:v>15</c:v>
                </c:pt>
                <c:pt idx="1">
                  <c:v>20</c:v>
                </c:pt>
                <c:pt idx="2">
                  <c:v>25</c:v>
                </c:pt>
                <c:pt idx="3">
                  <c:v>30</c:v>
                </c:pt>
                <c:pt idx="4">
                  <c:v>35</c:v>
                </c:pt>
                <c:pt idx="5">
                  <c:v>40</c:v>
                </c:pt>
                <c:pt idx="6">
                  <c:v>45</c:v>
                </c:pt>
                <c:pt idx="7">
                  <c:v>50</c:v>
                </c:pt>
                <c:pt idx="8">
                  <c:v>55</c:v>
                </c:pt>
                <c:pt idx="9">
                  <c:v>60</c:v>
                </c:pt>
              </c:numCache>
            </c:numRef>
          </c:val>
        </c:ser>
        <c:ser>
          <c:idx val="2"/>
          <c:order val="2"/>
          <c:tx>
            <c:strRef>
              <c:f>List2!$E$8</c:f>
              <c:strCache>
                <c:ptCount val="1"/>
                <c:pt idx="0">
                  <c:v>AD</c:v>
                </c:pt>
              </c:strCache>
            </c:strRef>
          </c:tx>
          <c:marker>
            <c:symbol val="none"/>
          </c:marker>
          <c:val>
            <c:numRef>
              <c:f>List2!$E$9:$E$19</c:f>
              <c:numCache>
                <c:formatCode>General</c:formatCode>
                <c:ptCount val="11"/>
                <c:pt idx="0">
                  <c:v>60</c:v>
                </c:pt>
                <c:pt idx="1">
                  <c:v>55</c:v>
                </c:pt>
                <c:pt idx="2">
                  <c:v>50</c:v>
                </c:pt>
                <c:pt idx="3">
                  <c:v>45</c:v>
                </c:pt>
                <c:pt idx="4">
                  <c:v>40</c:v>
                </c:pt>
                <c:pt idx="5">
                  <c:v>35</c:v>
                </c:pt>
                <c:pt idx="6">
                  <c:v>30</c:v>
                </c:pt>
                <c:pt idx="7">
                  <c:v>25</c:v>
                </c:pt>
                <c:pt idx="8">
                  <c:v>20</c:v>
                </c:pt>
                <c:pt idx="9">
                  <c:v>15</c:v>
                </c:pt>
                <c:pt idx="10">
                  <c:v>10</c:v>
                </c:pt>
              </c:numCache>
            </c:numRef>
          </c:val>
        </c:ser>
        <c:marker val="1"/>
        <c:axId val="67525632"/>
        <c:axId val="67409024"/>
      </c:lineChart>
      <c:catAx>
        <c:axId val="67525632"/>
        <c:scaling>
          <c:orientation val="minMax"/>
        </c:scaling>
        <c:delete val="1"/>
        <c:axPos val="b"/>
        <c:title>
          <c:tx>
            <c:rich>
              <a:bodyPr/>
              <a:lstStyle/>
              <a:p>
                <a:pPr>
                  <a:defRPr>
                    <a:latin typeface="Times New Roman" pitchFamily="18" charset="0"/>
                    <a:cs typeface="Times New Roman" pitchFamily="18" charset="0"/>
                  </a:defRPr>
                </a:pPr>
                <a:r>
                  <a:rPr lang="en-US" b="0">
                    <a:latin typeface="Times New Roman" pitchFamily="18" charset="0"/>
                    <a:cs typeface="Times New Roman" pitchFamily="18" charset="0"/>
                  </a:rPr>
                  <a:t>Y1 </a:t>
                </a:r>
                <a:r>
                  <a:rPr lang="en-US" b="0">
                    <a:latin typeface="Times New Roman" pitchFamily="18" charset="0"/>
                    <a:cs typeface="Times New Roman" pitchFamily="18" charset="0"/>
                    <a:sym typeface="Symbol"/>
                  </a:rPr>
                  <a:t></a:t>
                </a:r>
                <a:r>
                  <a:rPr lang="en-US" b="0" baseline="0">
                    <a:latin typeface="Times New Roman" pitchFamily="18" charset="0"/>
                    <a:cs typeface="Times New Roman" pitchFamily="18" charset="0"/>
                  </a:rPr>
                  <a:t> </a:t>
                </a:r>
                <a:r>
                  <a:rPr lang="en-US" b="0">
                    <a:latin typeface="Times New Roman" pitchFamily="18" charset="0"/>
                    <a:cs typeface="Times New Roman" pitchFamily="18" charset="0"/>
                  </a:rPr>
                  <a:t>Y2</a:t>
                </a:r>
                <a:endParaRPr lang="cs-CZ" b="0">
                  <a:latin typeface="Times New Roman" pitchFamily="18" charset="0"/>
                  <a:cs typeface="Times New Roman" pitchFamily="18" charset="0"/>
                </a:endParaRPr>
              </a:p>
            </c:rich>
          </c:tx>
        </c:title>
        <c:majorTickMark val="none"/>
        <c:tickLblPos val="none"/>
        <c:crossAx val="67409024"/>
        <c:crosses val="autoZero"/>
        <c:auto val="1"/>
        <c:lblAlgn val="ctr"/>
        <c:lblOffset val="100"/>
      </c:catAx>
      <c:valAx>
        <c:axId val="67409024"/>
        <c:scaling>
          <c:orientation val="minMax"/>
        </c:scaling>
        <c:delete val="1"/>
        <c:axPos val="l"/>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 </a:t>
                </a:r>
              </a:p>
            </c:rich>
          </c:tx>
          <c:layout>
            <c:manualLayout>
              <c:xMode val="edge"/>
              <c:yMode val="edge"/>
              <c:x val="8.7999310868491928E-2"/>
              <c:y val="0.38770861189521577"/>
            </c:manualLayout>
          </c:layout>
        </c:title>
        <c:numFmt formatCode="General" sourceLinked="1"/>
        <c:majorTickMark val="none"/>
        <c:tickLblPos val="none"/>
        <c:crossAx val="67525632"/>
        <c:crosses val="autoZero"/>
        <c:crossBetween val="between"/>
      </c:valAx>
    </c:plotArea>
    <c:legend>
      <c:legendPos val="r"/>
    </c:legend>
    <c:plotVisOnly val="1"/>
  </c:chart>
  <c:externalData r:id="rId1"/>
  <c:userShapes r:id="rId2"/>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cs-CZ"/>
  <c:style val="18"/>
  <c:chart>
    <c:autoTitleDeleted val="1"/>
    <c:plotArea>
      <c:layout/>
      <c:lineChart>
        <c:grouping val="standard"/>
        <c:ser>
          <c:idx val="0"/>
          <c:order val="0"/>
          <c:tx>
            <c:strRef>
              <c:f>List1!$B$1</c:f>
              <c:strCache>
                <c:ptCount val="1"/>
                <c:pt idx="0">
                  <c:v>Úvěry celkem</c:v>
                </c:pt>
              </c:strCache>
            </c:strRef>
          </c:tx>
          <c:marker>
            <c:symbol val="none"/>
          </c:marker>
          <c:cat>
            <c:numRef>
              <c:f>List1!$A$2:$A$45</c:f>
              <c:numCache>
                <c:formatCode>General</c:formatCode>
                <c:ptCount val="44"/>
                <c:pt idx="0">
                  <c:v>2006</c:v>
                </c:pt>
                <c:pt idx="12">
                  <c:v>2007</c:v>
                </c:pt>
                <c:pt idx="24">
                  <c:v>2008</c:v>
                </c:pt>
                <c:pt idx="36">
                  <c:v>2009</c:v>
                </c:pt>
              </c:numCache>
            </c:numRef>
          </c:cat>
          <c:val>
            <c:numRef>
              <c:f>List1!$B$2:$B$45</c:f>
              <c:numCache>
                <c:formatCode>0.0</c:formatCode>
                <c:ptCount val="44"/>
                <c:pt idx="0">
                  <c:v>4.4980678791552355</c:v>
                </c:pt>
                <c:pt idx="1">
                  <c:v>4.3389986394951006</c:v>
                </c:pt>
                <c:pt idx="2">
                  <c:v>4.3103623630989691</c:v>
                </c:pt>
                <c:pt idx="3">
                  <c:v>4.155980670071834</c:v>
                </c:pt>
                <c:pt idx="4">
                  <c:v>4.0471374490502345</c:v>
                </c:pt>
                <c:pt idx="5">
                  <c:v>3.9912219155601343</c:v>
                </c:pt>
                <c:pt idx="6">
                  <c:v>4.1508796218713462</c:v>
                </c:pt>
                <c:pt idx="7">
                  <c:v>4.1130318742854284</c:v>
                </c:pt>
                <c:pt idx="8">
                  <c:v>3.9966852250349967</c:v>
                </c:pt>
                <c:pt idx="9">
                  <c:v>4.1225043931926297</c:v>
                </c:pt>
                <c:pt idx="10">
                  <c:v>3.991682491693465</c:v>
                </c:pt>
                <c:pt idx="11">
                  <c:v>3.9084546514392757</c:v>
                </c:pt>
                <c:pt idx="12">
                  <c:v>3.9482171916375401</c:v>
                </c:pt>
                <c:pt idx="13">
                  <c:v>4.0288178301926445</c:v>
                </c:pt>
                <c:pt idx="14">
                  <c:v>3.8507347189871188</c:v>
                </c:pt>
                <c:pt idx="15">
                  <c:v>3.5516257384676404</c:v>
                </c:pt>
                <c:pt idx="16">
                  <c:v>3.5124111018666908</c:v>
                </c:pt>
                <c:pt idx="17">
                  <c:v>3.4242248206932966</c:v>
                </c:pt>
                <c:pt idx="18">
                  <c:v>3.4449700245623651</c:v>
                </c:pt>
                <c:pt idx="19">
                  <c:v>3.3639894335337273</c:v>
                </c:pt>
                <c:pt idx="20">
                  <c:v>3.3724750232650078</c:v>
                </c:pt>
                <c:pt idx="21">
                  <c:v>3.2586586547973142</c:v>
                </c:pt>
                <c:pt idx="22">
                  <c:v>2.9502700069827688</c:v>
                </c:pt>
                <c:pt idx="23">
                  <c:v>3.0021693089162182</c:v>
                </c:pt>
                <c:pt idx="24">
                  <c:v>3.1074246468544797</c:v>
                </c:pt>
                <c:pt idx="25">
                  <c:v>3.1230708079599436</c:v>
                </c:pt>
                <c:pt idx="26">
                  <c:v>3.2358408770243345</c:v>
                </c:pt>
                <c:pt idx="27">
                  <c:v>3.1353896583407992</c:v>
                </c:pt>
                <c:pt idx="28">
                  <c:v>3.067227797875415</c:v>
                </c:pt>
                <c:pt idx="29">
                  <c:v>3.0512373052783719</c:v>
                </c:pt>
                <c:pt idx="30">
                  <c:v>3.2013423916252437</c:v>
                </c:pt>
                <c:pt idx="31">
                  <c:v>3.2450062308171415</c:v>
                </c:pt>
                <c:pt idx="32">
                  <c:v>3.3424489165839923</c:v>
                </c:pt>
                <c:pt idx="33">
                  <c:v>3.4255097119257991</c:v>
                </c:pt>
                <c:pt idx="34">
                  <c:v>3.4526075899111968</c:v>
                </c:pt>
                <c:pt idx="35">
                  <c:v>3.5396004438881974</c:v>
                </c:pt>
                <c:pt idx="36">
                  <c:v>3.7238091073526012</c:v>
                </c:pt>
                <c:pt idx="37">
                  <c:v>3.8725050587543262</c:v>
                </c:pt>
                <c:pt idx="38">
                  <c:v>4.1157724539531184</c:v>
                </c:pt>
                <c:pt idx="39">
                  <c:v>4.2069703038127404</c:v>
                </c:pt>
                <c:pt idx="40">
                  <c:v>4.5077851685401855</c:v>
                </c:pt>
                <c:pt idx="41">
                  <c:v>4.7219812680585349</c:v>
                </c:pt>
                <c:pt idx="42">
                  <c:v>4.8778349235781855</c:v>
                </c:pt>
                <c:pt idx="43">
                  <c:v>5.0887477266837111</c:v>
                </c:pt>
              </c:numCache>
            </c:numRef>
          </c:val>
        </c:ser>
        <c:ser>
          <c:idx val="1"/>
          <c:order val="1"/>
          <c:tx>
            <c:strRef>
              <c:f>List1!$C$1</c:f>
              <c:strCache>
                <c:ptCount val="1"/>
                <c:pt idx="0">
                  <c:v>Nefinanční podniky</c:v>
                </c:pt>
              </c:strCache>
            </c:strRef>
          </c:tx>
          <c:marker>
            <c:symbol val="none"/>
          </c:marker>
          <c:cat>
            <c:numRef>
              <c:f>List1!$A$2:$A$45</c:f>
              <c:numCache>
                <c:formatCode>General</c:formatCode>
                <c:ptCount val="44"/>
                <c:pt idx="0">
                  <c:v>2006</c:v>
                </c:pt>
                <c:pt idx="12">
                  <c:v>2007</c:v>
                </c:pt>
                <c:pt idx="24">
                  <c:v>2008</c:v>
                </c:pt>
                <c:pt idx="36">
                  <c:v>2009</c:v>
                </c:pt>
              </c:numCache>
            </c:numRef>
          </c:cat>
          <c:val>
            <c:numRef>
              <c:f>List1!$C$2:$C$45</c:f>
              <c:numCache>
                <c:formatCode>0.0</c:formatCode>
                <c:ptCount val="44"/>
                <c:pt idx="0">
                  <c:v>4.9909333657461081</c:v>
                </c:pt>
                <c:pt idx="1">
                  <c:v>4.7194949656868985</c:v>
                </c:pt>
                <c:pt idx="2">
                  <c:v>4.7047932921498434</c:v>
                </c:pt>
                <c:pt idx="3">
                  <c:v>4.4816263856947023</c:v>
                </c:pt>
                <c:pt idx="4">
                  <c:v>4.3211882031978845</c:v>
                </c:pt>
                <c:pt idx="5">
                  <c:v>4.2241834629581945</c:v>
                </c:pt>
                <c:pt idx="6">
                  <c:v>4.4314096815020489</c:v>
                </c:pt>
                <c:pt idx="7">
                  <c:v>4.4030654305058814</c:v>
                </c:pt>
                <c:pt idx="8">
                  <c:v>4.2938146120629455</c:v>
                </c:pt>
                <c:pt idx="9">
                  <c:v>4.4965582858497823</c:v>
                </c:pt>
                <c:pt idx="10">
                  <c:v>4.3868275514877615</c:v>
                </c:pt>
                <c:pt idx="11">
                  <c:v>4.4423489508440914</c:v>
                </c:pt>
                <c:pt idx="12">
                  <c:v>4.5109099449131884</c:v>
                </c:pt>
                <c:pt idx="13">
                  <c:v>4.6261314441295145</c:v>
                </c:pt>
                <c:pt idx="14">
                  <c:v>4.3633255892271965</c:v>
                </c:pt>
                <c:pt idx="15">
                  <c:v>3.8419410282470352</c:v>
                </c:pt>
                <c:pt idx="16">
                  <c:v>3.8173826647421008</c:v>
                </c:pt>
                <c:pt idx="17">
                  <c:v>3.6963803307219552</c:v>
                </c:pt>
                <c:pt idx="18">
                  <c:v>3.7073764694118436</c:v>
                </c:pt>
                <c:pt idx="19">
                  <c:v>3.5742064494195387</c:v>
                </c:pt>
                <c:pt idx="20">
                  <c:v>3.4971386255453782</c:v>
                </c:pt>
                <c:pt idx="21">
                  <c:v>3.4056892447910552</c:v>
                </c:pt>
                <c:pt idx="22">
                  <c:v>2.9059355562655012</c:v>
                </c:pt>
                <c:pt idx="23">
                  <c:v>3.0692312861007411</c:v>
                </c:pt>
                <c:pt idx="24">
                  <c:v>3.2047957564659715</c:v>
                </c:pt>
                <c:pt idx="25">
                  <c:v>3.2018103631839248</c:v>
                </c:pt>
                <c:pt idx="26">
                  <c:v>3.4057761157318107</c:v>
                </c:pt>
                <c:pt idx="27">
                  <c:v>3.3246985511887526</c:v>
                </c:pt>
                <c:pt idx="28">
                  <c:v>3.3007646985896413</c:v>
                </c:pt>
                <c:pt idx="29">
                  <c:v>3.2817493114974812</c:v>
                </c:pt>
                <c:pt idx="30">
                  <c:v>3.6049677972726433</c:v>
                </c:pt>
                <c:pt idx="31">
                  <c:v>3.6580474474499276</c:v>
                </c:pt>
                <c:pt idx="32">
                  <c:v>3.8355961775513614</c:v>
                </c:pt>
                <c:pt idx="33">
                  <c:v>3.9883186387213296</c:v>
                </c:pt>
                <c:pt idx="34">
                  <c:v>3.9970553014124546</c:v>
                </c:pt>
                <c:pt idx="35">
                  <c:v>4.1671309079211403</c:v>
                </c:pt>
                <c:pt idx="36">
                  <c:v>4.4391721525497001</c:v>
                </c:pt>
                <c:pt idx="37">
                  <c:v>4.7111065187684265</c:v>
                </c:pt>
                <c:pt idx="38">
                  <c:v>5.1494596883928434</c:v>
                </c:pt>
                <c:pt idx="39">
                  <c:v>5.2529681159480139</c:v>
                </c:pt>
                <c:pt idx="40">
                  <c:v>5.7307234889589047</c:v>
                </c:pt>
                <c:pt idx="41">
                  <c:v>6.1461070987565076</c:v>
                </c:pt>
                <c:pt idx="42">
                  <c:v>6.3290707109050395</c:v>
                </c:pt>
                <c:pt idx="43">
                  <c:v>6.6359429996077886</c:v>
                </c:pt>
              </c:numCache>
            </c:numRef>
          </c:val>
        </c:ser>
        <c:ser>
          <c:idx val="2"/>
          <c:order val="2"/>
          <c:tx>
            <c:strRef>
              <c:f>List1!$D$1</c:f>
              <c:strCache>
                <c:ptCount val="1"/>
                <c:pt idx="0">
                  <c:v>Úvěry obyvatelstvu na bydlení </c:v>
                </c:pt>
              </c:strCache>
            </c:strRef>
          </c:tx>
          <c:marker>
            <c:symbol val="none"/>
          </c:marker>
          <c:cat>
            <c:numRef>
              <c:f>List1!$A$2:$A$45</c:f>
              <c:numCache>
                <c:formatCode>General</c:formatCode>
                <c:ptCount val="44"/>
                <c:pt idx="0">
                  <c:v>2006</c:v>
                </c:pt>
                <c:pt idx="12">
                  <c:v>2007</c:v>
                </c:pt>
                <c:pt idx="24">
                  <c:v>2008</c:v>
                </c:pt>
                <c:pt idx="36">
                  <c:v>2009</c:v>
                </c:pt>
              </c:numCache>
            </c:numRef>
          </c:cat>
          <c:val>
            <c:numRef>
              <c:f>List1!$D$2:$D$45</c:f>
              <c:numCache>
                <c:formatCode>0.0</c:formatCode>
                <c:ptCount val="44"/>
                <c:pt idx="0">
                  <c:v>1.714042794289063</c:v>
                </c:pt>
                <c:pt idx="1">
                  <c:v>1.7309454067328671</c:v>
                </c:pt>
                <c:pt idx="2">
                  <c:v>1.7097708897884312</c:v>
                </c:pt>
                <c:pt idx="3">
                  <c:v>1.7409104191484412</c:v>
                </c:pt>
                <c:pt idx="4">
                  <c:v>1.7649007385036699</c:v>
                </c:pt>
                <c:pt idx="5">
                  <c:v>1.7448524728022903</c:v>
                </c:pt>
                <c:pt idx="6">
                  <c:v>1.7709991555356215</c:v>
                </c:pt>
                <c:pt idx="7">
                  <c:v>1.7196049076616498</c:v>
                </c:pt>
                <c:pt idx="8">
                  <c:v>1.729507798150147</c:v>
                </c:pt>
                <c:pt idx="9">
                  <c:v>1.7089354802447558</c:v>
                </c:pt>
                <c:pt idx="10">
                  <c:v>1.6519136411072479</c:v>
                </c:pt>
                <c:pt idx="11">
                  <c:v>1.6197640207598298</c:v>
                </c:pt>
                <c:pt idx="12">
                  <c:v>1.6418278808927691</c:v>
                </c:pt>
                <c:pt idx="13">
                  <c:v>1.6468984488187621</c:v>
                </c:pt>
                <c:pt idx="14">
                  <c:v>1.6133773253744679</c:v>
                </c:pt>
                <c:pt idx="15">
                  <c:v>1.6155481728102601</c:v>
                </c:pt>
                <c:pt idx="16">
                  <c:v>1.5830731004611682</c:v>
                </c:pt>
                <c:pt idx="17">
                  <c:v>1.5594643497794083</c:v>
                </c:pt>
                <c:pt idx="18">
                  <c:v>1.5723256120216798</c:v>
                </c:pt>
                <c:pt idx="19">
                  <c:v>1.5573987059058738</c:v>
                </c:pt>
                <c:pt idx="20">
                  <c:v>1.5953364280404858</c:v>
                </c:pt>
                <c:pt idx="21">
                  <c:v>1.6126483819917286</c:v>
                </c:pt>
                <c:pt idx="22">
                  <c:v>1.5810973966684596</c:v>
                </c:pt>
                <c:pt idx="23">
                  <c:v>1.5372433118908866</c:v>
                </c:pt>
                <c:pt idx="24">
                  <c:v>1.5638065005040718</c:v>
                </c:pt>
                <c:pt idx="25">
                  <c:v>1.5747333529111778</c:v>
                </c:pt>
                <c:pt idx="26">
                  <c:v>1.580914259713635</c:v>
                </c:pt>
                <c:pt idx="27">
                  <c:v>1.5591394568259058</c:v>
                </c:pt>
                <c:pt idx="28">
                  <c:v>1.5540042496883688</c:v>
                </c:pt>
                <c:pt idx="29">
                  <c:v>1.5378067471014167</c:v>
                </c:pt>
                <c:pt idx="30">
                  <c:v>1.5224067012820071</c:v>
                </c:pt>
                <c:pt idx="31">
                  <c:v>1.5719761637713887</c:v>
                </c:pt>
                <c:pt idx="32">
                  <c:v>1.5903241204391954</c:v>
                </c:pt>
                <c:pt idx="33">
                  <c:v>1.5905151323930486</c:v>
                </c:pt>
                <c:pt idx="34">
                  <c:v>1.6353795069978021</c:v>
                </c:pt>
                <c:pt idx="35">
                  <c:v>1.6348809012668588</c:v>
                </c:pt>
                <c:pt idx="36">
                  <c:v>1.6968382486690612</c:v>
                </c:pt>
                <c:pt idx="37">
                  <c:v>1.736085772157804</c:v>
                </c:pt>
                <c:pt idx="38">
                  <c:v>1.8017640418064298</c:v>
                </c:pt>
                <c:pt idx="39">
                  <c:v>1.8754815094843564</c:v>
                </c:pt>
                <c:pt idx="40">
                  <c:v>2.0033556324426192</c:v>
                </c:pt>
                <c:pt idx="41">
                  <c:v>2.0733069634001797</c:v>
                </c:pt>
                <c:pt idx="42">
                  <c:v>2.1820207853427682</c:v>
                </c:pt>
                <c:pt idx="43">
                  <c:v>2.2740595976718407</c:v>
                </c:pt>
              </c:numCache>
            </c:numRef>
          </c:val>
        </c:ser>
        <c:ser>
          <c:idx val="3"/>
          <c:order val="3"/>
          <c:tx>
            <c:strRef>
              <c:f>List1!$E$1</c:f>
              <c:strCache>
                <c:ptCount val="1"/>
                <c:pt idx="0">
                  <c:v>Spotřebitelské úvěry obyvatelstvu</c:v>
                </c:pt>
              </c:strCache>
            </c:strRef>
          </c:tx>
          <c:marker>
            <c:symbol val="none"/>
          </c:marker>
          <c:cat>
            <c:numRef>
              <c:f>List1!$A$2:$A$45</c:f>
              <c:numCache>
                <c:formatCode>General</c:formatCode>
                <c:ptCount val="44"/>
                <c:pt idx="0">
                  <c:v>2006</c:v>
                </c:pt>
                <c:pt idx="12">
                  <c:v>2007</c:v>
                </c:pt>
                <c:pt idx="24">
                  <c:v>2008</c:v>
                </c:pt>
                <c:pt idx="36">
                  <c:v>2009</c:v>
                </c:pt>
              </c:numCache>
            </c:numRef>
          </c:cat>
          <c:val>
            <c:numRef>
              <c:f>List1!$E$2:$E$45</c:f>
              <c:numCache>
                <c:formatCode>0.0</c:formatCode>
                <c:ptCount val="44"/>
                <c:pt idx="0">
                  <c:v>8.4356458478534844</c:v>
                </c:pt>
                <c:pt idx="1">
                  <c:v>8.525851360496711</c:v>
                </c:pt>
                <c:pt idx="2">
                  <c:v>8.2661826726270728</c:v>
                </c:pt>
                <c:pt idx="3">
                  <c:v>8.1489988320051019</c:v>
                </c:pt>
                <c:pt idx="4">
                  <c:v>8.0376636122845486</c:v>
                </c:pt>
                <c:pt idx="5">
                  <c:v>8.0474629498655688</c:v>
                </c:pt>
                <c:pt idx="6">
                  <c:v>8.0597291384843768</c:v>
                </c:pt>
                <c:pt idx="7">
                  <c:v>8.0606052024243713</c:v>
                </c:pt>
                <c:pt idx="8">
                  <c:v>8.0740827354355904</c:v>
                </c:pt>
                <c:pt idx="9">
                  <c:v>7.8467595960050005</c:v>
                </c:pt>
                <c:pt idx="10">
                  <c:v>7.7629453735555645</c:v>
                </c:pt>
                <c:pt idx="11">
                  <c:v>7.1875793830060966</c:v>
                </c:pt>
                <c:pt idx="12">
                  <c:v>7.2740341856542532</c:v>
                </c:pt>
                <c:pt idx="13">
                  <c:v>7.5602049578242445</c:v>
                </c:pt>
                <c:pt idx="14">
                  <c:v>7.4178588564096355</c:v>
                </c:pt>
                <c:pt idx="15">
                  <c:v>7.4780354378388454</c:v>
                </c:pt>
                <c:pt idx="16">
                  <c:v>7.2967543628951965</c:v>
                </c:pt>
                <c:pt idx="17">
                  <c:v>7.2664889288917696</c:v>
                </c:pt>
                <c:pt idx="18">
                  <c:v>7.3448727180896292</c:v>
                </c:pt>
                <c:pt idx="19">
                  <c:v>7.4587342039216988</c:v>
                </c:pt>
                <c:pt idx="20">
                  <c:v>7.9206401384404064</c:v>
                </c:pt>
                <c:pt idx="21">
                  <c:v>7.2347516199360848</c:v>
                </c:pt>
                <c:pt idx="22">
                  <c:v>7.2848377889509663</c:v>
                </c:pt>
                <c:pt idx="23">
                  <c:v>7.3871812762485334</c:v>
                </c:pt>
                <c:pt idx="24">
                  <c:v>7.60881503399842</c:v>
                </c:pt>
                <c:pt idx="25">
                  <c:v>7.7367035025134534</c:v>
                </c:pt>
                <c:pt idx="26">
                  <c:v>7.7412338778918404</c:v>
                </c:pt>
                <c:pt idx="27">
                  <c:v>7.2368894011019034</c:v>
                </c:pt>
                <c:pt idx="28">
                  <c:v>6.6242687065292865</c:v>
                </c:pt>
                <c:pt idx="29">
                  <c:v>6.6123562655308845</c:v>
                </c:pt>
                <c:pt idx="30">
                  <c:v>6.5498045997592627</c:v>
                </c:pt>
                <c:pt idx="31">
                  <c:v>6.5504383457518802</c:v>
                </c:pt>
                <c:pt idx="32">
                  <c:v>6.5170067254777768</c:v>
                </c:pt>
                <c:pt idx="33">
                  <c:v>6.5811731646962404</c:v>
                </c:pt>
                <c:pt idx="34">
                  <c:v>6.6853268407229756</c:v>
                </c:pt>
                <c:pt idx="35">
                  <c:v>6.7281455930426723</c:v>
                </c:pt>
                <c:pt idx="36">
                  <c:v>6.9670680352697438</c:v>
                </c:pt>
                <c:pt idx="37">
                  <c:v>7.1564086691090045</c:v>
                </c:pt>
                <c:pt idx="38">
                  <c:v>7.2160590751505032</c:v>
                </c:pt>
                <c:pt idx="39">
                  <c:v>7.3807331858323231</c:v>
                </c:pt>
                <c:pt idx="40">
                  <c:v>7.5595146315601349</c:v>
                </c:pt>
                <c:pt idx="41">
                  <c:v>7.5404207433829704</c:v>
                </c:pt>
                <c:pt idx="42">
                  <c:v>7.8566830716022364</c:v>
                </c:pt>
                <c:pt idx="43">
                  <c:v>8.2067567079916977</c:v>
                </c:pt>
              </c:numCache>
            </c:numRef>
          </c:val>
        </c:ser>
        <c:ser>
          <c:idx val="4"/>
          <c:order val="4"/>
          <c:tx>
            <c:strRef>
              <c:f>List1!$F$1</c:f>
              <c:strCache>
                <c:ptCount val="1"/>
                <c:pt idx="0">
                  <c:v>Úvěry obyvatelstvu</c:v>
                </c:pt>
              </c:strCache>
            </c:strRef>
          </c:tx>
          <c:marker>
            <c:symbol val="none"/>
          </c:marker>
          <c:cat>
            <c:numRef>
              <c:f>List1!$A$2:$A$45</c:f>
              <c:numCache>
                <c:formatCode>General</c:formatCode>
                <c:ptCount val="44"/>
                <c:pt idx="0">
                  <c:v>2006</c:v>
                </c:pt>
                <c:pt idx="12">
                  <c:v>2007</c:v>
                </c:pt>
                <c:pt idx="24">
                  <c:v>2008</c:v>
                </c:pt>
                <c:pt idx="36">
                  <c:v>2009</c:v>
                </c:pt>
              </c:numCache>
            </c:numRef>
          </c:cat>
          <c:val>
            <c:numRef>
              <c:f>List1!$F$2:$F$45</c:f>
              <c:numCache>
                <c:formatCode>0.0</c:formatCode>
                <c:ptCount val="44"/>
                <c:pt idx="0">
                  <c:v>3.8709000539386134</c:v>
                </c:pt>
                <c:pt idx="1">
                  <c:v>3.8529632308508068</c:v>
                </c:pt>
                <c:pt idx="2">
                  <c:v>3.8140385909423742</c:v>
                </c:pt>
                <c:pt idx="3">
                  <c:v>3.7429746263321042</c:v>
                </c:pt>
                <c:pt idx="4">
                  <c:v>3.7035245943433597</c:v>
                </c:pt>
                <c:pt idx="5">
                  <c:v>3.6996663607744238</c:v>
                </c:pt>
                <c:pt idx="6">
                  <c:v>3.8013296281225952</c:v>
                </c:pt>
                <c:pt idx="7">
                  <c:v>3.75641840013316</c:v>
                </c:pt>
                <c:pt idx="8">
                  <c:v>3.6345147694482201</c:v>
                </c:pt>
                <c:pt idx="9">
                  <c:v>3.669139294038489</c:v>
                </c:pt>
                <c:pt idx="10">
                  <c:v>3.5069672831296077</c:v>
                </c:pt>
                <c:pt idx="11">
                  <c:v>3.2765340216721452</c:v>
                </c:pt>
                <c:pt idx="12">
                  <c:v>3.2855032729431612</c:v>
                </c:pt>
                <c:pt idx="13">
                  <c:v>3.3348013015188767</c:v>
                </c:pt>
                <c:pt idx="14">
                  <c:v>3.2610476470222411</c:v>
                </c:pt>
                <c:pt idx="15">
                  <c:v>3.217971759682587</c:v>
                </c:pt>
                <c:pt idx="16">
                  <c:v>3.1653831904563812</c:v>
                </c:pt>
                <c:pt idx="17">
                  <c:v>3.114320557727015</c:v>
                </c:pt>
                <c:pt idx="18">
                  <c:v>3.1495827103881857</c:v>
                </c:pt>
                <c:pt idx="19">
                  <c:v>3.1284481729604772</c:v>
                </c:pt>
                <c:pt idx="20">
                  <c:v>3.2326601905018504</c:v>
                </c:pt>
                <c:pt idx="21">
                  <c:v>3.0973352250848065</c:v>
                </c:pt>
                <c:pt idx="22">
                  <c:v>2.9977802019770263</c:v>
                </c:pt>
                <c:pt idx="23">
                  <c:v>2.9330176497152483</c:v>
                </c:pt>
                <c:pt idx="24">
                  <c:v>3.0079147887812239</c:v>
                </c:pt>
                <c:pt idx="25">
                  <c:v>3.0432349063342246</c:v>
                </c:pt>
                <c:pt idx="26">
                  <c:v>3.0636738829824175</c:v>
                </c:pt>
                <c:pt idx="27">
                  <c:v>2.9437269575976726</c:v>
                </c:pt>
                <c:pt idx="28">
                  <c:v>2.8307125171314542</c:v>
                </c:pt>
                <c:pt idx="29">
                  <c:v>2.8172828206311737</c:v>
                </c:pt>
                <c:pt idx="30">
                  <c:v>2.7999984824780775</c:v>
                </c:pt>
                <c:pt idx="31">
                  <c:v>2.8324041358467764</c:v>
                </c:pt>
                <c:pt idx="32">
                  <c:v>2.8453913021880006</c:v>
                </c:pt>
                <c:pt idx="33">
                  <c:v>2.8593205226013216</c:v>
                </c:pt>
                <c:pt idx="34">
                  <c:v>2.9082444642820087</c:v>
                </c:pt>
                <c:pt idx="35">
                  <c:v>2.9302523376212584</c:v>
                </c:pt>
                <c:pt idx="36">
                  <c:v>3.0325537963588727</c:v>
                </c:pt>
                <c:pt idx="37">
                  <c:v>3.0777979598452871</c:v>
                </c:pt>
                <c:pt idx="38">
                  <c:v>3.1581984354865607</c:v>
                </c:pt>
                <c:pt idx="39">
                  <c:v>3.2590560073018073</c:v>
                </c:pt>
                <c:pt idx="40">
                  <c:v>3.415113096934471</c:v>
                </c:pt>
                <c:pt idx="41">
                  <c:v>3.4674578401246352</c:v>
                </c:pt>
                <c:pt idx="42">
                  <c:v>3.6255356385367601</c:v>
                </c:pt>
                <c:pt idx="43">
                  <c:v>3.7666690912508307</c:v>
                </c:pt>
              </c:numCache>
            </c:numRef>
          </c:val>
        </c:ser>
        <c:marker val="1"/>
        <c:axId val="123030912"/>
        <c:axId val="123040896"/>
      </c:lineChart>
      <c:catAx>
        <c:axId val="123030912"/>
        <c:scaling>
          <c:orientation val="minMax"/>
        </c:scaling>
        <c:axPos val="b"/>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23040896"/>
        <c:crosses val="autoZero"/>
        <c:auto val="1"/>
        <c:lblAlgn val="ctr"/>
        <c:lblOffset val="100"/>
      </c:catAx>
      <c:valAx>
        <c:axId val="123040896"/>
        <c:scaling>
          <c:orientation val="minMax"/>
        </c:scaling>
        <c:axPos val="l"/>
        <c:majorGridlines/>
        <c:numFmt formatCode="General" sourceLinked="0"/>
        <c:majorTickMark val="none"/>
        <c:tickLblPos val="nextTo"/>
        <c:spPr>
          <a:ln w="9525">
            <a:noFill/>
          </a:ln>
        </c:spPr>
        <c:txPr>
          <a:bodyPr/>
          <a:lstStyle/>
          <a:p>
            <a:pPr>
              <a:defRPr>
                <a:latin typeface="Times New Roman" pitchFamily="18" charset="0"/>
                <a:cs typeface="Times New Roman" pitchFamily="18" charset="0"/>
              </a:defRPr>
            </a:pPr>
            <a:endParaRPr lang="cs-CZ"/>
          </a:p>
        </c:txPr>
        <c:crossAx val="123030912"/>
        <c:crosses val="autoZero"/>
        <c:crossBetween val="between"/>
      </c:valAx>
    </c:plotArea>
    <c:legend>
      <c:legendPos val="b"/>
      <c:txPr>
        <a:bodyPr/>
        <a:lstStyle/>
        <a:p>
          <a:pPr>
            <a:defRPr>
              <a:latin typeface="Times New Roman" pitchFamily="18" charset="0"/>
              <a:cs typeface="Times New Roman" pitchFamily="18" charset="0"/>
            </a:defRPr>
          </a:pPr>
          <a:endParaRPr lang="cs-CZ"/>
        </a:p>
      </c:txPr>
    </c:legend>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cs-CZ"/>
  <c:style val="20"/>
  <c:chart>
    <c:autoTitleDeleted val="1"/>
    <c:plotArea>
      <c:layout/>
      <c:lineChart>
        <c:grouping val="standard"/>
        <c:ser>
          <c:idx val="0"/>
          <c:order val="0"/>
          <c:tx>
            <c:strRef>
              <c:f>List1!$B$1</c:f>
              <c:strCache>
                <c:ptCount val="1"/>
                <c:pt idx="0">
                  <c:v>Čistý zisk (v mld. Kč)</c:v>
                </c:pt>
              </c:strCache>
            </c:strRef>
          </c:tx>
          <c:marker>
            <c:symbol val="none"/>
          </c:marker>
          <c:dLbls>
            <c:dLbl>
              <c:idx val="0"/>
              <c:layout>
                <c:manualLayout>
                  <c:x val="0"/>
                  <c:y val="2.7777777777778585E-2"/>
                </c:manualLayout>
              </c:layout>
              <c:showVal val="1"/>
            </c:dLbl>
            <c:dLbl>
              <c:idx val="1"/>
              <c:layout>
                <c:manualLayout>
                  <c:x val="0"/>
                  <c:y val="-4.3650793650793704E-2"/>
                </c:manualLayout>
              </c:layout>
              <c:showVal val="1"/>
            </c:dLbl>
            <c:dLbl>
              <c:idx val="2"/>
              <c:layout>
                <c:manualLayout>
                  <c:x val="0"/>
                  <c:y val="-2.7777777777778585E-2"/>
                </c:manualLayout>
              </c:layout>
              <c:showVal val="1"/>
            </c:dLbl>
            <c:dLbl>
              <c:idx val="3"/>
              <c:layout>
                <c:manualLayout>
                  <c:x val="2.3146325459317612E-3"/>
                  <c:y val="-5.1587301587301577E-2"/>
                </c:manualLayout>
              </c:layout>
              <c:showVal val="1"/>
            </c:dLbl>
            <c:dLbl>
              <c:idx val="4"/>
              <c:layout>
                <c:manualLayout>
                  <c:x val="1.3888888888889169E-2"/>
                  <c:y val="-5.5555555555555455E-2"/>
                </c:manualLayout>
              </c:layout>
              <c:showVal val="1"/>
            </c:dLbl>
            <c:dLbl>
              <c:idx val="5"/>
              <c:layout>
                <c:manualLayout>
                  <c:x val="-1.1574074074074073E-2"/>
                  <c:y val="-5.9523809523809507E-2"/>
                </c:manualLayout>
              </c:layout>
              <c:showVal val="1"/>
            </c:dLbl>
            <c:dLbl>
              <c:idx val="6"/>
              <c:layout>
                <c:manualLayout>
                  <c:x val="6.9444444444445386E-3"/>
                  <c:y val="0"/>
                </c:manualLayout>
              </c:layout>
              <c:showVal val="1"/>
            </c:dLbl>
            <c:dLbl>
              <c:idx val="7"/>
              <c:layout>
                <c:manualLayout>
                  <c:x val="0"/>
                  <c:y val="2.7777777777778585E-2"/>
                </c:manualLayout>
              </c:layout>
              <c:showVal val="1"/>
            </c:dLbl>
            <c:dLbl>
              <c:idx val="8"/>
              <c:layout>
                <c:manualLayout>
                  <c:x val="0"/>
                  <c:y val="3.5714285714285754E-2"/>
                </c:manualLayout>
              </c:layout>
              <c:showVal val="1"/>
            </c:dLbl>
            <c:dLbl>
              <c:idx val="9"/>
              <c:layout>
                <c:manualLayout>
                  <c:x val="2.3148148148148147E-3"/>
                  <c:y val="2.7777777777778789E-2"/>
                </c:manualLayout>
              </c:layout>
              <c:showVal val="1"/>
            </c:dLbl>
            <c:dLbl>
              <c:idx val="10"/>
              <c:layout>
                <c:manualLayout>
                  <c:x val="0"/>
                  <c:y val="-2.7777777777778585E-2"/>
                </c:manualLayout>
              </c:layout>
              <c:showVal val="1"/>
            </c:dLbl>
            <c:dLbl>
              <c:idx val="11"/>
              <c:layout>
                <c:manualLayout>
                  <c:x val="4.6296296296297014E-3"/>
                  <c:y val="-3.9682539682539802E-3"/>
                </c:manualLayout>
              </c:layout>
              <c:showVal val="1"/>
            </c:dLbl>
            <c:dLbl>
              <c:idx val="12"/>
              <c:layout>
                <c:manualLayout>
                  <c:x val="0"/>
                  <c:y val="4.3650793650793704E-2"/>
                </c:manualLayout>
              </c:layout>
              <c:showVal val="1"/>
            </c:dLbl>
            <c:dLbl>
              <c:idx val="13"/>
              <c:layout>
                <c:manualLayout>
                  <c:x val="0"/>
                  <c:y val="-3.1746031746031751E-2"/>
                </c:manualLayout>
              </c:layout>
              <c:showVal val="1"/>
            </c:dLbl>
            <c:dLbl>
              <c:idx val="14"/>
              <c:layout>
                <c:manualLayout>
                  <c:x val="0"/>
                  <c:y val="2.3809523809523832E-2"/>
                </c:manualLayout>
              </c:layout>
              <c:showVal val="1"/>
            </c:dLbl>
            <c:txPr>
              <a:bodyPr/>
              <a:lstStyle/>
              <a:p>
                <a:pPr>
                  <a:defRPr>
                    <a:latin typeface="Times New Roman" pitchFamily="18" charset="0"/>
                    <a:cs typeface="Times New Roman" pitchFamily="18" charset="0"/>
                  </a:defRPr>
                </a:pPr>
                <a:endParaRPr lang="cs-CZ"/>
              </a:p>
            </c:txPr>
            <c:showVal val="1"/>
          </c:dLbls>
          <c:cat>
            <c:numRef>
              <c:f>List1!$A$2:$A$16</c:f>
              <c:numCache>
                <c:formatCode>General</c:formatCode>
                <c:ptCount val="15"/>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numCache>
            </c:numRef>
          </c:cat>
          <c:val>
            <c:numRef>
              <c:f>List1!$B$2:$B$16</c:f>
              <c:numCache>
                <c:formatCode>General</c:formatCode>
                <c:ptCount val="15"/>
                <c:pt idx="0">
                  <c:v>9.7000000000000011</c:v>
                </c:pt>
                <c:pt idx="1">
                  <c:v>10.1</c:v>
                </c:pt>
                <c:pt idx="2">
                  <c:v>-3.4</c:v>
                </c:pt>
                <c:pt idx="3">
                  <c:v>-7.2</c:v>
                </c:pt>
                <c:pt idx="4">
                  <c:v>-5.6</c:v>
                </c:pt>
                <c:pt idx="5">
                  <c:v>14.4</c:v>
                </c:pt>
                <c:pt idx="6">
                  <c:v>17.2</c:v>
                </c:pt>
                <c:pt idx="7">
                  <c:v>30.4</c:v>
                </c:pt>
                <c:pt idx="8">
                  <c:v>30.2</c:v>
                </c:pt>
                <c:pt idx="9">
                  <c:v>32.9</c:v>
                </c:pt>
                <c:pt idx="10">
                  <c:v>39.1</c:v>
                </c:pt>
                <c:pt idx="11">
                  <c:v>38</c:v>
                </c:pt>
                <c:pt idx="12">
                  <c:v>47</c:v>
                </c:pt>
                <c:pt idx="13">
                  <c:v>45.7</c:v>
                </c:pt>
                <c:pt idx="14">
                  <c:v>40.300000000000004</c:v>
                </c:pt>
              </c:numCache>
            </c:numRef>
          </c:val>
        </c:ser>
        <c:marker val="1"/>
        <c:axId val="121189120"/>
        <c:axId val="121190656"/>
      </c:lineChart>
      <c:catAx>
        <c:axId val="121189120"/>
        <c:scaling>
          <c:orientation val="minMax"/>
        </c:scaling>
        <c:axPos val="b"/>
        <c:numFmt formatCode="General" sourceLinked="1"/>
        <c:majorTickMark val="none"/>
        <c:tickLblPos val="low"/>
        <c:txPr>
          <a:bodyPr rot="0" vert="horz" anchor="ctr" anchorCtr="1"/>
          <a:lstStyle/>
          <a:p>
            <a:pPr>
              <a:defRPr>
                <a:latin typeface="Times New Roman" pitchFamily="18" charset="0"/>
                <a:cs typeface="Times New Roman" pitchFamily="18" charset="0"/>
              </a:defRPr>
            </a:pPr>
            <a:endParaRPr lang="cs-CZ"/>
          </a:p>
        </c:txPr>
        <c:crossAx val="121190656"/>
        <c:crosses val="autoZero"/>
        <c:auto val="1"/>
        <c:lblAlgn val="ctr"/>
        <c:lblOffset val="100"/>
      </c:catAx>
      <c:valAx>
        <c:axId val="121190656"/>
        <c:scaling>
          <c:orientation val="minMax"/>
        </c:scaling>
        <c:axPos val="l"/>
        <c:majorGridlines/>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21189120"/>
        <c:crosses val="autoZero"/>
        <c:crossBetween val="between"/>
      </c:valAx>
    </c:plotArea>
    <c:legend>
      <c:legendPos val="b"/>
      <c:txPr>
        <a:bodyPr/>
        <a:lstStyle/>
        <a:p>
          <a:pPr>
            <a:defRPr>
              <a:latin typeface="Times New Roman" pitchFamily="18" charset="0"/>
              <a:cs typeface="Times New Roman" pitchFamily="18" charset="0"/>
            </a:defRPr>
          </a:pPr>
          <a:endParaRPr lang="cs-CZ"/>
        </a:p>
      </c:txPr>
    </c:legend>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cs-CZ"/>
  <c:style val="20"/>
  <c:chart>
    <c:autoTitleDeleted val="1"/>
    <c:view3D>
      <c:rAngAx val="1"/>
    </c:view3D>
    <c:plotArea>
      <c:layout/>
      <c:bar3DChart>
        <c:barDir val="col"/>
        <c:grouping val="stacked"/>
        <c:ser>
          <c:idx val="0"/>
          <c:order val="0"/>
          <c:tx>
            <c:strRef>
              <c:f>List1!$B$1</c:f>
              <c:strCache>
                <c:ptCount val="1"/>
                <c:pt idx="0">
                  <c:v>Výdaje na konečnou spotřebu</c:v>
                </c:pt>
              </c:strCache>
            </c:strRef>
          </c:tx>
          <c:dLbls>
            <c:txPr>
              <a:bodyPr/>
              <a:lstStyle/>
              <a:p>
                <a:pPr>
                  <a:defRPr>
                    <a:latin typeface="Times New Roman" pitchFamily="18" charset="0"/>
                    <a:cs typeface="Times New Roman" pitchFamily="18" charset="0"/>
                  </a:defRPr>
                </a:pPr>
                <a:endParaRPr lang="cs-CZ"/>
              </a:p>
            </c:txPr>
            <c:showVal val="1"/>
          </c:dLbls>
          <c:cat>
            <c:strRef>
              <c:f>List1!$A$2:$A$9</c:f>
              <c:strCache>
                <c:ptCount val="8"/>
                <c:pt idx="0">
                  <c:v>I./08</c:v>
                </c:pt>
                <c:pt idx="1">
                  <c:v>II.</c:v>
                </c:pt>
                <c:pt idx="2">
                  <c:v>III.</c:v>
                </c:pt>
                <c:pt idx="3">
                  <c:v>IV.</c:v>
                </c:pt>
                <c:pt idx="4">
                  <c:v>I./09</c:v>
                </c:pt>
                <c:pt idx="5">
                  <c:v>II.</c:v>
                </c:pt>
                <c:pt idx="6">
                  <c:v>III.</c:v>
                </c:pt>
                <c:pt idx="7">
                  <c:v>IV.</c:v>
                </c:pt>
              </c:strCache>
            </c:strRef>
          </c:cat>
          <c:val>
            <c:numRef>
              <c:f>List1!$B$2:$B$9</c:f>
              <c:numCache>
                <c:formatCode>#,##0.0</c:formatCode>
                <c:ptCount val="8"/>
                <c:pt idx="0">
                  <c:v>2</c:v>
                </c:pt>
                <c:pt idx="1">
                  <c:v>2.2999999999999998</c:v>
                </c:pt>
                <c:pt idx="2">
                  <c:v>2</c:v>
                </c:pt>
                <c:pt idx="3">
                  <c:v>1.2</c:v>
                </c:pt>
                <c:pt idx="4" formatCode="0.0">
                  <c:v>1.1000000000000001</c:v>
                </c:pt>
                <c:pt idx="5" formatCode="0.0">
                  <c:v>0.8</c:v>
                </c:pt>
                <c:pt idx="6" formatCode="0.0">
                  <c:v>1</c:v>
                </c:pt>
                <c:pt idx="7" formatCode="0.0">
                  <c:v>0.60000000000000064</c:v>
                </c:pt>
              </c:numCache>
            </c:numRef>
          </c:val>
        </c:ser>
        <c:ser>
          <c:idx val="1"/>
          <c:order val="1"/>
          <c:tx>
            <c:strRef>
              <c:f>List1!$C$1</c:f>
              <c:strCache>
                <c:ptCount val="1"/>
                <c:pt idx="0">
                  <c:v>Tvorba hrubého kapitálu</c:v>
                </c:pt>
              </c:strCache>
            </c:strRef>
          </c:tx>
          <c:dLbls>
            <c:dLbl>
              <c:idx val="1"/>
              <c:layout>
                <c:manualLayout>
                  <c:x val="0"/>
                  <c:y val="-2.3808586426696671E-2"/>
                </c:manualLayout>
              </c:layout>
              <c:showVal val="1"/>
            </c:dLbl>
            <c:dLbl>
              <c:idx val="2"/>
              <c:layout>
                <c:manualLayout>
                  <c:x val="0"/>
                  <c:y val="-2.7777152855893581E-2"/>
                </c:manualLayout>
              </c:layout>
              <c:showVal val="1"/>
            </c:dLbl>
            <c:dLbl>
              <c:idx val="4"/>
              <c:layout>
                <c:manualLayout>
                  <c:x val="0"/>
                  <c:y val="-4.7619047619047554E-2"/>
                </c:manualLayout>
              </c:layout>
              <c:showVal val="1"/>
            </c:dLbl>
            <c:dLbl>
              <c:idx val="5"/>
              <c:layout>
                <c:manualLayout>
                  <c:x val="0"/>
                  <c:y val="-5.1587301587301577E-2"/>
                </c:manualLayout>
              </c:layout>
              <c:showVal val="1"/>
            </c:dLbl>
            <c:dLbl>
              <c:idx val="6"/>
              <c:layout>
                <c:manualLayout>
                  <c:x val="0"/>
                  <c:y val="-5.9523809523809507E-2"/>
                </c:manualLayout>
              </c:layout>
              <c:showVal val="1"/>
            </c:dLbl>
            <c:dLbl>
              <c:idx val="7"/>
              <c:layout>
                <c:manualLayout>
                  <c:x val="4.6296296296297014E-3"/>
                  <c:y val="0"/>
                </c:manualLayout>
              </c:layout>
              <c:showVal val="1"/>
            </c:dLbl>
            <c:txPr>
              <a:bodyPr/>
              <a:lstStyle/>
              <a:p>
                <a:pPr>
                  <a:defRPr>
                    <a:latin typeface="Times New Roman" pitchFamily="18" charset="0"/>
                    <a:cs typeface="Times New Roman" pitchFamily="18" charset="0"/>
                  </a:defRPr>
                </a:pPr>
                <a:endParaRPr lang="cs-CZ"/>
              </a:p>
            </c:txPr>
            <c:showVal val="1"/>
          </c:dLbls>
          <c:cat>
            <c:strRef>
              <c:f>List1!$A$2:$A$9</c:f>
              <c:strCache>
                <c:ptCount val="8"/>
                <c:pt idx="0">
                  <c:v>I./08</c:v>
                </c:pt>
                <c:pt idx="1">
                  <c:v>II.</c:v>
                </c:pt>
                <c:pt idx="2">
                  <c:v>III.</c:v>
                </c:pt>
                <c:pt idx="3">
                  <c:v>IV.</c:v>
                </c:pt>
                <c:pt idx="4">
                  <c:v>I./09</c:v>
                </c:pt>
                <c:pt idx="5">
                  <c:v>II.</c:v>
                </c:pt>
                <c:pt idx="6">
                  <c:v>III.</c:v>
                </c:pt>
                <c:pt idx="7">
                  <c:v>IV.</c:v>
                </c:pt>
              </c:strCache>
            </c:strRef>
          </c:cat>
          <c:val>
            <c:numRef>
              <c:f>List1!$C$2:$C$9</c:f>
              <c:numCache>
                <c:formatCode>#,##0.0</c:formatCode>
                <c:ptCount val="8"/>
                <c:pt idx="0">
                  <c:v>-0.5</c:v>
                </c:pt>
                <c:pt idx="1">
                  <c:v>-2.4</c:v>
                </c:pt>
                <c:pt idx="2">
                  <c:v>-2.9</c:v>
                </c:pt>
                <c:pt idx="3">
                  <c:v>2.4</c:v>
                </c:pt>
                <c:pt idx="4" formatCode="0.0">
                  <c:v>-3.4</c:v>
                </c:pt>
                <c:pt idx="5" formatCode="0.0">
                  <c:v>-4.2</c:v>
                </c:pt>
                <c:pt idx="6" formatCode="0.0">
                  <c:v>-3.8</c:v>
                </c:pt>
                <c:pt idx="7" formatCode="0.0">
                  <c:v>-6.7</c:v>
                </c:pt>
              </c:numCache>
            </c:numRef>
          </c:val>
        </c:ser>
        <c:ser>
          <c:idx val="2"/>
          <c:order val="2"/>
          <c:tx>
            <c:strRef>
              <c:f>List1!$D$1</c:f>
              <c:strCache>
                <c:ptCount val="1"/>
                <c:pt idx="0">
                  <c:v>Čistý vývoz</c:v>
                </c:pt>
              </c:strCache>
            </c:strRef>
          </c:tx>
          <c:dLbls>
            <c:dLbl>
              <c:idx val="3"/>
              <c:layout>
                <c:manualLayout>
                  <c:x val="0"/>
                  <c:y val="-2.7777465316835406E-2"/>
                </c:manualLayout>
              </c:layout>
              <c:showVal val="1"/>
            </c:dLbl>
            <c:txPr>
              <a:bodyPr/>
              <a:lstStyle/>
              <a:p>
                <a:pPr>
                  <a:defRPr>
                    <a:latin typeface="Times New Roman" pitchFamily="18" charset="0"/>
                    <a:cs typeface="Times New Roman" pitchFamily="18" charset="0"/>
                  </a:defRPr>
                </a:pPr>
                <a:endParaRPr lang="cs-CZ"/>
              </a:p>
            </c:txPr>
            <c:showVal val="1"/>
          </c:dLbls>
          <c:cat>
            <c:strRef>
              <c:f>List1!$A$2:$A$9</c:f>
              <c:strCache>
                <c:ptCount val="8"/>
                <c:pt idx="0">
                  <c:v>I./08</c:v>
                </c:pt>
                <c:pt idx="1">
                  <c:v>II.</c:v>
                </c:pt>
                <c:pt idx="2">
                  <c:v>III.</c:v>
                </c:pt>
                <c:pt idx="3">
                  <c:v>IV.</c:v>
                </c:pt>
                <c:pt idx="4">
                  <c:v>I./09</c:v>
                </c:pt>
                <c:pt idx="5">
                  <c:v>II.</c:v>
                </c:pt>
                <c:pt idx="6">
                  <c:v>III.</c:v>
                </c:pt>
                <c:pt idx="7">
                  <c:v>IV.</c:v>
                </c:pt>
              </c:strCache>
            </c:strRef>
          </c:cat>
          <c:val>
            <c:numRef>
              <c:f>List1!$D$2:$D$9</c:f>
              <c:numCache>
                <c:formatCode>#,##0.0</c:formatCode>
                <c:ptCount val="8"/>
                <c:pt idx="0">
                  <c:v>1.6</c:v>
                </c:pt>
                <c:pt idx="1">
                  <c:v>3.6</c:v>
                </c:pt>
                <c:pt idx="2">
                  <c:v>3.1</c:v>
                </c:pt>
                <c:pt idx="3">
                  <c:v>-3.1</c:v>
                </c:pt>
                <c:pt idx="4" formatCode="General">
                  <c:v>-1.6</c:v>
                </c:pt>
                <c:pt idx="5" formatCode="General">
                  <c:v>-1.3</c:v>
                </c:pt>
                <c:pt idx="6" formatCode="General">
                  <c:v>-1.6</c:v>
                </c:pt>
                <c:pt idx="7" formatCode="General">
                  <c:v>2.7</c:v>
                </c:pt>
              </c:numCache>
            </c:numRef>
          </c:val>
        </c:ser>
        <c:gapWidth val="75"/>
        <c:shape val="box"/>
        <c:axId val="123015936"/>
        <c:axId val="123017472"/>
        <c:axId val="0"/>
      </c:bar3DChart>
      <c:catAx>
        <c:axId val="123015936"/>
        <c:scaling>
          <c:orientation val="minMax"/>
        </c:scaling>
        <c:axPos val="b"/>
        <c:numFmt formatCode="General" sourceLinked="1"/>
        <c:majorTickMark val="none"/>
        <c:tickLblPos val="low"/>
        <c:txPr>
          <a:bodyPr rot="0" vert="horz"/>
          <a:lstStyle/>
          <a:p>
            <a:pPr>
              <a:defRPr b="0">
                <a:latin typeface="Times New Roman" pitchFamily="18" charset="0"/>
                <a:cs typeface="Times New Roman" pitchFamily="18" charset="0"/>
              </a:defRPr>
            </a:pPr>
            <a:endParaRPr lang="cs-CZ"/>
          </a:p>
        </c:txPr>
        <c:crossAx val="123017472"/>
        <c:crosses val="autoZero"/>
        <c:auto val="1"/>
        <c:lblAlgn val="ctr"/>
        <c:lblOffset val="0"/>
      </c:catAx>
      <c:valAx>
        <c:axId val="123017472"/>
        <c:scaling>
          <c:orientation val="minMax"/>
        </c:scaling>
        <c:axPos val="l"/>
        <c:majorGridlines/>
        <c:numFmt formatCode="General" sourceLinked="0"/>
        <c:majorTickMark val="none"/>
        <c:tickLblPos val="nextTo"/>
        <c:spPr>
          <a:ln w="9525">
            <a:noFill/>
          </a:ln>
        </c:spPr>
        <c:txPr>
          <a:bodyPr/>
          <a:lstStyle/>
          <a:p>
            <a:pPr>
              <a:defRPr>
                <a:latin typeface="Times New Roman" pitchFamily="18" charset="0"/>
                <a:cs typeface="Times New Roman" pitchFamily="18" charset="0"/>
              </a:defRPr>
            </a:pPr>
            <a:endParaRPr lang="cs-CZ"/>
          </a:p>
        </c:txPr>
        <c:crossAx val="123015936"/>
        <c:crossesAt val="1"/>
        <c:crossBetween val="between"/>
      </c:valAx>
    </c:plotArea>
    <c:legend>
      <c:legendPos val="b"/>
      <c:txPr>
        <a:bodyPr/>
        <a:lstStyle/>
        <a:p>
          <a:pPr>
            <a:defRPr>
              <a:latin typeface="Times New Roman" pitchFamily="18" charset="0"/>
              <a:cs typeface="Times New Roman" pitchFamily="18" charset="0"/>
            </a:defRPr>
          </a:pPr>
          <a:endParaRPr lang="cs-CZ"/>
        </a:p>
      </c:txPr>
    </c:legend>
    <c:plotVisOnly val="1"/>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cs-CZ"/>
  <c:style val="20"/>
  <c:clrMapOvr bg1="lt1" tx1="dk1" bg2="lt2" tx2="dk2" accent1="accent1" accent2="accent2" accent3="accent3" accent4="accent4" accent5="accent5" accent6="accent6" hlink="hlink" folHlink="folHlink"/>
  <c:chart>
    <c:autoTitleDeleted val="1"/>
    <c:plotArea>
      <c:layout/>
      <c:lineChart>
        <c:grouping val="standard"/>
        <c:ser>
          <c:idx val="0"/>
          <c:order val="0"/>
          <c:tx>
            <c:strRef>
              <c:f>List1!$B$1</c:f>
              <c:strCache>
                <c:ptCount val="1"/>
                <c:pt idx="0">
                  <c:v>Míra inflace</c:v>
                </c:pt>
              </c:strCache>
            </c:strRef>
          </c:tx>
          <c:marker>
            <c:symbol val="none"/>
          </c:marker>
          <c:cat>
            <c:numRef>
              <c:f>List1!$A$2:$A$121</c:f>
              <c:numCache>
                <c:formatCode>General</c:formatCode>
                <c:ptCount val="120"/>
                <c:pt idx="0">
                  <c:v>2000</c:v>
                </c:pt>
                <c:pt idx="12">
                  <c:v>2001</c:v>
                </c:pt>
                <c:pt idx="24">
                  <c:v>2002</c:v>
                </c:pt>
                <c:pt idx="36">
                  <c:v>2003</c:v>
                </c:pt>
                <c:pt idx="48">
                  <c:v>2004</c:v>
                </c:pt>
                <c:pt idx="60">
                  <c:v>2005</c:v>
                </c:pt>
                <c:pt idx="72">
                  <c:v>2006</c:v>
                </c:pt>
                <c:pt idx="84">
                  <c:v>2007</c:v>
                </c:pt>
                <c:pt idx="96">
                  <c:v>2008</c:v>
                </c:pt>
                <c:pt idx="108">
                  <c:v>2009</c:v>
                </c:pt>
              </c:numCache>
            </c:numRef>
          </c:cat>
          <c:val>
            <c:numRef>
              <c:f>List1!$B$2:$B$121</c:f>
              <c:numCache>
                <c:formatCode>General</c:formatCode>
                <c:ptCount val="120"/>
                <c:pt idx="0">
                  <c:v>3.4</c:v>
                </c:pt>
                <c:pt idx="1">
                  <c:v>3.7</c:v>
                </c:pt>
                <c:pt idx="2">
                  <c:v>3.8</c:v>
                </c:pt>
                <c:pt idx="3">
                  <c:v>3.4</c:v>
                </c:pt>
                <c:pt idx="4">
                  <c:v>3.7</c:v>
                </c:pt>
                <c:pt idx="5">
                  <c:v>4.0999999999999996</c:v>
                </c:pt>
                <c:pt idx="6">
                  <c:v>3.9</c:v>
                </c:pt>
                <c:pt idx="7">
                  <c:v>4.0999999999999996</c:v>
                </c:pt>
                <c:pt idx="8">
                  <c:v>4.0999999999999996</c:v>
                </c:pt>
                <c:pt idx="9">
                  <c:v>4.4000000000000004</c:v>
                </c:pt>
                <c:pt idx="10">
                  <c:v>4.3</c:v>
                </c:pt>
                <c:pt idx="11">
                  <c:v>4</c:v>
                </c:pt>
                <c:pt idx="12">
                  <c:v>4.2</c:v>
                </c:pt>
                <c:pt idx="13">
                  <c:v>4</c:v>
                </c:pt>
                <c:pt idx="14">
                  <c:v>4.0999999999999996</c:v>
                </c:pt>
                <c:pt idx="15">
                  <c:v>4.5999999999999996</c:v>
                </c:pt>
                <c:pt idx="16">
                  <c:v>5</c:v>
                </c:pt>
                <c:pt idx="17">
                  <c:v>5.5</c:v>
                </c:pt>
                <c:pt idx="18">
                  <c:v>5.9</c:v>
                </c:pt>
                <c:pt idx="19">
                  <c:v>5.5</c:v>
                </c:pt>
                <c:pt idx="20">
                  <c:v>4.7</c:v>
                </c:pt>
                <c:pt idx="21">
                  <c:v>4.4000000000000004</c:v>
                </c:pt>
                <c:pt idx="22">
                  <c:v>4.2</c:v>
                </c:pt>
                <c:pt idx="23">
                  <c:v>4.0999999999999996</c:v>
                </c:pt>
                <c:pt idx="24">
                  <c:v>3.7</c:v>
                </c:pt>
                <c:pt idx="25">
                  <c:v>3.9</c:v>
                </c:pt>
                <c:pt idx="26">
                  <c:v>3.7</c:v>
                </c:pt>
                <c:pt idx="27">
                  <c:v>3.2</c:v>
                </c:pt>
                <c:pt idx="28">
                  <c:v>2.5</c:v>
                </c:pt>
                <c:pt idx="29">
                  <c:v>1.2</c:v>
                </c:pt>
                <c:pt idx="30">
                  <c:v>0.60000000000000064</c:v>
                </c:pt>
                <c:pt idx="31">
                  <c:v>0.60000000000000064</c:v>
                </c:pt>
                <c:pt idx="32">
                  <c:v>0.8</c:v>
                </c:pt>
                <c:pt idx="33">
                  <c:v>0.60000000000000064</c:v>
                </c:pt>
                <c:pt idx="34">
                  <c:v>0.5</c:v>
                </c:pt>
                <c:pt idx="35">
                  <c:v>0.60000000000000064</c:v>
                </c:pt>
                <c:pt idx="36">
                  <c:v>-0.4</c:v>
                </c:pt>
                <c:pt idx="37">
                  <c:v>-0.4</c:v>
                </c:pt>
                <c:pt idx="38">
                  <c:v>-0.4</c:v>
                </c:pt>
                <c:pt idx="39">
                  <c:v>-0.1</c:v>
                </c:pt>
                <c:pt idx="40">
                  <c:v>0</c:v>
                </c:pt>
                <c:pt idx="41">
                  <c:v>0.30000000000000032</c:v>
                </c:pt>
                <c:pt idx="42">
                  <c:v>-0.1</c:v>
                </c:pt>
                <c:pt idx="43">
                  <c:v>-0.1</c:v>
                </c:pt>
                <c:pt idx="44">
                  <c:v>0</c:v>
                </c:pt>
                <c:pt idx="45">
                  <c:v>0.4</c:v>
                </c:pt>
                <c:pt idx="46">
                  <c:v>1</c:v>
                </c:pt>
                <c:pt idx="47">
                  <c:v>1</c:v>
                </c:pt>
                <c:pt idx="48">
                  <c:v>2.2999999999999998</c:v>
                </c:pt>
                <c:pt idx="49">
                  <c:v>2.2999999999999998</c:v>
                </c:pt>
                <c:pt idx="50">
                  <c:v>2.5</c:v>
                </c:pt>
                <c:pt idx="51">
                  <c:v>2.2999999999999998</c:v>
                </c:pt>
                <c:pt idx="52">
                  <c:v>2.7</c:v>
                </c:pt>
                <c:pt idx="53">
                  <c:v>2.9</c:v>
                </c:pt>
                <c:pt idx="54">
                  <c:v>3.2</c:v>
                </c:pt>
                <c:pt idx="55">
                  <c:v>3.4</c:v>
                </c:pt>
                <c:pt idx="56">
                  <c:v>3</c:v>
                </c:pt>
                <c:pt idx="57">
                  <c:v>3.5</c:v>
                </c:pt>
                <c:pt idx="58">
                  <c:v>2.9</c:v>
                </c:pt>
                <c:pt idx="59">
                  <c:v>2.8</c:v>
                </c:pt>
                <c:pt idx="60">
                  <c:v>1.7</c:v>
                </c:pt>
                <c:pt idx="61">
                  <c:v>1.7</c:v>
                </c:pt>
                <c:pt idx="62">
                  <c:v>1.5</c:v>
                </c:pt>
                <c:pt idx="63">
                  <c:v>1.6</c:v>
                </c:pt>
                <c:pt idx="64">
                  <c:v>1.3</c:v>
                </c:pt>
                <c:pt idx="65">
                  <c:v>1.8</c:v>
                </c:pt>
                <c:pt idx="66">
                  <c:v>1.7</c:v>
                </c:pt>
                <c:pt idx="67">
                  <c:v>1.7</c:v>
                </c:pt>
                <c:pt idx="68">
                  <c:v>2.2000000000000002</c:v>
                </c:pt>
                <c:pt idx="69">
                  <c:v>2.6</c:v>
                </c:pt>
                <c:pt idx="70">
                  <c:v>2.4</c:v>
                </c:pt>
                <c:pt idx="71">
                  <c:v>2.2000000000000002</c:v>
                </c:pt>
                <c:pt idx="72">
                  <c:v>2.9</c:v>
                </c:pt>
                <c:pt idx="73">
                  <c:v>2.8</c:v>
                </c:pt>
                <c:pt idx="74">
                  <c:v>2.8</c:v>
                </c:pt>
                <c:pt idx="75">
                  <c:v>2.8</c:v>
                </c:pt>
                <c:pt idx="76">
                  <c:v>3.1</c:v>
                </c:pt>
                <c:pt idx="77">
                  <c:v>2.8</c:v>
                </c:pt>
                <c:pt idx="78">
                  <c:v>2.9</c:v>
                </c:pt>
                <c:pt idx="79">
                  <c:v>3.1</c:v>
                </c:pt>
                <c:pt idx="80">
                  <c:v>2.7</c:v>
                </c:pt>
                <c:pt idx="81">
                  <c:v>1.3</c:v>
                </c:pt>
                <c:pt idx="82">
                  <c:v>1.5</c:v>
                </c:pt>
                <c:pt idx="83">
                  <c:v>1.7</c:v>
                </c:pt>
                <c:pt idx="84">
                  <c:v>1.3</c:v>
                </c:pt>
                <c:pt idx="85">
                  <c:v>1.5</c:v>
                </c:pt>
                <c:pt idx="86">
                  <c:v>1.9000000000000001</c:v>
                </c:pt>
                <c:pt idx="87">
                  <c:v>2.5</c:v>
                </c:pt>
                <c:pt idx="88">
                  <c:v>2.4</c:v>
                </c:pt>
                <c:pt idx="89">
                  <c:v>2.5</c:v>
                </c:pt>
                <c:pt idx="90">
                  <c:v>2.2999999999999998</c:v>
                </c:pt>
                <c:pt idx="91">
                  <c:v>2.4</c:v>
                </c:pt>
                <c:pt idx="92">
                  <c:v>2.8</c:v>
                </c:pt>
                <c:pt idx="93">
                  <c:v>4</c:v>
                </c:pt>
                <c:pt idx="94">
                  <c:v>5</c:v>
                </c:pt>
                <c:pt idx="95">
                  <c:v>5.4</c:v>
                </c:pt>
                <c:pt idx="96">
                  <c:v>7.5</c:v>
                </c:pt>
                <c:pt idx="97">
                  <c:v>7.5</c:v>
                </c:pt>
                <c:pt idx="98">
                  <c:v>7.1</c:v>
                </c:pt>
                <c:pt idx="99">
                  <c:v>6.8</c:v>
                </c:pt>
                <c:pt idx="100">
                  <c:v>6.8</c:v>
                </c:pt>
                <c:pt idx="101">
                  <c:v>6.7</c:v>
                </c:pt>
                <c:pt idx="102">
                  <c:v>6.9</c:v>
                </c:pt>
                <c:pt idx="103">
                  <c:v>6.5</c:v>
                </c:pt>
                <c:pt idx="104">
                  <c:v>6.6</c:v>
                </c:pt>
                <c:pt idx="105">
                  <c:v>6</c:v>
                </c:pt>
                <c:pt idx="106">
                  <c:v>4.4000000000000004</c:v>
                </c:pt>
                <c:pt idx="107">
                  <c:v>3.6</c:v>
                </c:pt>
                <c:pt idx="108">
                  <c:v>2.2000000000000002</c:v>
                </c:pt>
                <c:pt idx="109">
                  <c:v>2</c:v>
                </c:pt>
                <c:pt idx="110">
                  <c:v>2.2999999999999998</c:v>
                </c:pt>
                <c:pt idx="111">
                  <c:v>1.8</c:v>
                </c:pt>
                <c:pt idx="112">
                  <c:v>1.3</c:v>
                </c:pt>
                <c:pt idx="113">
                  <c:v>1.2</c:v>
                </c:pt>
                <c:pt idx="114">
                  <c:v>0.30000000000000032</c:v>
                </c:pt>
                <c:pt idx="115">
                  <c:v>0.2</c:v>
                </c:pt>
                <c:pt idx="116">
                  <c:v>0</c:v>
                </c:pt>
                <c:pt idx="117">
                  <c:v>-0.2</c:v>
                </c:pt>
                <c:pt idx="118">
                  <c:v>0.5</c:v>
                </c:pt>
                <c:pt idx="119">
                  <c:v>1</c:v>
                </c:pt>
              </c:numCache>
            </c:numRef>
          </c:val>
        </c:ser>
        <c:marker val="1"/>
        <c:axId val="120944128"/>
        <c:axId val="120945664"/>
      </c:lineChart>
      <c:catAx>
        <c:axId val="120944128"/>
        <c:scaling>
          <c:orientation val="minMax"/>
        </c:scaling>
        <c:axPos val="b"/>
        <c:numFmt formatCode="General" sourceLinked="1"/>
        <c:majorTickMark val="none"/>
        <c:tickLblPos val="low"/>
        <c:txPr>
          <a:bodyPr/>
          <a:lstStyle/>
          <a:p>
            <a:pPr>
              <a:defRPr>
                <a:latin typeface="Times New Roman" pitchFamily="18" charset="0"/>
                <a:cs typeface="Times New Roman" pitchFamily="18" charset="0"/>
              </a:defRPr>
            </a:pPr>
            <a:endParaRPr lang="cs-CZ"/>
          </a:p>
        </c:txPr>
        <c:crossAx val="120945664"/>
        <c:crosses val="autoZero"/>
        <c:auto val="1"/>
        <c:lblAlgn val="ctr"/>
        <c:lblOffset val="100"/>
      </c:catAx>
      <c:valAx>
        <c:axId val="120945664"/>
        <c:scaling>
          <c:orientation val="minMax"/>
        </c:scaling>
        <c:axPos val="l"/>
        <c:majorGridlines/>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20944128"/>
        <c:crosses val="autoZero"/>
        <c:crossBetween val="between"/>
      </c:valAx>
    </c:plotArea>
    <c:legend>
      <c:legendPos val="b"/>
      <c:legendEntry>
        <c:idx val="0"/>
        <c:txPr>
          <a:bodyPr/>
          <a:lstStyle/>
          <a:p>
            <a:pPr>
              <a:defRPr>
                <a:latin typeface="Times New Roman" pitchFamily="18" charset="0"/>
                <a:cs typeface="Times New Roman" pitchFamily="18" charset="0"/>
              </a:defRPr>
            </a:pPr>
            <a:endParaRPr lang="cs-CZ"/>
          </a:p>
        </c:txPr>
      </c:legendEntry>
    </c:legend>
    <c:plotVisOnly val="1"/>
  </c:chart>
  <c:externalData r:id="rId2"/>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cs-CZ"/>
  <c:style val="20"/>
  <c:clrMapOvr bg1="lt1" tx1="dk1" bg2="lt2" tx2="dk2" accent1="accent1" accent2="accent2" accent3="accent3" accent4="accent4" accent5="accent5" accent6="accent6" hlink="hlink" folHlink="folHlink"/>
  <c:chart>
    <c:autoTitleDeleted val="1"/>
    <c:plotArea>
      <c:layout/>
      <c:lineChart>
        <c:grouping val="standard"/>
        <c:ser>
          <c:idx val="0"/>
          <c:order val="0"/>
          <c:tx>
            <c:v>Míra nezaměstnanosti</c:v>
          </c:tx>
          <c:marker>
            <c:symbol val="none"/>
          </c:marker>
          <c:cat>
            <c:numRef>
              <c:f>List1!$A$10:$BP$10</c:f>
              <c:numCache>
                <c:formatCode>General</c:formatCode>
                <c:ptCount val="68"/>
                <c:pt idx="0">
                  <c:v>1993</c:v>
                </c:pt>
                <c:pt idx="4">
                  <c:v>1994</c:v>
                </c:pt>
                <c:pt idx="8">
                  <c:v>1995</c:v>
                </c:pt>
                <c:pt idx="12">
                  <c:v>1996</c:v>
                </c:pt>
                <c:pt idx="16">
                  <c:v>1997</c:v>
                </c:pt>
                <c:pt idx="20">
                  <c:v>1998</c:v>
                </c:pt>
                <c:pt idx="24">
                  <c:v>1999</c:v>
                </c:pt>
                <c:pt idx="28">
                  <c:v>2000</c:v>
                </c:pt>
                <c:pt idx="32">
                  <c:v>2001</c:v>
                </c:pt>
                <c:pt idx="36">
                  <c:v>2002</c:v>
                </c:pt>
                <c:pt idx="40">
                  <c:v>2003</c:v>
                </c:pt>
                <c:pt idx="44">
                  <c:v>2004</c:v>
                </c:pt>
                <c:pt idx="48">
                  <c:v>2005</c:v>
                </c:pt>
                <c:pt idx="52">
                  <c:v>2006</c:v>
                </c:pt>
                <c:pt idx="56">
                  <c:v>2007</c:v>
                </c:pt>
                <c:pt idx="60">
                  <c:v>2008</c:v>
                </c:pt>
                <c:pt idx="64">
                  <c:v>2009</c:v>
                </c:pt>
              </c:numCache>
            </c:numRef>
          </c:cat>
          <c:val>
            <c:numRef>
              <c:f>List1!$A$12:$BP$12</c:f>
              <c:numCache>
                <c:formatCode>General</c:formatCode>
                <c:ptCount val="68"/>
                <c:pt idx="0">
                  <c:v>4.5320861703161945</c:v>
                </c:pt>
                <c:pt idx="1">
                  <c:v>4.2676763151634693</c:v>
                </c:pt>
                <c:pt idx="2">
                  <c:v>4.3125326455615847</c:v>
                </c:pt>
                <c:pt idx="3">
                  <c:v>4.1691728056631083</c:v>
                </c:pt>
                <c:pt idx="4">
                  <c:v>4.2267172940605864</c:v>
                </c:pt>
                <c:pt idx="5">
                  <c:v>4.1930897155476003</c:v>
                </c:pt>
                <c:pt idx="6">
                  <c:v>4.4590877801722524</c:v>
                </c:pt>
                <c:pt idx="7">
                  <c:v>4.3052977428533934</c:v>
                </c:pt>
                <c:pt idx="8">
                  <c:v>4.3048435756527486</c:v>
                </c:pt>
                <c:pt idx="9">
                  <c:v>4.0289265079837255</c:v>
                </c:pt>
                <c:pt idx="10">
                  <c:v>4.0457978104625942</c:v>
                </c:pt>
                <c:pt idx="11">
                  <c:v>3.7172343292070802</c:v>
                </c:pt>
                <c:pt idx="12">
                  <c:v>3.7310889430055587</c:v>
                </c:pt>
                <c:pt idx="13">
                  <c:v>3.7795422683508932</c:v>
                </c:pt>
                <c:pt idx="14">
                  <c:v>4.0139556703522645</c:v>
                </c:pt>
                <c:pt idx="15">
                  <c:v>4.0507487004858529</c:v>
                </c:pt>
                <c:pt idx="16">
                  <c:v>4.2805198343803097</c:v>
                </c:pt>
                <c:pt idx="17">
                  <c:v>4.4772249963437893</c:v>
                </c:pt>
                <c:pt idx="18">
                  <c:v>5.0043425190731554</c:v>
                </c:pt>
                <c:pt idx="19">
                  <c:v>5.3895473449263882</c:v>
                </c:pt>
                <c:pt idx="20">
                  <c:v>5.9126012962318084</c:v>
                </c:pt>
                <c:pt idx="21">
                  <c:v>5.8883588743061805</c:v>
                </c:pt>
                <c:pt idx="22">
                  <c:v>6.7532426430755184</c:v>
                </c:pt>
                <c:pt idx="23">
                  <c:v>7.2550017666229065</c:v>
                </c:pt>
                <c:pt idx="24">
                  <c:v>8.4095272092616806</c:v>
                </c:pt>
                <c:pt idx="25">
                  <c:v>8.433976433854971</c:v>
                </c:pt>
                <c:pt idx="26">
                  <c:v>8.9792153538792725</c:v>
                </c:pt>
                <c:pt idx="27">
                  <c:v>8.9842362805019746</c:v>
                </c:pt>
                <c:pt idx="28">
                  <c:v>9.5052820112864875</c:v>
                </c:pt>
                <c:pt idx="29">
                  <c:v>8.6920802193504727</c:v>
                </c:pt>
                <c:pt idx="30">
                  <c:v>8.5486700617036089</c:v>
                </c:pt>
                <c:pt idx="31">
                  <c:v>8.3072939265225685</c:v>
                </c:pt>
                <c:pt idx="32">
                  <c:v>8.4667804587695219</c:v>
                </c:pt>
                <c:pt idx="33">
                  <c:v>7.9533068469344341</c:v>
                </c:pt>
                <c:pt idx="34">
                  <c:v>8.2467602457555689</c:v>
                </c:pt>
                <c:pt idx="35">
                  <c:v>7.8438547699942385</c:v>
                </c:pt>
                <c:pt idx="36">
                  <c:v>7.6690671735818334</c:v>
                </c:pt>
                <c:pt idx="37">
                  <c:v>6.9809518930295784</c:v>
                </c:pt>
                <c:pt idx="38">
                  <c:v>7.2174878996550245</c:v>
                </c:pt>
                <c:pt idx="39">
                  <c:v>7.2561858949658955</c:v>
                </c:pt>
                <c:pt idx="40">
                  <c:v>7.5714159906878464</c:v>
                </c:pt>
                <c:pt idx="41">
                  <c:v>7.5066009835416221</c:v>
                </c:pt>
                <c:pt idx="42">
                  <c:v>7.9640241929409354</c:v>
                </c:pt>
                <c:pt idx="43">
                  <c:v>8.0652869363602058</c:v>
                </c:pt>
                <c:pt idx="44">
                  <c:v>8.668294518127972</c:v>
                </c:pt>
                <c:pt idx="45">
                  <c:v>8.1860226014002393</c:v>
                </c:pt>
                <c:pt idx="46">
                  <c:v>8.183130754952149</c:v>
                </c:pt>
                <c:pt idx="47">
                  <c:v>8.154500739649011</c:v>
                </c:pt>
                <c:pt idx="48">
                  <c:v>8.3589602500426228</c:v>
                </c:pt>
                <c:pt idx="49">
                  <c:v>7.8034232867799442</c:v>
                </c:pt>
                <c:pt idx="50">
                  <c:v>7.7784910480324774</c:v>
                </c:pt>
                <c:pt idx="51">
                  <c:v>7.7716328436949134</c:v>
                </c:pt>
                <c:pt idx="52">
                  <c:v>7.9650125933765326</c:v>
                </c:pt>
                <c:pt idx="53">
                  <c:v>7.0630978781085245</c:v>
                </c:pt>
                <c:pt idx="54">
                  <c:v>7.0124520203325416</c:v>
                </c:pt>
                <c:pt idx="55">
                  <c:v>6.5242224887512794</c:v>
                </c:pt>
                <c:pt idx="56">
                  <c:v>6.0130229608851602</c:v>
                </c:pt>
                <c:pt idx="57">
                  <c:v>5.2918706475028303</c:v>
                </c:pt>
                <c:pt idx="58">
                  <c:v>5.1202373989545684</c:v>
                </c:pt>
                <c:pt idx="59">
                  <c:v>4.8434170549887705</c:v>
                </c:pt>
                <c:pt idx="60">
                  <c:v>4.6999639709188354</c:v>
                </c:pt>
                <c:pt idx="61">
                  <c:v>4.2143659188006177</c:v>
                </c:pt>
                <c:pt idx="62">
                  <c:v>4.2741270316467155</c:v>
                </c:pt>
                <c:pt idx="63">
                  <c:v>4.3833278575252645</c:v>
                </c:pt>
                <c:pt idx="64">
                  <c:v>5.767844783398405</c:v>
                </c:pt>
                <c:pt idx="65">
                  <c:v>6.3302257464495639</c:v>
                </c:pt>
                <c:pt idx="66">
                  <c:v>7.2906179642972457</c:v>
                </c:pt>
                <c:pt idx="67">
                  <c:v>7.2473113396648294</c:v>
                </c:pt>
              </c:numCache>
            </c:numRef>
          </c:val>
        </c:ser>
        <c:marker val="1"/>
        <c:axId val="123251328"/>
        <c:axId val="122835328"/>
      </c:lineChart>
      <c:catAx>
        <c:axId val="123251328"/>
        <c:scaling>
          <c:orientation val="minMax"/>
        </c:scaling>
        <c:axPos val="b"/>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22835328"/>
        <c:crosses val="autoZero"/>
        <c:auto val="1"/>
        <c:lblAlgn val="ctr"/>
        <c:lblOffset val="100"/>
      </c:catAx>
      <c:valAx>
        <c:axId val="122835328"/>
        <c:scaling>
          <c:orientation val="minMax"/>
        </c:scaling>
        <c:axPos val="l"/>
        <c:majorGridlines/>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23251328"/>
        <c:crosses val="autoZero"/>
        <c:crossBetween val="between"/>
      </c:valAx>
    </c:plotArea>
    <c:legend>
      <c:legendPos val="b"/>
      <c:legendEntry>
        <c:idx val="0"/>
        <c:txPr>
          <a:bodyPr/>
          <a:lstStyle/>
          <a:p>
            <a:pPr>
              <a:defRPr>
                <a:latin typeface="Times New Roman" pitchFamily="18" charset="0"/>
                <a:cs typeface="Times New Roman" pitchFamily="18" charset="0"/>
              </a:defRPr>
            </a:pPr>
            <a:endParaRPr lang="cs-CZ"/>
          </a:p>
        </c:txPr>
      </c:legendEntry>
    </c:legend>
    <c:plotVisOnly val="1"/>
  </c:chart>
  <c:externalData r:id="rId2"/>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cs-CZ"/>
  <c:style val="20"/>
  <c:clrMapOvr bg1="lt1" tx1="dk1" bg2="lt2" tx2="dk2" accent1="accent1" accent2="accent2" accent3="accent3" accent4="accent4" accent5="accent5" accent6="accent6" hlink="hlink" folHlink="folHlink"/>
  <c:chart>
    <c:autoTitleDeleted val="1"/>
    <c:plotArea>
      <c:layout/>
      <c:lineChart>
        <c:grouping val="standard"/>
        <c:ser>
          <c:idx val="0"/>
          <c:order val="0"/>
          <c:tx>
            <c:strRef>
              <c:f>List2!$C$1</c:f>
              <c:strCache>
                <c:ptCount val="1"/>
                <c:pt idx="0">
                  <c:v>Sezónně neočištěné</c:v>
                </c:pt>
              </c:strCache>
            </c:strRef>
          </c:tx>
          <c:marker>
            <c:symbol val="none"/>
          </c:marker>
          <c:cat>
            <c:strRef>
              <c:f>List2!$A$2:$B$62</c:f>
              <c:strCache>
                <c:ptCount val="61"/>
                <c:pt idx="0">
                  <c:v>2005</c:v>
                </c:pt>
                <c:pt idx="12">
                  <c:v>2006</c:v>
                </c:pt>
                <c:pt idx="24">
                  <c:v>2007</c:v>
                </c:pt>
                <c:pt idx="36">
                  <c:v>2008</c:v>
                </c:pt>
                <c:pt idx="48">
                  <c:v>2009</c:v>
                </c:pt>
                <c:pt idx="60">
                  <c:v>2010</c:v>
                </c:pt>
              </c:strCache>
            </c:strRef>
          </c:cat>
          <c:val>
            <c:numRef>
              <c:f>List2!$C$2:$C$62</c:f>
              <c:numCache>
                <c:formatCode>0.0</c:formatCode>
                <c:ptCount val="61"/>
                <c:pt idx="0">
                  <c:v>4.8821572598916845</c:v>
                </c:pt>
                <c:pt idx="1">
                  <c:v>1.8481874318450198</c:v>
                </c:pt>
                <c:pt idx="2">
                  <c:v>-1.4182141931102024</c:v>
                </c:pt>
                <c:pt idx="3">
                  <c:v>3.0512829199341946</c:v>
                </c:pt>
                <c:pt idx="4">
                  <c:v>4.6978546346795245</c:v>
                </c:pt>
                <c:pt idx="5">
                  <c:v>4.9405126205811598</c:v>
                </c:pt>
                <c:pt idx="6">
                  <c:v>0.85857040750462355</c:v>
                </c:pt>
                <c:pt idx="7">
                  <c:v>6.624608032804062</c:v>
                </c:pt>
                <c:pt idx="8">
                  <c:v>5.2034365075863445</c:v>
                </c:pt>
                <c:pt idx="9">
                  <c:v>5.4000242106263405</c:v>
                </c:pt>
                <c:pt idx="10">
                  <c:v>6.4512106454729832</c:v>
                </c:pt>
                <c:pt idx="11">
                  <c:v>3.8941756832817367</c:v>
                </c:pt>
                <c:pt idx="12">
                  <c:v>11.93473960805818</c:v>
                </c:pt>
                <c:pt idx="13">
                  <c:v>8.4902137640277999</c:v>
                </c:pt>
                <c:pt idx="14">
                  <c:v>14.078225637766568</c:v>
                </c:pt>
                <c:pt idx="15">
                  <c:v>0.28833290008942136</c:v>
                </c:pt>
                <c:pt idx="16">
                  <c:v>9.9957583749002747</c:v>
                </c:pt>
                <c:pt idx="17">
                  <c:v>9.0306194418017469</c:v>
                </c:pt>
                <c:pt idx="18">
                  <c:v>8.984668990982783</c:v>
                </c:pt>
                <c:pt idx="19">
                  <c:v>6.2808767173071942</c:v>
                </c:pt>
                <c:pt idx="20">
                  <c:v>6.3692081750247924</c:v>
                </c:pt>
                <c:pt idx="21">
                  <c:v>12.43261792705097</c:v>
                </c:pt>
                <c:pt idx="22">
                  <c:v>7.2533113414892085</c:v>
                </c:pt>
                <c:pt idx="23">
                  <c:v>4.8713851925783924</c:v>
                </c:pt>
                <c:pt idx="24">
                  <c:v>12.836949607566424</c:v>
                </c:pt>
                <c:pt idx="25">
                  <c:v>15.870246768289432</c:v>
                </c:pt>
                <c:pt idx="26">
                  <c:v>12.60539742644805</c:v>
                </c:pt>
                <c:pt idx="27">
                  <c:v>16.243338009237089</c:v>
                </c:pt>
                <c:pt idx="28">
                  <c:v>9.1524923003594747</c:v>
                </c:pt>
                <c:pt idx="29">
                  <c:v>7.5884867910361891</c:v>
                </c:pt>
                <c:pt idx="30">
                  <c:v>14.277729137152548</c:v>
                </c:pt>
                <c:pt idx="31">
                  <c:v>9.3479159232242353</c:v>
                </c:pt>
                <c:pt idx="32">
                  <c:v>5.5684760744454245</c:v>
                </c:pt>
                <c:pt idx="33">
                  <c:v>11.752529041622084</c:v>
                </c:pt>
                <c:pt idx="34">
                  <c:v>9.4240163082948953</c:v>
                </c:pt>
                <c:pt idx="35">
                  <c:v>4.7024976722161682</c:v>
                </c:pt>
                <c:pt idx="36">
                  <c:v>4.6507734283644879</c:v>
                </c:pt>
                <c:pt idx="37">
                  <c:v>7.4773333154100534</c:v>
                </c:pt>
                <c:pt idx="38">
                  <c:v>-4.9051960144258828</c:v>
                </c:pt>
                <c:pt idx="39">
                  <c:v>10.119061439351253</c:v>
                </c:pt>
                <c:pt idx="40">
                  <c:v>-3.1961877317712682E-2</c:v>
                </c:pt>
                <c:pt idx="41">
                  <c:v>1.7824685471034338</c:v>
                </c:pt>
                <c:pt idx="42">
                  <c:v>5.0579827305863265</c:v>
                </c:pt>
                <c:pt idx="43">
                  <c:v>-7.3039122478771255</c:v>
                </c:pt>
                <c:pt idx="44">
                  <c:v>4.3728850048827326</c:v>
                </c:pt>
                <c:pt idx="45">
                  <c:v>-9.7130271446574419</c:v>
                </c:pt>
                <c:pt idx="46">
                  <c:v>-17.770056461534455</c:v>
                </c:pt>
                <c:pt idx="47">
                  <c:v>-11.824212162090348</c:v>
                </c:pt>
                <c:pt idx="48">
                  <c:v>-21.999883904472071</c:v>
                </c:pt>
                <c:pt idx="49">
                  <c:v>-22.977540563684887</c:v>
                </c:pt>
                <c:pt idx="50">
                  <c:v>-12.4</c:v>
                </c:pt>
                <c:pt idx="51">
                  <c:v>-21.6</c:v>
                </c:pt>
                <c:pt idx="52">
                  <c:v>-21.6</c:v>
                </c:pt>
                <c:pt idx="53">
                  <c:v>-12.2</c:v>
                </c:pt>
                <c:pt idx="54">
                  <c:v>-17.7</c:v>
                </c:pt>
                <c:pt idx="55">
                  <c:v>-8.8000000000000007</c:v>
                </c:pt>
                <c:pt idx="56">
                  <c:v>-11.5</c:v>
                </c:pt>
                <c:pt idx="57">
                  <c:v>-7.7</c:v>
                </c:pt>
                <c:pt idx="58">
                  <c:v>-0.2</c:v>
                </c:pt>
                <c:pt idx="59">
                  <c:v>1.8</c:v>
                </c:pt>
                <c:pt idx="60">
                  <c:v>5.3</c:v>
                </c:pt>
              </c:numCache>
            </c:numRef>
          </c:val>
        </c:ser>
        <c:ser>
          <c:idx val="2"/>
          <c:order val="1"/>
          <c:tx>
            <c:strRef>
              <c:f>List2!$E$1</c:f>
              <c:strCache>
                <c:ptCount val="1"/>
                <c:pt idx="0">
                  <c:v>Trend</c:v>
                </c:pt>
              </c:strCache>
            </c:strRef>
          </c:tx>
          <c:spPr>
            <a:ln>
              <a:solidFill>
                <a:srgbClr val="002776"/>
              </a:solidFill>
            </a:ln>
          </c:spPr>
          <c:marker>
            <c:symbol val="none"/>
          </c:marker>
          <c:cat>
            <c:strRef>
              <c:f>List2!$A$2:$B$62</c:f>
              <c:strCache>
                <c:ptCount val="61"/>
                <c:pt idx="0">
                  <c:v>2005</c:v>
                </c:pt>
                <c:pt idx="12">
                  <c:v>2006</c:v>
                </c:pt>
                <c:pt idx="24">
                  <c:v>2007</c:v>
                </c:pt>
                <c:pt idx="36">
                  <c:v>2008</c:v>
                </c:pt>
                <c:pt idx="48">
                  <c:v>2009</c:v>
                </c:pt>
                <c:pt idx="60">
                  <c:v>2010</c:v>
                </c:pt>
              </c:strCache>
            </c:strRef>
          </c:cat>
          <c:val>
            <c:numRef>
              <c:f>List2!$E$2:$E$62</c:f>
              <c:numCache>
                <c:formatCode>0.0</c:formatCode>
                <c:ptCount val="61"/>
                <c:pt idx="0">
                  <c:v>4.3609102479164417</c:v>
                </c:pt>
                <c:pt idx="1">
                  <c:v>3.8072342651214455</c:v>
                </c:pt>
                <c:pt idx="2">
                  <c:v>2.8819609055713342</c:v>
                </c:pt>
                <c:pt idx="3">
                  <c:v>2.2760142553399612</c:v>
                </c:pt>
                <c:pt idx="4">
                  <c:v>2.6741252581199917</c:v>
                </c:pt>
                <c:pt idx="5">
                  <c:v>3.51911841975013</c:v>
                </c:pt>
                <c:pt idx="6">
                  <c:v>3.9322159124831768</c:v>
                </c:pt>
                <c:pt idx="7">
                  <c:v>4.5250302307878645</c:v>
                </c:pt>
                <c:pt idx="8">
                  <c:v>5.1565505656088755</c:v>
                </c:pt>
                <c:pt idx="9">
                  <c:v>5.7130427355439934</c:v>
                </c:pt>
                <c:pt idx="10">
                  <c:v>6.5678021302172755</c:v>
                </c:pt>
                <c:pt idx="11">
                  <c:v>7.4251961998324854</c:v>
                </c:pt>
                <c:pt idx="12">
                  <c:v>7.9401717519746997</c:v>
                </c:pt>
                <c:pt idx="13">
                  <c:v>8.1253982321408209</c:v>
                </c:pt>
                <c:pt idx="14">
                  <c:v>8.1415433073591199</c:v>
                </c:pt>
                <c:pt idx="15">
                  <c:v>8.8790707222609502</c:v>
                </c:pt>
                <c:pt idx="16">
                  <c:v>9.9607255269052768</c:v>
                </c:pt>
                <c:pt idx="17">
                  <c:v>9.5112181828172524</c:v>
                </c:pt>
                <c:pt idx="18">
                  <c:v>8.4974635140546066</c:v>
                </c:pt>
                <c:pt idx="19">
                  <c:v>8.2695421992030766</c:v>
                </c:pt>
                <c:pt idx="20">
                  <c:v>8.4042352547300005</c:v>
                </c:pt>
                <c:pt idx="21">
                  <c:v>8.3103288532465882</c:v>
                </c:pt>
                <c:pt idx="22">
                  <c:v>8.9225950655740505</c:v>
                </c:pt>
                <c:pt idx="23">
                  <c:v>10.696274232875709</c:v>
                </c:pt>
                <c:pt idx="24">
                  <c:v>12.637977271645481</c:v>
                </c:pt>
                <c:pt idx="25">
                  <c:v>14.041617233486226</c:v>
                </c:pt>
                <c:pt idx="26">
                  <c:v>14.044842034001888</c:v>
                </c:pt>
                <c:pt idx="27">
                  <c:v>12.314140213693506</c:v>
                </c:pt>
                <c:pt idx="28">
                  <c:v>10.231269392526148</c:v>
                </c:pt>
                <c:pt idx="29">
                  <c:v>9.928878052722661</c:v>
                </c:pt>
                <c:pt idx="30">
                  <c:v>10.385460896790464</c:v>
                </c:pt>
                <c:pt idx="31">
                  <c:v>9.5169587690732982</c:v>
                </c:pt>
                <c:pt idx="32">
                  <c:v>8.5637028978744567</c:v>
                </c:pt>
                <c:pt idx="33">
                  <c:v>8.3523307789754266</c:v>
                </c:pt>
                <c:pt idx="34">
                  <c:v>8.0631451787090267</c:v>
                </c:pt>
                <c:pt idx="35">
                  <c:v>7.3021321182563375</c:v>
                </c:pt>
                <c:pt idx="36">
                  <c:v>5.5389248232186077</c:v>
                </c:pt>
                <c:pt idx="37">
                  <c:v>3.3837381802273692</c:v>
                </c:pt>
                <c:pt idx="38">
                  <c:v>2.3575448588907912</c:v>
                </c:pt>
                <c:pt idx="39">
                  <c:v>2.4605712672210496</c:v>
                </c:pt>
                <c:pt idx="40">
                  <c:v>2.0702190380542587</c:v>
                </c:pt>
                <c:pt idx="41">
                  <c:v>0.21273428829625007</c:v>
                </c:pt>
                <c:pt idx="42">
                  <c:v>-2.1289498537763212</c:v>
                </c:pt>
                <c:pt idx="43">
                  <c:v>-3.6748434509454313</c:v>
                </c:pt>
                <c:pt idx="44">
                  <c:v>-5.3043880953037323</c:v>
                </c:pt>
                <c:pt idx="45">
                  <c:v>-8.1688779425681499</c:v>
                </c:pt>
                <c:pt idx="46">
                  <c:v>-11.596533298703399</c:v>
                </c:pt>
                <c:pt idx="47">
                  <c:v>-15.221923385190745</c:v>
                </c:pt>
                <c:pt idx="48">
                  <c:v>-17.931346156579789</c:v>
                </c:pt>
                <c:pt idx="49">
                  <c:v>-18.362754000423589</c:v>
                </c:pt>
                <c:pt idx="50">
                  <c:v>-17.788045500238038</c:v>
                </c:pt>
                <c:pt idx="51">
                  <c:v>-17.883979327707578</c:v>
                </c:pt>
                <c:pt idx="52">
                  <c:v>-17.373404297988202</c:v>
                </c:pt>
                <c:pt idx="53">
                  <c:v>-15.648054174469801</c:v>
                </c:pt>
                <c:pt idx="54">
                  <c:v>-13.477157343822455</c:v>
                </c:pt>
                <c:pt idx="55">
                  <c:v>-10.885818399699104</c:v>
                </c:pt>
                <c:pt idx="56">
                  <c:v>-8.6385250481146159</c:v>
                </c:pt>
                <c:pt idx="57">
                  <c:v>-6.081175931328815</c:v>
                </c:pt>
                <c:pt idx="58">
                  <c:v>-3.0231015688655818</c:v>
                </c:pt>
                <c:pt idx="59">
                  <c:v>0.73460265163051086</c:v>
                </c:pt>
                <c:pt idx="60">
                  <c:v>4.9939780199495374</c:v>
                </c:pt>
              </c:numCache>
            </c:numRef>
          </c:val>
        </c:ser>
        <c:ser>
          <c:idx val="1"/>
          <c:order val="2"/>
          <c:tx>
            <c:strRef>
              <c:f>List2!$D$1</c:f>
              <c:strCache>
                <c:ptCount val="1"/>
                <c:pt idx="0">
                  <c:v>Sezónně očištěné </c:v>
                </c:pt>
              </c:strCache>
            </c:strRef>
          </c:tx>
          <c:spPr>
            <a:ln>
              <a:solidFill>
                <a:srgbClr val="3C8A2E">
                  <a:lumMod val="60000"/>
                  <a:lumOff val="40000"/>
                </a:srgbClr>
              </a:solidFill>
            </a:ln>
          </c:spPr>
          <c:marker>
            <c:symbol val="none"/>
          </c:marker>
          <c:cat>
            <c:strRef>
              <c:f>List2!$A$2:$B$62</c:f>
              <c:strCache>
                <c:ptCount val="61"/>
                <c:pt idx="0">
                  <c:v>2005</c:v>
                </c:pt>
                <c:pt idx="12">
                  <c:v>2006</c:v>
                </c:pt>
                <c:pt idx="24">
                  <c:v>2007</c:v>
                </c:pt>
                <c:pt idx="36">
                  <c:v>2008</c:v>
                </c:pt>
                <c:pt idx="48">
                  <c:v>2009</c:v>
                </c:pt>
                <c:pt idx="60">
                  <c:v>2010</c:v>
                </c:pt>
              </c:strCache>
            </c:strRef>
          </c:cat>
          <c:val>
            <c:numRef>
              <c:f>List2!$D$2:$D$62</c:f>
              <c:numCache>
                <c:formatCode>0.0</c:formatCode>
                <c:ptCount val="61"/>
                <c:pt idx="0">
                  <c:v>4.6022416439708724</c:v>
                </c:pt>
                <c:pt idx="1">
                  <c:v>4.00982507009968</c:v>
                </c:pt>
                <c:pt idx="2">
                  <c:v>2.6768173263149748</c:v>
                </c:pt>
                <c:pt idx="3">
                  <c:v>2.1527784606179998</c:v>
                </c:pt>
                <c:pt idx="4">
                  <c:v>2.019881330450076</c:v>
                </c:pt>
                <c:pt idx="5">
                  <c:v>4.4894564321172936</c:v>
                </c:pt>
                <c:pt idx="6">
                  <c:v>3.1669243370082971</c:v>
                </c:pt>
                <c:pt idx="7">
                  <c:v>4.9074568304071695</c:v>
                </c:pt>
                <c:pt idx="8">
                  <c:v>5.1350303536799355</c:v>
                </c:pt>
                <c:pt idx="9">
                  <c:v>5.4648501741737476</c:v>
                </c:pt>
                <c:pt idx="10">
                  <c:v>6.7610548046926198</c:v>
                </c:pt>
                <c:pt idx="11">
                  <c:v>7.2914074301582303</c:v>
                </c:pt>
                <c:pt idx="12">
                  <c:v>8.4000495600938194</c:v>
                </c:pt>
                <c:pt idx="13">
                  <c:v>7.7050997485597774</c:v>
                </c:pt>
                <c:pt idx="14">
                  <c:v>8.7056119818530959</c:v>
                </c:pt>
                <c:pt idx="15">
                  <c:v>7.3569217806690403</c:v>
                </c:pt>
                <c:pt idx="16">
                  <c:v>12.109117550844926</c:v>
                </c:pt>
                <c:pt idx="17">
                  <c:v>8.520159399566424</c:v>
                </c:pt>
                <c:pt idx="18">
                  <c:v>8.988509389199379</c:v>
                </c:pt>
                <c:pt idx="19">
                  <c:v>7.3909624717900044</c:v>
                </c:pt>
                <c:pt idx="20">
                  <c:v>9.2653184094788639</c:v>
                </c:pt>
                <c:pt idx="21">
                  <c:v>7.724874493333985</c:v>
                </c:pt>
                <c:pt idx="22">
                  <c:v>8.4337115324765186</c:v>
                </c:pt>
                <c:pt idx="23">
                  <c:v>10.967037442968676</c:v>
                </c:pt>
                <c:pt idx="24">
                  <c:v>12.409935888239024</c:v>
                </c:pt>
                <c:pt idx="25">
                  <c:v>14.828993764876698</c:v>
                </c:pt>
                <c:pt idx="26">
                  <c:v>14.241409498842851</c:v>
                </c:pt>
                <c:pt idx="27">
                  <c:v>13.041337228502869</c:v>
                </c:pt>
                <c:pt idx="28">
                  <c:v>9.0093984668208389</c:v>
                </c:pt>
                <c:pt idx="29">
                  <c:v>9.6659926688703877</c:v>
                </c:pt>
                <c:pt idx="30">
                  <c:v>11.262107388279571</c:v>
                </c:pt>
                <c:pt idx="31">
                  <c:v>9.494694445376723</c:v>
                </c:pt>
                <c:pt idx="32">
                  <c:v>7.8229587921817796</c:v>
                </c:pt>
                <c:pt idx="33">
                  <c:v>9.004162317739528</c:v>
                </c:pt>
                <c:pt idx="34">
                  <c:v>7.5664504027162405</c:v>
                </c:pt>
                <c:pt idx="35">
                  <c:v>8.1507826578478948</c:v>
                </c:pt>
                <c:pt idx="36">
                  <c:v>5.4619760073292545</c:v>
                </c:pt>
                <c:pt idx="37">
                  <c:v>3.1726534793255134</c:v>
                </c:pt>
                <c:pt idx="38">
                  <c:v>1.6166231242443281</c:v>
                </c:pt>
                <c:pt idx="39">
                  <c:v>2.8873052295427044</c:v>
                </c:pt>
                <c:pt idx="40">
                  <c:v>2.5070308475939758</c:v>
                </c:pt>
                <c:pt idx="41">
                  <c:v>0.56900861599996233</c:v>
                </c:pt>
                <c:pt idx="42">
                  <c:v>-2.6625704275105742</c:v>
                </c:pt>
                <c:pt idx="43">
                  <c:v>-3.7926732540841925</c:v>
                </c:pt>
                <c:pt idx="44">
                  <c:v>-4.416352326935808</c:v>
                </c:pt>
                <c:pt idx="45">
                  <c:v>-8.3418861880892727</c:v>
                </c:pt>
                <c:pt idx="46">
                  <c:v>-11.328408037985024</c:v>
                </c:pt>
                <c:pt idx="47">
                  <c:v>-15.163324998873209</c:v>
                </c:pt>
                <c:pt idx="48">
                  <c:v>-19.088528631059489</c:v>
                </c:pt>
                <c:pt idx="49">
                  <c:v>-18.521164454469531</c:v>
                </c:pt>
                <c:pt idx="50">
                  <c:v>-17.357029498552151</c:v>
                </c:pt>
                <c:pt idx="51">
                  <c:v>-17.753214433125645</c:v>
                </c:pt>
                <c:pt idx="52">
                  <c:v>-18.667236885340909</c:v>
                </c:pt>
                <c:pt idx="53">
                  <c:v>-14.408880120222449</c:v>
                </c:pt>
                <c:pt idx="54">
                  <c:v>-15.016997546039494</c:v>
                </c:pt>
                <c:pt idx="55">
                  <c:v>-9.3265725679010547</c:v>
                </c:pt>
                <c:pt idx="56">
                  <c:v>-9.6462490727341219</c:v>
                </c:pt>
                <c:pt idx="57">
                  <c:v>-5.8802492079553303</c:v>
                </c:pt>
                <c:pt idx="58">
                  <c:v>-2.8264393811613786</c:v>
                </c:pt>
                <c:pt idx="59">
                  <c:v>-0.55437094060667391</c:v>
                </c:pt>
                <c:pt idx="60">
                  <c:v>7.086897259348504</c:v>
                </c:pt>
              </c:numCache>
            </c:numRef>
          </c:val>
        </c:ser>
        <c:marker val="1"/>
        <c:axId val="123360768"/>
        <c:axId val="123362304"/>
      </c:lineChart>
      <c:catAx>
        <c:axId val="123360768"/>
        <c:scaling>
          <c:orientation val="minMax"/>
        </c:scaling>
        <c:axPos val="b"/>
        <c:numFmt formatCode="#,##0.00" sourceLinked="0"/>
        <c:majorTickMark val="none"/>
        <c:tickLblPos val="low"/>
        <c:txPr>
          <a:bodyPr rot="0" vert="horz"/>
          <a:lstStyle/>
          <a:p>
            <a:pPr>
              <a:defRPr>
                <a:latin typeface="Times New Roman" pitchFamily="18" charset="0"/>
                <a:cs typeface="Times New Roman" pitchFamily="18" charset="0"/>
              </a:defRPr>
            </a:pPr>
            <a:endParaRPr lang="cs-CZ"/>
          </a:p>
        </c:txPr>
        <c:crossAx val="123362304"/>
        <c:crossesAt val="0"/>
        <c:auto val="1"/>
        <c:lblAlgn val="ctr"/>
        <c:lblOffset val="100"/>
        <c:tickLblSkip val="1"/>
        <c:tickMarkSkip val="1"/>
      </c:catAx>
      <c:valAx>
        <c:axId val="123362304"/>
        <c:scaling>
          <c:orientation val="minMax"/>
          <c:max val="20"/>
          <c:min val="-25"/>
        </c:scaling>
        <c:axPos val="l"/>
        <c:majorGridlines/>
        <c:numFmt formatCode="General" sourceLinked="0"/>
        <c:majorTickMark val="none"/>
        <c:tickLblPos val="nextTo"/>
        <c:spPr>
          <a:ln w="9525">
            <a:noFill/>
          </a:ln>
        </c:spPr>
        <c:txPr>
          <a:bodyPr rot="0" vert="horz"/>
          <a:lstStyle/>
          <a:p>
            <a:pPr>
              <a:defRPr>
                <a:latin typeface="Times New Roman" pitchFamily="18" charset="0"/>
                <a:cs typeface="Times New Roman" pitchFamily="18" charset="0"/>
              </a:defRPr>
            </a:pPr>
            <a:endParaRPr lang="cs-CZ"/>
          </a:p>
        </c:txPr>
        <c:crossAx val="123360768"/>
        <c:crosses val="autoZero"/>
        <c:crossBetween val="between"/>
        <c:majorUnit val="5"/>
        <c:minorUnit val="2"/>
      </c:valAx>
    </c:plotArea>
    <c:legend>
      <c:legendPos val="b"/>
      <c:txPr>
        <a:bodyPr/>
        <a:lstStyle/>
        <a:p>
          <a:pPr>
            <a:defRPr>
              <a:latin typeface="Times New Roman" pitchFamily="18" charset="0"/>
              <a:cs typeface="Times New Roman" pitchFamily="18" charset="0"/>
            </a:defRPr>
          </a:pPr>
          <a:endParaRPr lang="cs-CZ"/>
        </a:p>
      </c:txPr>
    </c:legend>
    <c:plotVisOnly val="1"/>
    <c:dispBlanksAs val="gap"/>
  </c:chart>
  <c:externalData r:id="rId2"/>
  <c:userShapes r:id="rId3"/>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cs-CZ"/>
  <c:style val="20"/>
  <c:clrMapOvr bg1="lt1" tx1="dk1" bg2="lt2" tx2="dk2" accent1="accent1" accent2="accent2" accent3="accent3" accent4="accent4" accent5="accent5" accent6="accent6" hlink="hlink" folHlink="folHlink"/>
  <c:chart>
    <c:autoTitleDeleted val="1"/>
    <c:plotArea>
      <c:layout/>
      <c:lineChart>
        <c:grouping val="standard"/>
        <c:ser>
          <c:idx val="0"/>
          <c:order val="0"/>
          <c:tx>
            <c:strRef>
              <c:f>List1!$B$1</c:f>
              <c:strCache>
                <c:ptCount val="1"/>
                <c:pt idx="0">
                  <c:v>Meziroční změna  v %  (sezónně očištěný údaj)</c:v>
                </c:pt>
              </c:strCache>
            </c:strRef>
          </c:tx>
          <c:marker>
            <c:symbol val="none"/>
          </c:marker>
          <c:cat>
            <c:numRef>
              <c:f>List1!$A$2:$A$54</c:f>
              <c:numCache>
                <c:formatCode>General</c:formatCode>
                <c:ptCount val="53"/>
                <c:pt idx="0">
                  <c:v>2005</c:v>
                </c:pt>
                <c:pt idx="11">
                  <c:v>2006</c:v>
                </c:pt>
                <c:pt idx="23">
                  <c:v>2007</c:v>
                </c:pt>
                <c:pt idx="33">
                  <c:v>2008</c:v>
                </c:pt>
                <c:pt idx="43">
                  <c:v>2009</c:v>
                </c:pt>
                <c:pt idx="52">
                  <c:v>2010</c:v>
                </c:pt>
              </c:numCache>
            </c:numRef>
          </c:cat>
          <c:val>
            <c:numRef>
              <c:f>List1!$B$2:$B$54</c:f>
              <c:numCache>
                <c:formatCode>General</c:formatCode>
                <c:ptCount val="53"/>
                <c:pt idx="0">
                  <c:v>14</c:v>
                </c:pt>
                <c:pt idx="1">
                  <c:v>4</c:v>
                </c:pt>
                <c:pt idx="2">
                  <c:v>-7</c:v>
                </c:pt>
                <c:pt idx="3">
                  <c:v>1</c:v>
                </c:pt>
                <c:pt idx="4">
                  <c:v>4</c:v>
                </c:pt>
                <c:pt idx="5">
                  <c:v>2</c:v>
                </c:pt>
                <c:pt idx="6">
                  <c:v>0</c:v>
                </c:pt>
                <c:pt idx="7">
                  <c:v>6</c:v>
                </c:pt>
                <c:pt idx="8">
                  <c:v>8</c:v>
                </c:pt>
                <c:pt idx="9">
                  <c:v>12</c:v>
                </c:pt>
                <c:pt idx="10">
                  <c:v>6</c:v>
                </c:pt>
                <c:pt idx="11">
                  <c:v>12</c:v>
                </c:pt>
                <c:pt idx="12">
                  <c:v>-6</c:v>
                </c:pt>
                <c:pt idx="13">
                  <c:v>10</c:v>
                </c:pt>
                <c:pt idx="14">
                  <c:v>4</c:v>
                </c:pt>
                <c:pt idx="15">
                  <c:v>7</c:v>
                </c:pt>
                <c:pt idx="16">
                  <c:v>11</c:v>
                </c:pt>
                <c:pt idx="17">
                  <c:v>9</c:v>
                </c:pt>
                <c:pt idx="18">
                  <c:v>8.5</c:v>
                </c:pt>
                <c:pt idx="19">
                  <c:v>8</c:v>
                </c:pt>
                <c:pt idx="20">
                  <c:v>5.5</c:v>
                </c:pt>
                <c:pt idx="21">
                  <c:v>7</c:v>
                </c:pt>
                <c:pt idx="22">
                  <c:v>6</c:v>
                </c:pt>
                <c:pt idx="23">
                  <c:v>25</c:v>
                </c:pt>
                <c:pt idx="24">
                  <c:v>27</c:v>
                </c:pt>
                <c:pt idx="25">
                  <c:v>20</c:v>
                </c:pt>
                <c:pt idx="26">
                  <c:v>16</c:v>
                </c:pt>
                <c:pt idx="27">
                  <c:v>12</c:v>
                </c:pt>
                <c:pt idx="28">
                  <c:v>3.5</c:v>
                </c:pt>
                <c:pt idx="29">
                  <c:v>4</c:v>
                </c:pt>
                <c:pt idx="30">
                  <c:v>3</c:v>
                </c:pt>
                <c:pt idx="31">
                  <c:v>-1</c:v>
                </c:pt>
                <c:pt idx="32">
                  <c:v>-6</c:v>
                </c:pt>
                <c:pt idx="33">
                  <c:v>2</c:v>
                </c:pt>
                <c:pt idx="34">
                  <c:v>5</c:v>
                </c:pt>
                <c:pt idx="35">
                  <c:v>2</c:v>
                </c:pt>
                <c:pt idx="36">
                  <c:v>6</c:v>
                </c:pt>
                <c:pt idx="37">
                  <c:v>0</c:v>
                </c:pt>
                <c:pt idx="38">
                  <c:v>-1</c:v>
                </c:pt>
                <c:pt idx="39">
                  <c:v>-5</c:v>
                </c:pt>
                <c:pt idx="40">
                  <c:v>-6</c:v>
                </c:pt>
                <c:pt idx="41">
                  <c:v>-6.5</c:v>
                </c:pt>
                <c:pt idx="42">
                  <c:v>-13</c:v>
                </c:pt>
                <c:pt idx="43">
                  <c:v>-9</c:v>
                </c:pt>
                <c:pt idx="44">
                  <c:v>3</c:v>
                </c:pt>
                <c:pt idx="45">
                  <c:v>2.9</c:v>
                </c:pt>
                <c:pt idx="46">
                  <c:v>-0.2</c:v>
                </c:pt>
                <c:pt idx="47">
                  <c:v>-3</c:v>
                </c:pt>
                <c:pt idx="48">
                  <c:v>1</c:v>
                </c:pt>
                <c:pt idx="49">
                  <c:v>4</c:v>
                </c:pt>
                <c:pt idx="50">
                  <c:v>1.5</c:v>
                </c:pt>
                <c:pt idx="51">
                  <c:v>5</c:v>
                </c:pt>
              </c:numCache>
            </c:numRef>
          </c:val>
        </c:ser>
        <c:marker val="1"/>
        <c:axId val="120953088"/>
        <c:axId val="123351040"/>
      </c:lineChart>
      <c:catAx>
        <c:axId val="120953088"/>
        <c:scaling>
          <c:orientation val="minMax"/>
        </c:scaling>
        <c:axPos val="b"/>
        <c:numFmt formatCode="General" sourceLinked="1"/>
        <c:majorTickMark val="none"/>
        <c:tickLblPos val="low"/>
        <c:txPr>
          <a:bodyPr/>
          <a:lstStyle/>
          <a:p>
            <a:pPr>
              <a:defRPr>
                <a:latin typeface="Times New Roman" pitchFamily="18" charset="0"/>
                <a:cs typeface="Times New Roman" pitchFamily="18" charset="0"/>
              </a:defRPr>
            </a:pPr>
            <a:endParaRPr lang="cs-CZ"/>
          </a:p>
        </c:txPr>
        <c:crossAx val="123351040"/>
        <c:crosses val="autoZero"/>
        <c:auto val="1"/>
        <c:lblAlgn val="ctr"/>
        <c:lblOffset val="100"/>
      </c:catAx>
      <c:valAx>
        <c:axId val="123351040"/>
        <c:scaling>
          <c:orientation val="minMax"/>
        </c:scaling>
        <c:axPos val="l"/>
        <c:majorGridlines/>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20953088"/>
        <c:crosses val="autoZero"/>
        <c:crossBetween val="between"/>
      </c:valAx>
    </c:plotArea>
    <c:legend>
      <c:legendPos val="b"/>
      <c:legendEntry>
        <c:idx val="0"/>
        <c:txPr>
          <a:bodyPr/>
          <a:lstStyle/>
          <a:p>
            <a:pPr>
              <a:defRPr>
                <a:latin typeface="Times New Roman" pitchFamily="18" charset="0"/>
                <a:cs typeface="Times New Roman" pitchFamily="18" charset="0"/>
              </a:defRPr>
            </a:pPr>
            <a:endParaRPr lang="cs-CZ"/>
          </a:p>
        </c:txPr>
      </c:legendEntry>
      <c:txPr>
        <a:bodyPr/>
        <a:lstStyle/>
        <a:p>
          <a:pPr>
            <a:defRPr>
              <a:latin typeface="Times New Roman" pitchFamily="18" charset="0"/>
              <a:cs typeface="Times New Roman" pitchFamily="18" charset="0"/>
            </a:defRPr>
          </a:pPr>
          <a:endParaRPr lang="cs-CZ"/>
        </a:p>
      </c:txPr>
    </c:legend>
    <c:plotVisOnly val="1"/>
  </c:chart>
  <c:externalData r:id="rId2"/>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cs-CZ"/>
  <c:style val="20"/>
  <c:clrMapOvr bg1="lt1" tx1="dk1" bg2="lt2" tx2="dk2" accent1="accent1" accent2="accent2" accent3="accent3" accent4="accent4" accent5="accent5" accent6="accent6" hlink="hlink" folHlink="folHlink"/>
  <c:chart>
    <c:autoTitleDeleted val="1"/>
    <c:plotArea>
      <c:layout/>
      <c:lineChart>
        <c:grouping val="standard"/>
        <c:ser>
          <c:idx val="0"/>
          <c:order val="0"/>
          <c:tx>
            <c:strRef>
              <c:f>List1!$B$1</c:f>
              <c:strCache>
                <c:ptCount val="1"/>
                <c:pt idx="0">
                  <c:v>Tržby v maloobchodě (sezónně očištěný údaj)</c:v>
                </c:pt>
              </c:strCache>
            </c:strRef>
          </c:tx>
          <c:marker>
            <c:symbol val="none"/>
          </c:marker>
          <c:cat>
            <c:numRef>
              <c:f>List1!$A$2:$A$63</c:f>
              <c:numCache>
                <c:formatCode>General</c:formatCode>
                <c:ptCount val="62"/>
                <c:pt idx="0">
                  <c:v>2005</c:v>
                </c:pt>
                <c:pt idx="12">
                  <c:v>2006</c:v>
                </c:pt>
                <c:pt idx="24">
                  <c:v>2007</c:v>
                </c:pt>
                <c:pt idx="36">
                  <c:v>2008</c:v>
                </c:pt>
                <c:pt idx="48">
                  <c:v>2009</c:v>
                </c:pt>
                <c:pt idx="61">
                  <c:v>2010</c:v>
                </c:pt>
              </c:numCache>
            </c:numRef>
          </c:cat>
          <c:val>
            <c:numRef>
              <c:f>List1!$B$2:$B$63</c:f>
              <c:numCache>
                <c:formatCode>General</c:formatCode>
                <c:ptCount val="62"/>
                <c:pt idx="0">
                  <c:v>12</c:v>
                </c:pt>
                <c:pt idx="1">
                  <c:v>6.5</c:v>
                </c:pt>
                <c:pt idx="2">
                  <c:v>7</c:v>
                </c:pt>
                <c:pt idx="3">
                  <c:v>8</c:v>
                </c:pt>
                <c:pt idx="4">
                  <c:v>12.5</c:v>
                </c:pt>
                <c:pt idx="5">
                  <c:v>7.4</c:v>
                </c:pt>
                <c:pt idx="6">
                  <c:v>6</c:v>
                </c:pt>
                <c:pt idx="7">
                  <c:v>7</c:v>
                </c:pt>
                <c:pt idx="8">
                  <c:v>7.5</c:v>
                </c:pt>
                <c:pt idx="9">
                  <c:v>7.25</c:v>
                </c:pt>
                <c:pt idx="10">
                  <c:v>7.8</c:v>
                </c:pt>
                <c:pt idx="11">
                  <c:v>7.6</c:v>
                </c:pt>
                <c:pt idx="12">
                  <c:v>7.9</c:v>
                </c:pt>
                <c:pt idx="13">
                  <c:v>11</c:v>
                </c:pt>
                <c:pt idx="14">
                  <c:v>11.5</c:v>
                </c:pt>
                <c:pt idx="15">
                  <c:v>8</c:v>
                </c:pt>
                <c:pt idx="16">
                  <c:v>9</c:v>
                </c:pt>
                <c:pt idx="17">
                  <c:v>12</c:v>
                </c:pt>
                <c:pt idx="18">
                  <c:v>12.5</c:v>
                </c:pt>
                <c:pt idx="19">
                  <c:v>9.5</c:v>
                </c:pt>
                <c:pt idx="20">
                  <c:v>10</c:v>
                </c:pt>
                <c:pt idx="21">
                  <c:v>13</c:v>
                </c:pt>
                <c:pt idx="22">
                  <c:v>10.5</c:v>
                </c:pt>
                <c:pt idx="23">
                  <c:v>13</c:v>
                </c:pt>
                <c:pt idx="24">
                  <c:v>12</c:v>
                </c:pt>
                <c:pt idx="25">
                  <c:v>9.5</c:v>
                </c:pt>
                <c:pt idx="26">
                  <c:v>10</c:v>
                </c:pt>
                <c:pt idx="27">
                  <c:v>14</c:v>
                </c:pt>
                <c:pt idx="28">
                  <c:v>9.5</c:v>
                </c:pt>
                <c:pt idx="29">
                  <c:v>13.5</c:v>
                </c:pt>
                <c:pt idx="30">
                  <c:v>15</c:v>
                </c:pt>
                <c:pt idx="31">
                  <c:v>6</c:v>
                </c:pt>
                <c:pt idx="32">
                  <c:v>8</c:v>
                </c:pt>
                <c:pt idx="33">
                  <c:v>6.5</c:v>
                </c:pt>
                <c:pt idx="34">
                  <c:v>8</c:v>
                </c:pt>
                <c:pt idx="35">
                  <c:v>6.6</c:v>
                </c:pt>
                <c:pt idx="36">
                  <c:v>5.3</c:v>
                </c:pt>
                <c:pt idx="37">
                  <c:v>7.5</c:v>
                </c:pt>
                <c:pt idx="38">
                  <c:v>6.2</c:v>
                </c:pt>
                <c:pt idx="39">
                  <c:v>5.5</c:v>
                </c:pt>
                <c:pt idx="40">
                  <c:v>0.2</c:v>
                </c:pt>
                <c:pt idx="41">
                  <c:v>5.6</c:v>
                </c:pt>
                <c:pt idx="42">
                  <c:v>5.2</c:v>
                </c:pt>
                <c:pt idx="43">
                  <c:v>5</c:v>
                </c:pt>
                <c:pt idx="44">
                  <c:v>2</c:v>
                </c:pt>
                <c:pt idx="45">
                  <c:v>1.5</c:v>
                </c:pt>
                <c:pt idx="46">
                  <c:v>4.9000000000000004</c:v>
                </c:pt>
                <c:pt idx="47">
                  <c:v>-0.5</c:v>
                </c:pt>
                <c:pt idx="48">
                  <c:v>-1</c:v>
                </c:pt>
                <c:pt idx="49">
                  <c:v>-4</c:v>
                </c:pt>
                <c:pt idx="50">
                  <c:v>-3</c:v>
                </c:pt>
                <c:pt idx="51">
                  <c:v>-6</c:v>
                </c:pt>
                <c:pt idx="52">
                  <c:v>-2</c:v>
                </c:pt>
                <c:pt idx="53">
                  <c:v>-3</c:v>
                </c:pt>
                <c:pt idx="54">
                  <c:v>-7</c:v>
                </c:pt>
                <c:pt idx="55">
                  <c:v>-7.5</c:v>
                </c:pt>
                <c:pt idx="56">
                  <c:v>-3.2</c:v>
                </c:pt>
                <c:pt idx="57">
                  <c:v>-3.5</c:v>
                </c:pt>
                <c:pt idx="58">
                  <c:v>-6</c:v>
                </c:pt>
                <c:pt idx="59">
                  <c:v>-3.1</c:v>
                </c:pt>
                <c:pt idx="60">
                  <c:v>-6.1</c:v>
                </c:pt>
              </c:numCache>
            </c:numRef>
          </c:val>
        </c:ser>
        <c:marker val="1"/>
        <c:axId val="123190656"/>
        <c:axId val="123204736"/>
      </c:lineChart>
      <c:catAx>
        <c:axId val="123190656"/>
        <c:scaling>
          <c:orientation val="minMax"/>
        </c:scaling>
        <c:axPos val="b"/>
        <c:numFmt formatCode="General" sourceLinked="1"/>
        <c:majorTickMark val="none"/>
        <c:tickLblPos val="low"/>
        <c:txPr>
          <a:bodyPr/>
          <a:lstStyle/>
          <a:p>
            <a:pPr>
              <a:defRPr>
                <a:latin typeface="Times New Roman" pitchFamily="18" charset="0"/>
                <a:cs typeface="Times New Roman" pitchFamily="18" charset="0"/>
              </a:defRPr>
            </a:pPr>
            <a:endParaRPr lang="cs-CZ"/>
          </a:p>
        </c:txPr>
        <c:crossAx val="123204736"/>
        <c:crosses val="autoZero"/>
        <c:auto val="1"/>
        <c:lblAlgn val="ctr"/>
        <c:lblOffset val="100"/>
      </c:catAx>
      <c:valAx>
        <c:axId val="123204736"/>
        <c:scaling>
          <c:orientation val="minMax"/>
        </c:scaling>
        <c:axPos val="l"/>
        <c:majorGridlines/>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23190656"/>
        <c:crosses val="autoZero"/>
        <c:crossBetween val="between"/>
      </c:valAx>
    </c:plotArea>
    <c:legend>
      <c:legendPos val="b"/>
      <c:legendEntry>
        <c:idx val="0"/>
        <c:txPr>
          <a:bodyPr/>
          <a:lstStyle/>
          <a:p>
            <a:pPr>
              <a:defRPr>
                <a:latin typeface="Times New Roman" pitchFamily="18" charset="0"/>
                <a:cs typeface="Times New Roman" pitchFamily="18" charset="0"/>
              </a:defRPr>
            </a:pPr>
            <a:endParaRPr lang="cs-CZ"/>
          </a:p>
        </c:txPr>
      </c:legendEntry>
      <c:txPr>
        <a:bodyPr/>
        <a:lstStyle/>
        <a:p>
          <a:pPr>
            <a:defRPr>
              <a:latin typeface="Times New Roman" pitchFamily="18" charset="0"/>
              <a:cs typeface="Times New Roman" pitchFamily="18" charset="0"/>
            </a:defRPr>
          </a:pPr>
          <a:endParaRPr lang="cs-CZ"/>
        </a:p>
      </c:txPr>
    </c:legend>
    <c:plotVisOnly val="1"/>
  </c:chart>
  <c:externalData r:id="rId2"/>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cs-CZ"/>
  <c:chart>
    <c:autoTitleDeleted val="1"/>
    <c:plotArea>
      <c:layout>
        <c:manualLayout>
          <c:layoutTarget val="inner"/>
          <c:xMode val="edge"/>
          <c:yMode val="edge"/>
          <c:x val="7.8634259259259279E-2"/>
          <c:y val="4.3650793650793704E-2"/>
          <c:w val="0.53942129629629665"/>
          <c:h val="0.71396825396825392"/>
        </c:manualLayout>
      </c:layout>
      <c:lineChart>
        <c:grouping val="standard"/>
        <c:ser>
          <c:idx val="0"/>
          <c:order val="0"/>
          <c:tx>
            <c:strRef>
              <c:f>List1!$B$1</c:f>
              <c:strCache>
                <c:ptCount val="1"/>
                <c:pt idx="0">
                  <c:v>Celkem</c:v>
                </c:pt>
              </c:strCache>
            </c:strRef>
          </c:tx>
          <c:marker>
            <c:symbol val="none"/>
          </c:marker>
          <c:cat>
            <c:strRef>
              <c:f>List1!$A$2:$A$50</c:f>
              <c:strCache>
                <c:ptCount val="49"/>
                <c:pt idx="0">
                  <c:v>1/2006</c:v>
                </c:pt>
                <c:pt idx="1">
                  <c:v>2/2006</c:v>
                </c:pt>
                <c:pt idx="2">
                  <c:v>3/2006</c:v>
                </c:pt>
                <c:pt idx="3">
                  <c:v>4/2006</c:v>
                </c:pt>
                <c:pt idx="4">
                  <c:v>5/2006</c:v>
                </c:pt>
                <c:pt idx="5">
                  <c:v>6/2006</c:v>
                </c:pt>
                <c:pt idx="6">
                  <c:v>7/2006</c:v>
                </c:pt>
                <c:pt idx="7">
                  <c:v>8/2006</c:v>
                </c:pt>
                <c:pt idx="8">
                  <c:v>9/2006</c:v>
                </c:pt>
                <c:pt idx="9">
                  <c:v>10/2006</c:v>
                </c:pt>
                <c:pt idx="10">
                  <c:v>11/2006</c:v>
                </c:pt>
                <c:pt idx="11">
                  <c:v>12/2006</c:v>
                </c:pt>
                <c:pt idx="12">
                  <c:v>1/2007</c:v>
                </c:pt>
                <c:pt idx="13">
                  <c:v>2/2007</c:v>
                </c:pt>
                <c:pt idx="14">
                  <c:v>3/2007</c:v>
                </c:pt>
                <c:pt idx="15">
                  <c:v>4/2007</c:v>
                </c:pt>
                <c:pt idx="16">
                  <c:v>5/2007</c:v>
                </c:pt>
                <c:pt idx="17">
                  <c:v>6/2007</c:v>
                </c:pt>
                <c:pt idx="18">
                  <c:v>7/2007</c:v>
                </c:pt>
                <c:pt idx="19">
                  <c:v>8/2007</c:v>
                </c:pt>
                <c:pt idx="20">
                  <c:v>9/2007</c:v>
                </c:pt>
                <c:pt idx="21">
                  <c:v>10/2007</c:v>
                </c:pt>
                <c:pt idx="22">
                  <c:v>11/2007</c:v>
                </c:pt>
                <c:pt idx="23">
                  <c:v>12/2007</c:v>
                </c:pt>
                <c:pt idx="24">
                  <c:v>1/2008</c:v>
                </c:pt>
                <c:pt idx="25">
                  <c:v>2/2008</c:v>
                </c:pt>
                <c:pt idx="26">
                  <c:v>3/2008</c:v>
                </c:pt>
                <c:pt idx="27">
                  <c:v>4/2008</c:v>
                </c:pt>
                <c:pt idx="28">
                  <c:v>5/2008</c:v>
                </c:pt>
                <c:pt idx="29">
                  <c:v>6/2008</c:v>
                </c:pt>
                <c:pt idx="30">
                  <c:v>7/2008</c:v>
                </c:pt>
                <c:pt idx="31">
                  <c:v>8/2008</c:v>
                </c:pt>
                <c:pt idx="32">
                  <c:v>9/2008</c:v>
                </c:pt>
                <c:pt idx="33">
                  <c:v>10/2008</c:v>
                </c:pt>
                <c:pt idx="34">
                  <c:v>11/2008</c:v>
                </c:pt>
                <c:pt idx="35">
                  <c:v>12/2008</c:v>
                </c:pt>
                <c:pt idx="36">
                  <c:v>1/2009</c:v>
                </c:pt>
                <c:pt idx="37">
                  <c:v>2/2009</c:v>
                </c:pt>
                <c:pt idx="38">
                  <c:v>3/2009</c:v>
                </c:pt>
                <c:pt idx="39">
                  <c:v>4/2009</c:v>
                </c:pt>
                <c:pt idx="40">
                  <c:v>5/2009</c:v>
                </c:pt>
                <c:pt idx="41">
                  <c:v>6/2009</c:v>
                </c:pt>
                <c:pt idx="42">
                  <c:v>7/2009</c:v>
                </c:pt>
                <c:pt idx="43">
                  <c:v>8/2009</c:v>
                </c:pt>
                <c:pt idx="44">
                  <c:v>9/2009</c:v>
                </c:pt>
                <c:pt idx="45">
                  <c:v>10/2009</c:v>
                </c:pt>
                <c:pt idx="46">
                  <c:v>11/2009</c:v>
                </c:pt>
                <c:pt idx="47">
                  <c:v>12/2009</c:v>
                </c:pt>
                <c:pt idx="48">
                  <c:v>1-12/2009</c:v>
                </c:pt>
              </c:strCache>
            </c:strRef>
          </c:cat>
          <c:val>
            <c:numRef>
              <c:f>List1!$B$2:$B$50</c:f>
              <c:numCache>
                <c:formatCode>0.0</c:formatCode>
                <c:ptCount val="49"/>
                <c:pt idx="0" formatCode="General">
                  <c:v>105.46593635150124</c:v>
                </c:pt>
                <c:pt idx="1">
                  <c:v>102.90333963685075</c:v>
                </c:pt>
                <c:pt idx="2">
                  <c:v>104.31916931113282</c:v>
                </c:pt>
                <c:pt idx="3">
                  <c:v>100.35471204106827</c:v>
                </c:pt>
                <c:pt idx="4">
                  <c:v>104.95018005745588</c:v>
                </c:pt>
                <c:pt idx="5">
                  <c:v>103.5141035159936</c:v>
                </c:pt>
                <c:pt idx="6">
                  <c:v>101.19649674583948</c:v>
                </c:pt>
                <c:pt idx="7">
                  <c:v>105.72103049357378</c:v>
                </c:pt>
                <c:pt idx="8">
                  <c:v>103.28017618969803</c:v>
                </c:pt>
                <c:pt idx="9">
                  <c:v>109.86612623240615</c:v>
                </c:pt>
                <c:pt idx="10">
                  <c:v>106.10543524931022</c:v>
                </c:pt>
                <c:pt idx="11">
                  <c:v>106.67301544968817</c:v>
                </c:pt>
                <c:pt idx="12">
                  <c:v>107.93156475756282</c:v>
                </c:pt>
                <c:pt idx="13">
                  <c:v>109.51898771417405</c:v>
                </c:pt>
                <c:pt idx="14">
                  <c:v>107.6844667876987</c:v>
                </c:pt>
                <c:pt idx="15">
                  <c:v>109.07902570609281</c:v>
                </c:pt>
                <c:pt idx="16">
                  <c:v>106.83116671090279</c:v>
                </c:pt>
                <c:pt idx="17">
                  <c:v>106.27365330400033</c:v>
                </c:pt>
                <c:pt idx="18">
                  <c:v>113.28330686282433</c:v>
                </c:pt>
                <c:pt idx="19">
                  <c:v>109.88632348329467</c:v>
                </c:pt>
                <c:pt idx="20">
                  <c:v>108.48177886171264</c:v>
                </c:pt>
                <c:pt idx="21">
                  <c:v>110.83870899081825</c:v>
                </c:pt>
                <c:pt idx="22">
                  <c:v>109.40581705968116</c:v>
                </c:pt>
                <c:pt idx="23">
                  <c:v>107.06737057308735</c:v>
                </c:pt>
                <c:pt idx="24">
                  <c:v>101.80727453706155</c:v>
                </c:pt>
                <c:pt idx="25">
                  <c:v>106.44418288790793</c:v>
                </c:pt>
                <c:pt idx="26">
                  <c:v>99.431115271141266</c:v>
                </c:pt>
                <c:pt idx="27">
                  <c:v>104.35642992661577</c:v>
                </c:pt>
                <c:pt idx="28">
                  <c:v>97.548922940308614</c:v>
                </c:pt>
                <c:pt idx="29">
                  <c:v>101.04681833173598</c:v>
                </c:pt>
                <c:pt idx="30">
                  <c:v>103.66172908049396</c:v>
                </c:pt>
                <c:pt idx="31">
                  <c:v>95.415873375209614</c:v>
                </c:pt>
                <c:pt idx="32">
                  <c:v>107.01258711484925</c:v>
                </c:pt>
                <c:pt idx="33">
                  <c:v>93.360068331293149</c:v>
                </c:pt>
                <c:pt idx="34">
                  <c:v>93.690609444960927</c:v>
                </c:pt>
                <c:pt idx="35">
                  <c:v>101.54157727760978</c:v>
                </c:pt>
                <c:pt idx="36">
                  <c:v>91.970243019779772</c:v>
                </c:pt>
                <c:pt idx="37">
                  <c:v>89.650086446075449</c:v>
                </c:pt>
                <c:pt idx="38">
                  <c:v>93.694375068698278</c:v>
                </c:pt>
                <c:pt idx="39">
                  <c:v>89.213277903977826</c:v>
                </c:pt>
                <c:pt idx="40">
                  <c:v>87.879162422804129</c:v>
                </c:pt>
                <c:pt idx="41">
                  <c:v>91.14900316630181</c:v>
                </c:pt>
                <c:pt idx="42">
                  <c:v>89.186073845612299</c:v>
                </c:pt>
                <c:pt idx="43">
                  <c:v>90.472172662619258</c:v>
                </c:pt>
                <c:pt idx="44">
                  <c:v>88.305871407128038</c:v>
                </c:pt>
                <c:pt idx="45">
                  <c:v>91.003487619755688</c:v>
                </c:pt>
                <c:pt idx="46">
                  <c:v>93.62380604149007</c:v>
                </c:pt>
                <c:pt idx="47">
                  <c:v>92.580336746501743</c:v>
                </c:pt>
                <c:pt idx="48">
                  <c:v>90.738030773371051</c:v>
                </c:pt>
              </c:numCache>
            </c:numRef>
          </c:val>
        </c:ser>
        <c:ser>
          <c:idx val="2"/>
          <c:order val="2"/>
          <c:tx>
            <c:strRef>
              <c:f>List1!$D$1</c:f>
              <c:strCache>
                <c:ptCount val="1"/>
                <c:pt idx="0">
                  <c:v>Informační a komunikační činnosti</c:v>
                </c:pt>
              </c:strCache>
            </c:strRef>
          </c:tx>
          <c:marker>
            <c:symbol val="none"/>
          </c:marker>
          <c:cat>
            <c:strRef>
              <c:f>List1!$A$2:$A$50</c:f>
              <c:strCache>
                <c:ptCount val="49"/>
                <c:pt idx="0">
                  <c:v>1/2006</c:v>
                </c:pt>
                <c:pt idx="1">
                  <c:v>2/2006</c:v>
                </c:pt>
                <c:pt idx="2">
                  <c:v>3/2006</c:v>
                </c:pt>
                <c:pt idx="3">
                  <c:v>4/2006</c:v>
                </c:pt>
                <c:pt idx="4">
                  <c:v>5/2006</c:v>
                </c:pt>
                <c:pt idx="5">
                  <c:v>6/2006</c:v>
                </c:pt>
                <c:pt idx="6">
                  <c:v>7/2006</c:v>
                </c:pt>
                <c:pt idx="7">
                  <c:v>8/2006</c:v>
                </c:pt>
                <c:pt idx="8">
                  <c:v>9/2006</c:v>
                </c:pt>
                <c:pt idx="9">
                  <c:v>10/2006</c:v>
                </c:pt>
                <c:pt idx="10">
                  <c:v>11/2006</c:v>
                </c:pt>
                <c:pt idx="11">
                  <c:v>12/2006</c:v>
                </c:pt>
                <c:pt idx="12">
                  <c:v>1/2007</c:v>
                </c:pt>
                <c:pt idx="13">
                  <c:v>2/2007</c:v>
                </c:pt>
                <c:pt idx="14">
                  <c:v>3/2007</c:v>
                </c:pt>
                <c:pt idx="15">
                  <c:v>4/2007</c:v>
                </c:pt>
                <c:pt idx="16">
                  <c:v>5/2007</c:v>
                </c:pt>
                <c:pt idx="17">
                  <c:v>6/2007</c:v>
                </c:pt>
                <c:pt idx="18">
                  <c:v>7/2007</c:v>
                </c:pt>
                <c:pt idx="19">
                  <c:v>8/2007</c:v>
                </c:pt>
                <c:pt idx="20">
                  <c:v>9/2007</c:v>
                </c:pt>
                <c:pt idx="21">
                  <c:v>10/2007</c:v>
                </c:pt>
                <c:pt idx="22">
                  <c:v>11/2007</c:v>
                </c:pt>
                <c:pt idx="23">
                  <c:v>12/2007</c:v>
                </c:pt>
                <c:pt idx="24">
                  <c:v>1/2008</c:v>
                </c:pt>
                <c:pt idx="25">
                  <c:v>2/2008</c:v>
                </c:pt>
                <c:pt idx="26">
                  <c:v>3/2008</c:v>
                </c:pt>
                <c:pt idx="27">
                  <c:v>4/2008</c:v>
                </c:pt>
                <c:pt idx="28">
                  <c:v>5/2008</c:v>
                </c:pt>
                <c:pt idx="29">
                  <c:v>6/2008</c:v>
                </c:pt>
                <c:pt idx="30">
                  <c:v>7/2008</c:v>
                </c:pt>
                <c:pt idx="31">
                  <c:v>8/2008</c:v>
                </c:pt>
                <c:pt idx="32">
                  <c:v>9/2008</c:v>
                </c:pt>
                <c:pt idx="33">
                  <c:v>10/2008</c:v>
                </c:pt>
                <c:pt idx="34">
                  <c:v>11/2008</c:v>
                </c:pt>
                <c:pt idx="35">
                  <c:v>12/2008</c:v>
                </c:pt>
                <c:pt idx="36">
                  <c:v>1/2009</c:v>
                </c:pt>
                <c:pt idx="37">
                  <c:v>2/2009</c:v>
                </c:pt>
                <c:pt idx="38">
                  <c:v>3/2009</c:v>
                </c:pt>
                <c:pt idx="39">
                  <c:v>4/2009</c:v>
                </c:pt>
                <c:pt idx="40">
                  <c:v>5/2009</c:v>
                </c:pt>
                <c:pt idx="41">
                  <c:v>6/2009</c:v>
                </c:pt>
                <c:pt idx="42">
                  <c:v>7/2009</c:v>
                </c:pt>
                <c:pt idx="43">
                  <c:v>8/2009</c:v>
                </c:pt>
                <c:pt idx="44">
                  <c:v>9/2009</c:v>
                </c:pt>
                <c:pt idx="45">
                  <c:v>10/2009</c:v>
                </c:pt>
                <c:pt idx="46">
                  <c:v>11/2009</c:v>
                </c:pt>
                <c:pt idx="47">
                  <c:v>12/2009</c:v>
                </c:pt>
                <c:pt idx="48">
                  <c:v>1-12/2009</c:v>
                </c:pt>
              </c:strCache>
            </c:strRef>
          </c:cat>
          <c:val>
            <c:numRef>
              <c:f>List1!$D$2:$D$50</c:f>
              <c:numCache>
                <c:formatCode>0.0</c:formatCode>
                <c:ptCount val="49"/>
                <c:pt idx="0">
                  <c:v>106.08493557686241</c:v>
                </c:pt>
                <c:pt idx="1">
                  <c:v>98.805362222751455</c:v>
                </c:pt>
                <c:pt idx="2">
                  <c:v>102.67557420727751</c:v>
                </c:pt>
                <c:pt idx="3">
                  <c:v>99.573514827197783</c:v>
                </c:pt>
                <c:pt idx="4">
                  <c:v>103.32598859474464</c:v>
                </c:pt>
                <c:pt idx="5">
                  <c:v>106.22325413148525</c:v>
                </c:pt>
                <c:pt idx="6">
                  <c:v>98.35632430061078</c:v>
                </c:pt>
                <c:pt idx="7">
                  <c:v>106.89071218369833</c:v>
                </c:pt>
                <c:pt idx="8">
                  <c:v>101.81793267934962</c:v>
                </c:pt>
                <c:pt idx="9">
                  <c:v>106.74082993219812</c:v>
                </c:pt>
                <c:pt idx="10">
                  <c:v>104.12562252574334</c:v>
                </c:pt>
                <c:pt idx="11">
                  <c:v>101.56273062021954</c:v>
                </c:pt>
                <c:pt idx="12">
                  <c:v>104.50100950125936</c:v>
                </c:pt>
                <c:pt idx="13">
                  <c:v>108.00911637366725</c:v>
                </c:pt>
                <c:pt idx="14">
                  <c:v>106.02274552468138</c:v>
                </c:pt>
                <c:pt idx="15">
                  <c:v>107.43741260093942</c:v>
                </c:pt>
                <c:pt idx="16">
                  <c:v>105.04834485217808</c:v>
                </c:pt>
                <c:pt idx="17">
                  <c:v>106.13126831502235</c:v>
                </c:pt>
                <c:pt idx="18">
                  <c:v>113.82485643219339</c:v>
                </c:pt>
                <c:pt idx="19">
                  <c:v>110.32072870977241</c:v>
                </c:pt>
                <c:pt idx="20">
                  <c:v>105.70813633315198</c:v>
                </c:pt>
                <c:pt idx="21">
                  <c:v>106.93518638025323</c:v>
                </c:pt>
                <c:pt idx="22">
                  <c:v>106.65470090139506</c:v>
                </c:pt>
                <c:pt idx="23">
                  <c:v>104.69465481521604</c:v>
                </c:pt>
                <c:pt idx="24">
                  <c:v>108.00197838226345</c:v>
                </c:pt>
                <c:pt idx="25">
                  <c:v>106.91623774858586</c:v>
                </c:pt>
                <c:pt idx="26">
                  <c:v>99.420248012933385</c:v>
                </c:pt>
                <c:pt idx="27">
                  <c:v>106.50316282226395</c:v>
                </c:pt>
                <c:pt idx="28">
                  <c:v>98.037102988810915</c:v>
                </c:pt>
                <c:pt idx="29">
                  <c:v>101.81716966771795</c:v>
                </c:pt>
                <c:pt idx="30">
                  <c:v>105.89329507568181</c:v>
                </c:pt>
                <c:pt idx="31">
                  <c:v>98.704416565831536</c:v>
                </c:pt>
                <c:pt idx="32">
                  <c:v>110.3566824723205</c:v>
                </c:pt>
                <c:pt idx="33">
                  <c:v>98.129614314052958</c:v>
                </c:pt>
                <c:pt idx="34">
                  <c:v>94.417005921606432</c:v>
                </c:pt>
                <c:pt idx="35">
                  <c:v>105.71828392532259</c:v>
                </c:pt>
                <c:pt idx="36">
                  <c:v>96.796482515202371</c:v>
                </c:pt>
                <c:pt idx="37">
                  <c:v>100.28492492713227</c:v>
                </c:pt>
                <c:pt idx="38">
                  <c:v>101.48800435657088</c:v>
                </c:pt>
                <c:pt idx="39">
                  <c:v>95.084411017590426</c:v>
                </c:pt>
                <c:pt idx="40">
                  <c:v>94.497007872142262</c:v>
                </c:pt>
                <c:pt idx="41">
                  <c:v>97.01470524000932</c:v>
                </c:pt>
                <c:pt idx="42">
                  <c:v>93.141998480161533</c:v>
                </c:pt>
                <c:pt idx="43">
                  <c:v>93.825262703815682</c:v>
                </c:pt>
                <c:pt idx="44">
                  <c:v>89.245856116531726</c:v>
                </c:pt>
                <c:pt idx="45">
                  <c:v>92.315902874775958</c:v>
                </c:pt>
                <c:pt idx="46">
                  <c:v>96.397163838461111</c:v>
                </c:pt>
                <c:pt idx="47">
                  <c:v>95.839192717865089</c:v>
                </c:pt>
                <c:pt idx="48">
                  <c:v>95.423332699069519</c:v>
                </c:pt>
              </c:numCache>
            </c:numRef>
          </c:val>
        </c:ser>
        <c:marker val="1"/>
        <c:axId val="123398784"/>
        <c:axId val="123457920"/>
      </c:lineChart>
      <c:lineChart>
        <c:grouping val="standard"/>
        <c:ser>
          <c:idx val="1"/>
          <c:order val="1"/>
          <c:tx>
            <c:strRef>
              <c:f>List1!$C$1</c:f>
              <c:strCache>
                <c:ptCount val="1"/>
                <c:pt idx="0">
                  <c:v>Doprava a skladování</c:v>
                </c:pt>
              </c:strCache>
            </c:strRef>
          </c:tx>
          <c:marker>
            <c:symbol val="none"/>
          </c:marker>
          <c:cat>
            <c:strRef>
              <c:f>List1!$A$2:$A$50</c:f>
              <c:strCache>
                <c:ptCount val="49"/>
                <c:pt idx="0">
                  <c:v>1/2006</c:v>
                </c:pt>
                <c:pt idx="1">
                  <c:v>2/2006</c:v>
                </c:pt>
                <c:pt idx="2">
                  <c:v>3/2006</c:v>
                </c:pt>
                <c:pt idx="3">
                  <c:v>4/2006</c:v>
                </c:pt>
                <c:pt idx="4">
                  <c:v>5/2006</c:v>
                </c:pt>
                <c:pt idx="5">
                  <c:v>6/2006</c:v>
                </c:pt>
                <c:pt idx="6">
                  <c:v>7/2006</c:v>
                </c:pt>
                <c:pt idx="7">
                  <c:v>8/2006</c:v>
                </c:pt>
                <c:pt idx="8">
                  <c:v>9/2006</c:v>
                </c:pt>
                <c:pt idx="9">
                  <c:v>10/2006</c:v>
                </c:pt>
                <c:pt idx="10">
                  <c:v>11/2006</c:v>
                </c:pt>
                <c:pt idx="11">
                  <c:v>12/2006</c:v>
                </c:pt>
                <c:pt idx="12">
                  <c:v>1/2007</c:v>
                </c:pt>
                <c:pt idx="13">
                  <c:v>2/2007</c:v>
                </c:pt>
                <c:pt idx="14">
                  <c:v>3/2007</c:v>
                </c:pt>
                <c:pt idx="15">
                  <c:v>4/2007</c:v>
                </c:pt>
                <c:pt idx="16">
                  <c:v>5/2007</c:v>
                </c:pt>
                <c:pt idx="17">
                  <c:v>6/2007</c:v>
                </c:pt>
                <c:pt idx="18">
                  <c:v>7/2007</c:v>
                </c:pt>
                <c:pt idx="19">
                  <c:v>8/2007</c:v>
                </c:pt>
                <c:pt idx="20">
                  <c:v>9/2007</c:v>
                </c:pt>
                <c:pt idx="21">
                  <c:v>10/2007</c:v>
                </c:pt>
                <c:pt idx="22">
                  <c:v>11/2007</c:v>
                </c:pt>
                <c:pt idx="23">
                  <c:v>12/2007</c:v>
                </c:pt>
                <c:pt idx="24">
                  <c:v>1/2008</c:v>
                </c:pt>
                <c:pt idx="25">
                  <c:v>2/2008</c:v>
                </c:pt>
                <c:pt idx="26">
                  <c:v>3/2008</c:v>
                </c:pt>
                <c:pt idx="27">
                  <c:v>4/2008</c:v>
                </c:pt>
                <c:pt idx="28">
                  <c:v>5/2008</c:v>
                </c:pt>
                <c:pt idx="29">
                  <c:v>6/2008</c:v>
                </c:pt>
                <c:pt idx="30">
                  <c:v>7/2008</c:v>
                </c:pt>
                <c:pt idx="31">
                  <c:v>8/2008</c:v>
                </c:pt>
                <c:pt idx="32">
                  <c:v>9/2008</c:v>
                </c:pt>
                <c:pt idx="33">
                  <c:v>10/2008</c:v>
                </c:pt>
                <c:pt idx="34">
                  <c:v>11/2008</c:v>
                </c:pt>
                <c:pt idx="35">
                  <c:v>12/2008</c:v>
                </c:pt>
                <c:pt idx="36">
                  <c:v>1/2009</c:v>
                </c:pt>
                <c:pt idx="37">
                  <c:v>2/2009</c:v>
                </c:pt>
                <c:pt idx="38">
                  <c:v>3/2009</c:v>
                </c:pt>
                <c:pt idx="39">
                  <c:v>4/2009</c:v>
                </c:pt>
                <c:pt idx="40">
                  <c:v>5/2009</c:v>
                </c:pt>
                <c:pt idx="41">
                  <c:v>6/2009</c:v>
                </c:pt>
                <c:pt idx="42">
                  <c:v>7/2009</c:v>
                </c:pt>
                <c:pt idx="43">
                  <c:v>8/2009</c:v>
                </c:pt>
                <c:pt idx="44">
                  <c:v>9/2009</c:v>
                </c:pt>
                <c:pt idx="45">
                  <c:v>10/2009</c:v>
                </c:pt>
                <c:pt idx="46">
                  <c:v>11/2009</c:v>
                </c:pt>
                <c:pt idx="47">
                  <c:v>12/2009</c:v>
                </c:pt>
                <c:pt idx="48">
                  <c:v>1-12/2009</c:v>
                </c:pt>
              </c:strCache>
            </c:strRef>
          </c:cat>
          <c:val>
            <c:numRef>
              <c:f>List1!$C$2:$C$50</c:f>
              <c:numCache>
                <c:formatCode>0.0</c:formatCode>
                <c:ptCount val="49"/>
                <c:pt idx="0">
                  <c:v>105.778116947039</c:v>
                </c:pt>
                <c:pt idx="1">
                  <c:v>106.33854175997621</c:v>
                </c:pt>
                <c:pt idx="2">
                  <c:v>107.66463665579856</c:v>
                </c:pt>
                <c:pt idx="3">
                  <c:v>99.713615649874797</c:v>
                </c:pt>
                <c:pt idx="4">
                  <c:v>108.78352515484946</c:v>
                </c:pt>
                <c:pt idx="5">
                  <c:v>102.21802789022657</c:v>
                </c:pt>
                <c:pt idx="6">
                  <c:v>102.90165970875402</c:v>
                </c:pt>
                <c:pt idx="7">
                  <c:v>108.71981736407626</c:v>
                </c:pt>
                <c:pt idx="8">
                  <c:v>105.62691951594887</c:v>
                </c:pt>
                <c:pt idx="9">
                  <c:v>114.64036470569394</c:v>
                </c:pt>
                <c:pt idx="10">
                  <c:v>110.6997693381403</c:v>
                </c:pt>
                <c:pt idx="11">
                  <c:v>108.49741697565862</c:v>
                </c:pt>
                <c:pt idx="12">
                  <c:v>113.88349178918195</c:v>
                </c:pt>
                <c:pt idx="13">
                  <c:v>114.58960963165782</c:v>
                </c:pt>
                <c:pt idx="14">
                  <c:v>111.64351108177574</c:v>
                </c:pt>
                <c:pt idx="15">
                  <c:v>114.79278589698207</c:v>
                </c:pt>
                <c:pt idx="16">
                  <c:v>107.50022020104419</c:v>
                </c:pt>
                <c:pt idx="17">
                  <c:v>108.09936668218739</c:v>
                </c:pt>
                <c:pt idx="18">
                  <c:v>108.19259319219275</c:v>
                </c:pt>
                <c:pt idx="19">
                  <c:v>108.9225755959511</c:v>
                </c:pt>
                <c:pt idx="20">
                  <c:v>104.86043285377625</c:v>
                </c:pt>
                <c:pt idx="21">
                  <c:v>110.5717774576492</c:v>
                </c:pt>
                <c:pt idx="22">
                  <c:v>105.44937239462581</c:v>
                </c:pt>
                <c:pt idx="23">
                  <c:v>100.41475298992412</c:v>
                </c:pt>
                <c:pt idx="24">
                  <c:v>102.43411143670606</c:v>
                </c:pt>
                <c:pt idx="25">
                  <c:v>106.51974112906024</c:v>
                </c:pt>
                <c:pt idx="26">
                  <c:v>95.128602170219608</c:v>
                </c:pt>
                <c:pt idx="27">
                  <c:v>104.98751194755329</c:v>
                </c:pt>
                <c:pt idx="28">
                  <c:v>98.43224206227022</c:v>
                </c:pt>
                <c:pt idx="29">
                  <c:v>101.66285861462772</c:v>
                </c:pt>
                <c:pt idx="30">
                  <c:v>108.57699092597876</c:v>
                </c:pt>
                <c:pt idx="31">
                  <c:v>95.135265799911465</c:v>
                </c:pt>
                <c:pt idx="32">
                  <c:v>106.38793960917972</c:v>
                </c:pt>
                <c:pt idx="33">
                  <c:v>90.454529053191195</c:v>
                </c:pt>
                <c:pt idx="34">
                  <c:v>92.122353408269888</c:v>
                </c:pt>
                <c:pt idx="35">
                  <c:v>99.102127002312955</c:v>
                </c:pt>
                <c:pt idx="36">
                  <c:v>88.232960406426358</c:v>
                </c:pt>
                <c:pt idx="37">
                  <c:v>83.939411383733457</c:v>
                </c:pt>
                <c:pt idx="38">
                  <c:v>95.379872991573947</c:v>
                </c:pt>
                <c:pt idx="39">
                  <c:v>84.06548961450531</c:v>
                </c:pt>
                <c:pt idx="40">
                  <c:v>85.327958506846358</c:v>
                </c:pt>
                <c:pt idx="41">
                  <c:v>92.354977152392408</c:v>
                </c:pt>
                <c:pt idx="42">
                  <c:v>87.873946949355584</c:v>
                </c:pt>
                <c:pt idx="43">
                  <c:v>93.288132732766385</c:v>
                </c:pt>
                <c:pt idx="44">
                  <c:v>92.097617767646227</c:v>
                </c:pt>
                <c:pt idx="45">
                  <c:v>94.48770108801989</c:v>
                </c:pt>
                <c:pt idx="46">
                  <c:v>95.618844012837556</c:v>
                </c:pt>
                <c:pt idx="47">
                  <c:v>93.376621310605884</c:v>
                </c:pt>
                <c:pt idx="48">
                  <c:v>90.518998785378827</c:v>
                </c:pt>
              </c:numCache>
            </c:numRef>
          </c:val>
        </c:ser>
        <c:ser>
          <c:idx val="3"/>
          <c:order val="3"/>
          <c:tx>
            <c:strRef>
              <c:f>List1!$E$1</c:f>
              <c:strCache>
                <c:ptCount val="1"/>
                <c:pt idx="0">
                  <c:v>Profesní ,vědecké a technické činnosti</c:v>
                </c:pt>
              </c:strCache>
            </c:strRef>
          </c:tx>
          <c:marker>
            <c:symbol val="none"/>
          </c:marker>
          <c:cat>
            <c:strRef>
              <c:f>List1!$A$2:$A$50</c:f>
              <c:strCache>
                <c:ptCount val="49"/>
                <c:pt idx="0">
                  <c:v>1/2006</c:v>
                </c:pt>
                <c:pt idx="1">
                  <c:v>2/2006</c:v>
                </c:pt>
                <c:pt idx="2">
                  <c:v>3/2006</c:v>
                </c:pt>
                <c:pt idx="3">
                  <c:v>4/2006</c:v>
                </c:pt>
                <c:pt idx="4">
                  <c:v>5/2006</c:v>
                </c:pt>
                <c:pt idx="5">
                  <c:v>6/2006</c:v>
                </c:pt>
                <c:pt idx="6">
                  <c:v>7/2006</c:v>
                </c:pt>
                <c:pt idx="7">
                  <c:v>8/2006</c:v>
                </c:pt>
                <c:pt idx="8">
                  <c:v>9/2006</c:v>
                </c:pt>
                <c:pt idx="9">
                  <c:v>10/2006</c:v>
                </c:pt>
                <c:pt idx="10">
                  <c:v>11/2006</c:v>
                </c:pt>
                <c:pt idx="11">
                  <c:v>12/2006</c:v>
                </c:pt>
                <c:pt idx="12">
                  <c:v>1/2007</c:v>
                </c:pt>
                <c:pt idx="13">
                  <c:v>2/2007</c:v>
                </c:pt>
                <c:pt idx="14">
                  <c:v>3/2007</c:v>
                </c:pt>
                <c:pt idx="15">
                  <c:v>4/2007</c:v>
                </c:pt>
                <c:pt idx="16">
                  <c:v>5/2007</c:v>
                </c:pt>
                <c:pt idx="17">
                  <c:v>6/2007</c:v>
                </c:pt>
                <c:pt idx="18">
                  <c:v>7/2007</c:v>
                </c:pt>
                <c:pt idx="19">
                  <c:v>8/2007</c:v>
                </c:pt>
                <c:pt idx="20">
                  <c:v>9/2007</c:v>
                </c:pt>
                <c:pt idx="21">
                  <c:v>10/2007</c:v>
                </c:pt>
                <c:pt idx="22">
                  <c:v>11/2007</c:v>
                </c:pt>
                <c:pt idx="23">
                  <c:v>12/2007</c:v>
                </c:pt>
                <c:pt idx="24">
                  <c:v>1/2008</c:v>
                </c:pt>
                <c:pt idx="25">
                  <c:v>2/2008</c:v>
                </c:pt>
                <c:pt idx="26">
                  <c:v>3/2008</c:v>
                </c:pt>
                <c:pt idx="27">
                  <c:v>4/2008</c:v>
                </c:pt>
                <c:pt idx="28">
                  <c:v>5/2008</c:v>
                </c:pt>
                <c:pt idx="29">
                  <c:v>6/2008</c:v>
                </c:pt>
                <c:pt idx="30">
                  <c:v>7/2008</c:v>
                </c:pt>
                <c:pt idx="31">
                  <c:v>8/2008</c:v>
                </c:pt>
                <c:pt idx="32">
                  <c:v>9/2008</c:v>
                </c:pt>
                <c:pt idx="33">
                  <c:v>10/2008</c:v>
                </c:pt>
                <c:pt idx="34">
                  <c:v>11/2008</c:v>
                </c:pt>
                <c:pt idx="35">
                  <c:v>12/2008</c:v>
                </c:pt>
                <c:pt idx="36">
                  <c:v>1/2009</c:v>
                </c:pt>
                <c:pt idx="37">
                  <c:v>2/2009</c:v>
                </c:pt>
                <c:pt idx="38">
                  <c:v>3/2009</c:v>
                </c:pt>
                <c:pt idx="39">
                  <c:v>4/2009</c:v>
                </c:pt>
                <c:pt idx="40">
                  <c:v>5/2009</c:v>
                </c:pt>
                <c:pt idx="41">
                  <c:v>6/2009</c:v>
                </c:pt>
                <c:pt idx="42">
                  <c:v>7/2009</c:v>
                </c:pt>
                <c:pt idx="43">
                  <c:v>8/2009</c:v>
                </c:pt>
                <c:pt idx="44">
                  <c:v>9/2009</c:v>
                </c:pt>
                <c:pt idx="45">
                  <c:v>10/2009</c:v>
                </c:pt>
                <c:pt idx="46">
                  <c:v>11/2009</c:v>
                </c:pt>
                <c:pt idx="47">
                  <c:v>12/2009</c:v>
                </c:pt>
                <c:pt idx="48">
                  <c:v>1-12/2009</c:v>
                </c:pt>
              </c:strCache>
            </c:strRef>
          </c:cat>
          <c:val>
            <c:numRef>
              <c:f>List1!$E$2:$E$50</c:f>
              <c:numCache>
                <c:formatCode>0.0</c:formatCode>
                <c:ptCount val="49"/>
                <c:pt idx="0">
                  <c:v>104.91770819097033</c:v>
                </c:pt>
                <c:pt idx="1">
                  <c:v>101.40881765523896</c:v>
                </c:pt>
                <c:pt idx="2">
                  <c:v>98.284963217780529</c:v>
                </c:pt>
                <c:pt idx="3">
                  <c:v>96.146053057414548</c:v>
                </c:pt>
                <c:pt idx="4">
                  <c:v>103.19619479051239</c:v>
                </c:pt>
                <c:pt idx="5">
                  <c:v>102.17317319016873</c:v>
                </c:pt>
                <c:pt idx="6">
                  <c:v>96.568193662762326</c:v>
                </c:pt>
                <c:pt idx="7">
                  <c:v>103.11704546066956</c:v>
                </c:pt>
                <c:pt idx="8">
                  <c:v>97.636685765276027</c:v>
                </c:pt>
                <c:pt idx="9">
                  <c:v>108.48897984476145</c:v>
                </c:pt>
                <c:pt idx="10">
                  <c:v>101.60205097014071</c:v>
                </c:pt>
                <c:pt idx="11">
                  <c:v>109.02750422829799</c:v>
                </c:pt>
                <c:pt idx="12">
                  <c:v>97.711928355941026</c:v>
                </c:pt>
                <c:pt idx="13">
                  <c:v>100.63314798589589</c:v>
                </c:pt>
                <c:pt idx="14">
                  <c:v>101.73395178493342</c:v>
                </c:pt>
                <c:pt idx="15">
                  <c:v>100.38970510344105</c:v>
                </c:pt>
                <c:pt idx="16">
                  <c:v>103.42044581727021</c:v>
                </c:pt>
                <c:pt idx="17">
                  <c:v>103.47506383425328</c:v>
                </c:pt>
                <c:pt idx="18">
                  <c:v>121.29414291431362</c:v>
                </c:pt>
                <c:pt idx="19">
                  <c:v>108.58577262759093</c:v>
                </c:pt>
                <c:pt idx="20">
                  <c:v>115.38584085717586</c:v>
                </c:pt>
                <c:pt idx="21">
                  <c:v>110.06783486179846</c:v>
                </c:pt>
                <c:pt idx="22">
                  <c:v>115.86459200478558</c:v>
                </c:pt>
                <c:pt idx="23">
                  <c:v>111.82732547393468</c:v>
                </c:pt>
                <c:pt idx="24">
                  <c:v>95.436353117265583</c:v>
                </c:pt>
                <c:pt idx="25">
                  <c:v>108.66671929787668</c:v>
                </c:pt>
                <c:pt idx="26">
                  <c:v>104.17198422162375</c:v>
                </c:pt>
                <c:pt idx="27">
                  <c:v>104.03715072855202</c:v>
                </c:pt>
                <c:pt idx="28">
                  <c:v>98.150817160520916</c:v>
                </c:pt>
                <c:pt idx="29">
                  <c:v>103.96732155757333</c:v>
                </c:pt>
                <c:pt idx="30">
                  <c:v>100.23474105948313</c:v>
                </c:pt>
                <c:pt idx="31">
                  <c:v>94.396746839872009</c:v>
                </c:pt>
                <c:pt idx="32">
                  <c:v>114.56207751559337</c:v>
                </c:pt>
                <c:pt idx="33">
                  <c:v>95.473935997185748</c:v>
                </c:pt>
                <c:pt idx="34">
                  <c:v>97.063444677338722</c:v>
                </c:pt>
                <c:pt idx="35">
                  <c:v>108.93458996712972</c:v>
                </c:pt>
                <c:pt idx="36">
                  <c:v>88.884725696662542</c:v>
                </c:pt>
                <c:pt idx="37">
                  <c:v>86.479647862877357</c:v>
                </c:pt>
                <c:pt idx="38">
                  <c:v>86.614806881978396</c:v>
                </c:pt>
                <c:pt idx="39">
                  <c:v>88.739535938405709</c:v>
                </c:pt>
                <c:pt idx="40">
                  <c:v>84.036529526751949</c:v>
                </c:pt>
                <c:pt idx="41">
                  <c:v>88.23886995193682</c:v>
                </c:pt>
                <c:pt idx="42">
                  <c:v>86.521457025456158</c:v>
                </c:pt>
                <c:pt idx="43">
                  <c:v>84.350237419452199</c:v>
                </c:pt>
                <c:pt idx="44">
                  <c:v>83.590487657448648</c:v>
                </c:pt>
                <c:pt idx="45">
                  <c:v>87.165903190269148</c:v>
                </c:pt>
                <c:pt idx="46">
                  <c:v>90.800407585117895</c:v>
                </c:pt>
                <c:pt idx="47">
                  <c:v>90.306203507345927</c:v>
                </c:pt>
                <c:pt idx="48">
                  <c:v>87.312337264399559</c:v>
                </c:pt>
              </c:numCache>
            </c:numRef>
          </c:val>
        </c:ser>
        <c:ser>
          <c:idx val="4"/>
          <c:order val="4"/>
          <c:tx>
            <c:strRef>
              <c:f>List1!$F$1</c:f>
              <c:strCache>
                <c:ptCount val="1"/>
                <c:pt idx="0">
                  <c:v>Ubytování, stravování a pohostinství</c:v>
                </c:pt>
              </c:strCache>
            </c:strRef>
          </c:tx>
          <c:marker>
            <c:symbol val="none"/>
          </c:marker>
          <c:cat>
            <c:strRef>
              <c:f>List1!$A$2:$A$50</c:f>
              <c:strCache>
                <c:ptCount val="49"/>
                <c:pt idx="0">
                  <c:v>1/2006</c:v>
                </c:pt>
                <c:pt idx="1">
                  <c:v>2/2006</c:v>
                </c:pt>
                <c:pt idx="2">
                  <c:v>3/2006</c:v>
                </c:pt>
                <c:pt idx="3">
                  <c:v>4/2006</c:v>
                </c:pt>
                <c:pt idx="4">
                  <c:v>5/2006</c:v>
                </c:pt>
                <c:pt idx="5">
                  <c:v>6/2006</c:v>
                </c:pt>
                <c:pt idx="6">
                  <c:v>7/2006</c:v>
                </c:pt>
                <c:pt idx="7">
                  <c:v>8/2006</c:v>
                </c:pt>
                <c:pt idx="8">
                  <c:v>9/2006</c:v>
                </c:pt>
                <c:pt idx="9">
                  <c:v>10/2006</c:v>
                </c:pt>
                <c:pt idx="10">
                  <c:v>11/2006</c:v>
                </c:pt>
                <c:pt idx="11">
                  <c:v>12/2006</c:v>
                </c:pt>
                <c:pt idx="12">
                  <c:v>1/2007</c:v>
                </c:pt>
                <c:pt idx="13">
                  <c:v>2/2007</c:v>
                </c:pt>
                <c:pt idx="14">
                  <c:v>3/2007</c:v>
                </c:pt>
                <c:pt idx="15">
                  <c:v>4/2007</c:v>
                </c:pt>
                <c:pt idx="16">
                  <c:v>5/2007</c:v>
                </c:pt>
                <c:pt idx="17">
                  <c:v>6/2007</c:v>
                </c:pt>
                <c:pt idx="18">
                  <c:v>7/2007</c:v>
                </c:pt>
                <c:pt idx="19">
                  <c:v>8/2007</c:v>
                </c:pt>
                <c:pt idx="20">
                  <c:v>9/2007</c:v>
                </c:pt>
                <c:pt idx="21">
                  <c:v>10/2007</c:v>
                </c:pt>
                <c:pt idx="22">
                  <c:v>11/2007</c:v>
                </c:pt>
                <c:pt idx="23">
                  <c:v>12/2007</c:v>
                </c:pt>
                <c:pt idx="24">
                  <c:v>1/2008</c:v>
                </c:pt>
                <c:pt idx="25">
                  <c:v>2/2008</c:v>
                </c:pt>
                <c:pt idx="26">
                  <c:v>3/2008</c:v>
                </c:pt>
                <c:pt idx="27">
                  <c:v>4/2008</c:v>
                </c:pt>
                <c:pt idx="28">
                  <c:v>5/2008</c:v>
                </c:pt>
                <c:pt idx="29">
                  <c:v>6/2008</c:v>
                </c:pt>
                <c:pt idx="30">
                  <c:v>7/2008</c:v>
                </c:pt>
                <c:pt idx="31">
                  <c:v>8/2008</c:v>
                </c:pt>
                <c:pt idx="32">
                  <c:v>9/2008</c:v>
                </c:pt>
                <c:pt idx="33">
                  <c:v>10/2008</c:v>
                </c:pt>
                <c:pt idx="34">
                  <c:v>11/2008</c:v>
                </c:pt>
                <c:pt idx="35">
                  <c:v>12/2008</c:v>
                </c:pt>
                <c:pt idx="36">
                  <c:v>1/2009</c:v>
                </c:pt>
                <c:pt idx="37">
                  <c:v>2/2009</c:v>
                </c:pt>
                <c:pt idx="38">
                  <c:v>3/2009</c:v>
                </c:pt>
                <c:pt idx="39">
                  <c:v>4/2009</c:v>
                </c:pt>
                <c:pt idx="40">
                  <c:v>5/2009</c:v>
                </c:pt>
                <c:pt idx="41">
                  <c:v>6/2009</c:v>
                </c:pt>
                <c:pt idx="42">
                  <c:v>7/2009</c:v>
                </c:pt>
                <c:pt idx="43">
                  <c:v>8/2009</c:v>
                </c:pt>
                <c:pt idx="44">
                  <c:v>9/2009</c:v>
                </c:pt>
                <c:pt idx="45">
                  <c:v>10/2009</c:v>
                </c:pt>
                <c:pt idx="46">
                  <c:v>11/2009</c:v>
                </c:pt>
                <c:pt idx="47">
                  <c:v>12/2009</c:v>
                </c:pt>
                <c:pt idx="48">
                  <c:v>1-12/2009</c:v>
                </c:pt>
              </c:strCache>
            </c:strRef>
          </c:cat>
          <c:val>
            <c:numRef>
              <c:f>List1!$F$2:$F$50</c:f>
              <c:numCache>
                <c:formatCode>0.0</c:formatCode>
                <c:ptCount val="49"/>
                <c:pt idx="0">
                  <c:v>101.82204823144512</c:v>
                </c:pt>
                <c:pt idx="1">
                  <c:v>98.826778193768391</c:v>
                </c:pt>
                <c:pt idx="2">
                  <c:v>99.437476908305527</c:v>
                </c:pt>
                <c:pt idx="3">
                  <c:v>101.59493075283295</c:v>
                </c:pt>
                <c:pt idx="4">
                  <c:v>100.41691839081302</c:v>
                </c:pt>
                <c:pt idx="5">
                  <c:v>103.00926592783092</c:v>
                </c:pt>
                <c:pt idx="6">
                  <c:v>102.35919508729461</c:v>
                </c:pt>
                <c:pt idx="7">
                  <c:v>102.09853845108788</c:v>
                </c:pt>
                <c:pt idx="8">
                  <c:v>103.07935561750578</c:v>
                </c:pt>
                <c:pt idx="9">
                  <c:v>104.7988848422077</c:v>
                </c:pt>
                <c:pt idx="10">
                  <c:v>103.45002703851227</c:v>
                </c:pt>
                <c:pt idx="11">
                  <c:v>102.51297118210344</c:v>
                </c:pt>
                <c:pt idx="12">
                  <c:v>101.2428487985856</c:v>
                </c:pt>
                <c:pt idx="13">
                  <c:v>104.75914384064212</c:v>
                </c:pt>
                <c:pt idx="14">
                  <c:v>103.50016341786161</c:v>
                </c:pt>
                <c:pt idx="15">
                  <c:v>104.65191694353398</c:v>
                </c:pt>
                <c:pt idx="16">
                  <c:v>104.90870750396338</c:v>
                </c:pt>
                <c:pt idx="17">
                  <c:v>102.18373145861146</c:v>
                </c:pt>
                <c:pt idx="18">
                  <c:v>103.22839256606976</c:v>
                </c:pt>
                <c:pt idx="19">
                  <c:v>106.67015797620002</c:v>
                </c:pt>
                <c:pt idx="20">
                  <c:v>100.99071201129055</c:v>
                </c:pt>
                <c:pt idx="21">
                  <c:v>103.75419077289071</c:v>
                </c:pt>
                <c:pt idx="22">
                  <c:v>104.57741943440475</c:v>
                </c:pt>
                <c:pt idx="23">
                  <c:v>106.18240600798724</c:v>
                </c:pt>
                <c:pt idx="24">
                  <c:v>97.471259155160126</c:v>
                </c:pt>
                <c:pt idx="25">
                  <c:v>97.042109511523549</c:v>
                </c:pt>
                <c:pt idx="26">
                  <c:v>91.807779411640908</c:v>
                </c:pt>
                <c:pt idx="27">
                  <c:v>95.590718436947611</c:v>
                </c:pt>
                <c:pt idx="28">
                  <c:v>92.798611227937627</c:v>
                </c:pt>
                <c:pt idx="29">
                  <c:v>90.205063707976294</c:v>
                </c:pt>
                <c:pt idx="30">
                  <c:v>94.814486649147241</c:v>
                </c:pt>
                <c:pt idx="31">
                  <c:v>89.102244538733643</c:v>
                </c:pt>
                <c:pt idx="32">
                  <c:v>94.713168873215906</c:v>
                </c:pt>
                <c:pt idx="33">
                  <c:v>90.479014945954745</c:v>
                </c:pt>
                <c:pt idx="34">
                  <c:v>89.836332363416687</c:v>
                </c:pt>
                <c:pt idx="35">
                  <c:v>89.591702841133653</c:v>
                </c:pt>
                <c:pt idx="36">
                  <c:v>88.774874669285524</c:v>
                </c:pt>
                <c:pt idx="37">
                  <c:v>85.561292929685564</c:v>
                </c:pt>
                <c:pt idx="38">
                  <c:v>87.808010067943385</c:v>
                </c:pt>
                <c:pt idx="39">
                  <c:v>91.690667213476758</c:v>
                </c:pt>
                <c:pt idx="40">
                  <c:v>89.953175439979532</c:v>
                </c:pt>
                <c:pt idx="41">
                  <c:v>85.739727195149939</c:v>
                </c:pt>
                <c:pt idx="42">
                  <c:v>89.881516564399405</c:v>
                </c:pt>
                <c:pt idx="43">
                  <c:v>88.85944894849014</c:v>
                </c:pt>
                <c:pt idx="44">
                  <c:v>87.319735625392426</c:v>
                </c:pt>
                <c:pt idx="45">
                  <c:v>84.769287968128523</c:v>
                </c:pt>
                <c:pt idx="46">
                  <c:v>93.180476014545533</c:v>
                </c:pt>
                <c:pt idx="47">
                  <c:v>92.572406699205246</c:v>
                </c:pt>
                <c:pt idx="48">
                  <c:v>88.853284476485669</c:v>
                </c:pt>
              </c:numCache>
            </c:numRef>
          </c:val>
        </c:ser>
        <c:ser>
          <c:idx val="5"/>
          <c:order val="5"/>
          <c:tx>
            <c:strRef>
              <c:f>List1!$G$1</c:f>
              <c:strCache>
                <c:ptCount val="1"/>
                <c:pt idx="0">
                  <c:v>Činnosti v oblasti nemovitostí</c:v>
                </c:pt>
              </c:strCache>
            </c:strRef>
          </c:tx>
          <c:marker>
            <c:symbol val="none"/>
          </c:marker>
          <c:cat>
            <c:strRef>
              <c:f>List1!$A$2:$A$50</c:f>
              <c:strCache>
                <c:ptCount val="49"/>
                <c:pt idx="0">
                  <c:v>1/2006</c:v>
                </c:pt>
                <c:pt idx="1">
                  <c:v>2/2006</c:v>
                </c:pt>
                <c:pt idx="2">
                  <c:v>3/2006</c:v>
                </c:pt>
                <c:pt idx="3">
                  <c:v>4/2006</c:v>
                </c:pt>
                <c:pt idx="4">
                  <c:v>5/2006</c:v>
                </c:pt>
                <c:pt idx="5">
                  <c:v>6/2006</c:v>
                </c:pt>
                <c:pt idx="6">
                  <c:v>7/2006</c:v>
                </c:pt>
                <c:pt idx="7">
                  <c:v>8/2006</c:v>
                </c:pt>
                <c:pt idx="8">
                  <c:v>9/2006</c:v>
                </c:pt>
                <c:pt idx="9">
                  <c:v>10/2006</c:v>
                </c:pt>
                <c:pt idx="10">
                  <c:v>11/2006</c:v>
                </c:pt>
                <c:pt idx="11">
                  <c:v>12/2006</c:v>
                </c:pt>
                <c:pt idx="12">
                  <c:v>1/2007</c:v>
                </c:pt>
                <c:pt idx="13">
                  <c:v>2/2007</c:v>
                </c:pt>
                <c:pt idx="14">
                  <c:v>3/2007</c:v>
                </c:pt>
                <c:pt idx="15">
                  <c:v>4/2007</c:v>
                </c:pt>
                <c:pt idx="16">
                  <c:v>5/2007</c:v>
                </c:pt>
                <c:pt idx="17">
                  <c:v>6/2007</c:v>
                </c:pt>
                <c:pt idx="18">
                  <c:v>7/2007</c:v>
                </c:pt>
                <c:pt idx="19">
                  <c:v>8/2007</c:v>
                </c:pt>
                <c:pt idx="20">
                  <c:v>9/2007</c:v>
                </c:pt>
                <c:pt idx="21">
                  <c:v>10/2007</c:v>
                </c:pt>
                <c:pt idx="22">
                  <c:v>11/2007</c:v>
                </c:pt>
                <c:pt idx="23">
                  <c:v>12/2007</c:v>
                </c:pt>
                <c:pt idx="24">
                  <c:v>1/2008</c:v>
                </c:pt>
                <c:pt idx="25">
                  <c:v>2/2008</c:v>
                </c:pt>
                <c:pt idx="26">
                  <c:v>3/2008</c:v>
                </c:pt>
                <c:pt idx="27">
                  <c:v>4/2008</c:v>
                </c:pt>
                <c:pt idx="28">
                  <c:v>5/2008</c:v>
                </c:pt>
                <c:pt idx="29">
                  <c:v>6/2008</c:v>
                </c:pt>
                <c:pt idx="30">
                  <c:v>7/2008</c:v>
                </c:pt>
                <c:pt idx="31">
                  <c:v>8/2008</c:v>
                </c:pt>
                <c:pt idx="32">
                  <c:v>9/2008</c:v>
                </c:pt>
                <c:pt idx="33">
                  <c:v>10/2008</c:v>
                </c:pt>
                <c:pt idx="34">
                  <c:v>11/2008</c:v>
                </c:pt>
                <c:pt idx="35">
                  <c:v>12/2008</c:v>
                </c:pt>
                <c:pt idx="36">
                  <c:v>1/2009</c:v>
                </c:pt>
                <c:pt idx="37">
                  <c:v>2/2009</c:v>
                </c:pt>
                <c:pt idx="38">
                  <c:v>3/2009</c:v>
                </c:pt>
                <c:pt idx="39">
                  <c:v>4/2009</c:v>
                </c:pt>
                <c:pt idx="40">
                  <c:v>5/2009</c:v>
                </c:pt>
                <c:pt idx="41">
                  <c:v>6/2009</c:v>
                </c:pt>
                <c:pt idx="42">
                  <c:v>7/2009</c:v>
                </c:pt>
                <c:pt idx="43">
                  <c:v>8/2009</c:v>
                </c:pt>
                <c:pt idx="44">
                  <c:v>9/2009</c:v>
                </c:pt>
                <c:pt idx="45">
                  <c:v>10/2009</c:v>
                </c:pt>
                <c:pt idx="46">
                  <c:v>11/2009</c:v>
                </c:pt>
                <c:pt idx="47">
                  <c:v>12/2009</c:v>
                </c:pt>
                <c:pt idx="48">
                  <c:v>1-12/2009</c:v>
                </c:pt>
              </c:strCache>
            </c:strRef>
          </c:cat>
          <c:val>
            <c:numRef>
              <c:f>List1!$G$2:$G$50</c:f>
              <c:numCache>
                <c:formatCode>0.0</c:formatCode>
                <c:ptCount val="49"/>
                <c:pt idx="0">
                  <c:v>102.65624798925977</c:v>
                </c:pt>
                <c:pt idx="1">
                  <c:v>101.41474729483693</c:v>
                </c:pt>
                <c:pt idx="2">
                  <c:v>109.55836168578438</c:v>
                </c:pt>
                <c:pt idx="3">
                  <c:v>111.01691994888093</c:v>
                </c:pt>
                <c:pt idx="4">
                  <c:v>104.84343182816345</c:v>
                </c:pt>
                <c:pt idx="5">
                  <c:v>101.05783923992924</c:v>
                </c:pt>
                <c:pt idx="6">
                  <c:v>104.36113834618283</c:v>
                </c:pt>
                <c:pt idx="7">
                  <c:v>98.424314193418951</c:v>
                </c:pt>
                <c:pt idx="8">
                  <c:v>104.4198954902014</c:v>
                </c:pt>
                <c:pt idx="9">
                  <c:v>113.93768532574383</c:v>
                </c:pt>
                <c:pt idx="10">
                  <c:v>103.66206965104602</c:v>
                </c:pt>
                <c:pt idx="11">
                  <c:v>107.8272828736409</c:v>
                </c:pt>
                <c:pt idx="12">
                  <c:v>118.27674017439794</c:v>
                </c:pt>
                <c:pt idx="13">
                  <c:v>107.45868554536999</c:v>
                </c:pt>
                <c:pt idx="14">
                  <c:v>110.63685547020042</c:v>
                </c:pt>
                <c:pt idx="15">
                  <c:v>108.00404185022875</c:v>
                </c:pt>
                <c:pt idx="16">
                  <c:v>112.08142620781052</c:v>
                </c:pt>
                <c:pt idx="17">
                  <c:v>98.789220744731793</c:v>
                </c:pt>
                <c:pt idx="18">
                  <c:v>115.59045243032404</c:v>
                </c:pt>
                <c:pt idx="19">
                  <c:v>108.40040711787788</c:v>
                </c:pt>
                <c:pt idx="20">
                  <c:v>113.55238642018863</c:v>
                </c:pt>
                <c:pt idx="21">
                  <c:v>118.05557627775207</c:v>
                </c:pt>
                <c:pt idx="22">
                  <c:v>109.81505117731554</c:v>
                </c:pt>
                <c:pt idx="23">
                  <c:v>110.23533980130513</c:v>
                </c:pt>
                <c:pt idx="24">
                  <c:v>90.975865622830057</c:v>
                </c:pt>
                <c:pt idx="25">
                  <c:v>96.892641154995189</c:v>
                </c:pt>
                <c:pt idx="26">
                  <c:v>109.65583278619108</c:v>
                </c:pt>
                <c:pt idx="27">
                  <c:v>101.21187276228521</c:v>
                </c:pt>
                <c:pt idx="28">
                  <c:v>90.55123926094906</c:v>
                </c:pt>
                <c:pt idx="29">
                  <c:v>97.461903801769196</c:v>
                </c:pt>
                <c:pt idx="30">
                  <c:v>101.0753285471835</c:v>
                </c:pt>
                <c:pt idx="31">
                  <c:v>88.714457885781215</c:v>
                </c:pt>
                <c:pt idx="32">
                  <c:v>97.121762973093439</c:v>
                </c:pt>
                <c:pt idx="33">
                  <c:v>95.593595211948326</c:v>
                </c:pt>
                <c:pt idx="34">
                  <c:v>93.134840850307938</c:v>
                </c:pt>
                <c:pt idx="35">
                  <c:v>94.514652519119423</c:v>
                </c:pt>
                <c:pt idx="36">
                  <c:v>107.10686743523695</c:v>
                </c:pt>
                <c:pt idx="37">
                  <c:v>103.50474330542058</c:v>
                </c:pt>
                <c:pt idx="38">
                  <c:v>97.346535156219929</c:v>
                </c:pt>
                <c:pt idx="39">
                  <c:v>100.00942156932562</c:v>
                </c:pt>
                <c:pt idx="40">
                  <c:v>99.232615484011646</c:v>
                </c:pt>
                <c:pt idx="41">
                  <c:v>93.450890459658979</c:v>
                </c:pt>
                <c:pt idx="42">
                  <c:v>95.146606550994619</c:v>
                </c:pt>
                <c:pt idx="43">
                  <c:v>97.299535445286992</c:v>
                </c:pt>
                <c:pt idx="44">
                  <c:v>96.697668928155295</c:v>
                </c:pt>
                <c:pt idx="45">
                  <c:v>96.808637557208328</c:v>
                </c:pt>
                <c:pt idx="46">
                  <c:v>99.553460538503288</c:v>
                </c:pt>
                <c:pt idx="47">
                  <c:v>90.762379384192201</c:v>
                </c:pt>
                <c:pt idx="48">
                  <c:v>97.869896099713529</c:v>
                </c:pt>
              </c:numCache>
            </c:numRef>
          </c:val>
        </c:ser>
        <c:ser>
          <c:idx val="6"/>
          <c:order val="6"/>
          <c:tx>
            <c:strRef>
              <c:f>List1!$H$1</c:f>
              <c:strCache>
                <c:ptCount val="1"/>
                <c:pt idx="0">
                  <c:v>Administrativní a podpůrné činnosti</c:v>
                </c:pt>
              </c:strCache>
            </c:strRef>
          </c:tx>
          <c:marker>
            <c:symbol val="none"/>
          </c:marker>
          <c:cat>
            <c:strRef>
              <c:f>List1!$A$2:$A$50</c:f>
              <c:strCache>
                <c:ptCount val="49"/>
                <c:pt idx="0">
                  <c:v>1/2006</c:v>
                </c:pt>
                <c:pt idx="1">
                  <c:v>2/2006</c:v>
                </c:pt>
                <c:pt idx="2">
                  <c:v>3/2006</c:v>
                </c:pt>
                <c:pt idx="3">
                  <c:v>4/2006</c:v>
                </c:pt>
                <c:pt idx="4">
                  <c:v>5/2006</c:v>
                </c:pt>
                <c:pt idx="5">
                  <c:v>6/2006</c:v>
                </c:pt>
                <c:pt idx="6">
                  <c:v>7/2006</c:v>
                </c:pt>
                <c:pt idx="7">
                  <c:v>8/2006</c:v>
                </c:pt>
                <c:pt idx="8">
                  <c:v>9/2006</c:v>
                </c:pt>
                <c:pt idx="9">
                  <c:v>10/2006</c:v>
                </c:pt>
                <c:pt idx="10">
                  <c:v>11/2006</c:v>
                </c:pt>
                <c:pt idx="11">
                  <c:v>12/2006</c:v>
                </c:pt>
                <c:pt idx="12">
                  <c:v>1/2007</c:v>
                </c:pt>
                <c:pt idx="13">
                  <c:v>2/2007</c:v>
                </c:pt>
                <c:pt idx="14">
                  <c:v>3/2007</c:v>
                </c:pt>
                <c:pt idx="15">
                  <c:v>4/2007</c:v>
                </c:pt>
                <c:pt idx="16">
                  <c:v>5/2007</c:v>
                </c:pt>
                <c:pt idx="17">
                  <c:v>6/2007</c:v>
                </c:pt>
                <c:pt idx="18">
                  <c:v>7/2007</c:v>
                </c:pt>
                <c:pt idx="19">
                  <c:v>8/2007</c:v>
                </c:pt>
                <c:pt idx="20">
                  <c:v>9/2007</c:v>
                </c:pt>
                <c:pt idx="21">
                  <c:v>10/2007</c:v>
                </c:pt>
                <c:pt idx="22">
                  <c:v>11/2007</c:v>
                </c:pt>
                <c:pt idx="23">
                  <c:v>12/2007</c:v>
                </c:pt>
                <c:pt idx="24">
                  <c:v>1/2008</c:v>
                </c:pt>
                <c:pt idx="25">
                  <c:v>2/2008</c:v>
                </c:pt>
                <c:pt idx="26">
                  <c:v>3/2008</c:v>
                </c:pt>
                <c:pt idx="27">
                  <c:v>4/2008</c:v>
                </c:pt>
                <c:pt idx="28">
                  <c:v>5/2008</c:v>
                </c:pt>
                <c:pt idx="29">
                  <c:v>6/2008</c:v>
                </c:pt>
                <c:pt idx="30">
                  <c:v>7/2008</c:v>
                </c:pt>
                <c:pt idx="31">
                  <c:v>8/2008</c:v>
                </c:pt>
                <c:pt idx="32">
                  <c:v>9/2008</c:v>
                </c:pt>
                <c:pt idx="33">
                  <c:v>10/2008</c:v>
                </c:pt>
                <c:pt idx="34">
                  <c:v>11/2008</c:v>
                </c:pt>
                <c:pt idx="35">
                  <c:v>12/2008</c:v>
                </c:pt>
                <c:pt idx="36">
                  <c:v>1/2009</c:v>
                </c:pt>
                <c:pt idx="37">
                  <c:v>2/2009</c:v>
                </c:pt>
                <c:pt idx="38">
                  <c:v>3/2009</c:v>
                </c:pt>
                <c:pt idx="39">
                  <c:v>4/2009</c:v>
                </c:pt>
                <c:pt idx="40">
                  <c:v>5/2009</c:v>
                </c:pt>
                <c:pt idx="41">
                  <c:v>6/2009</c:v>
                </c:pt>
                <c:pt idx="42">
                  <c:v>7/2009</c:v>
                </c:pt>
                <c:pt idx="43">
                  <c:v>8/2009</c:v>
                </c:pt>
                <c:pt idx="44">
                  <c:v>9/2009</c:v>
                </c:pt>
                <c:pt idx="45">
                  <c:v>10/2009</c:v>
                </c:pt>
                <c:pt idx="46">
                  <c:v>11/2009</c:v>
                </c:pt>
                <c:pt idx="47">
                  <c:v>12/2009</c:v>
                </c:pt>
                <c:pt idx="48">
                  <c:v>1-12/2009</c:v>
                </c:pt>
              </c:strCache>
            </c:strRef>
          </c:cat>
          <c:val>
            <c:numRef>
              <c:f>List1!$H$2:$H$50</c:f>
              <c:numCache>
                <c:formatCode>0.0</c:formatCode>
                <c:ptCount val="49"/>
                <c:pt idx="0">
                  <c:v>110.52773484276786</c:v>
                </c:pt>
                <c:pt idx="1">
                  <c:v>109.82010015939404</c:v>
                </c:pt>
                <c:pt idx="2">
                  <c:v>113.03865544888426</c:v>
                </c:pt>
                <c:pt idx="3">
                  <c:v>103.8922442563639</c:v>
                </c:pt>
                <c:pt idx="4">
                  <c:v>105.18267934571458</c:v>
                </c:pt>
                <c:pt idx="5">
                  <c:v>107.08136245635635</c:v>
                </c:pt>
                <c:pt idx="6">
                  <c:v>106.88460723137362</c:v>
                </c:pt>
                <c:pt idx="7">
                  <c:v>107.88434536451726</c:v>
                </c:pt>
                <c:pt idx="8">
                  <c:v>110.64911640628397</c:v>
                </c:pt>
                <c:pt idx="9">
                  <c:v>106.92805994117982</c:v>
                </c:pt>
                <c:pt idx="10">
                  <c:v>111.86596750492771</c:v>
                </c:pt>
                <c:pt idx="11">
                  <c:v>111.18438661119396</c:v>
                </c:pt>
                <c:pt idx="12">
                  <c:v>114.48177195622586</c:v>
                </c:pt>
                <c:pt idx="13">
                  <c:v>121.15300314441365</c:v>
                </c:pt>
                <c:pt idx="14">
                  <c:v>113.22577681579531</c:v>
                </c:pt>
                <c:pt idx="15">
                  <c:v>118.68644780141946</c:v>
                </c:pt>
                <c:pt idx="16">
                  <c:v>113.99950369512423</c:v>
                </c:pt>
                <c:pt idx="17">
                  <c:v>115.12338436027747</c:v>
                </c:pt>
                <c:pt idx="18">
                  <c:v>120.2904522211462</c:v>
                </c:pt>
                <c:pt idx="19">
                  <c:v>118.08642352590932</c:v>
                </c:pt>
                <c:pt idx="20">
                  <c:v>113.65451447492596</c:v>
                </c:pt>
                <c:pt idx="21">
                  <c:v>121.7623559504858</c:v>
                </c:pt>
                <c:pt idx="22">
                  <c:v>116.38685297751333</c:v>
                </c:pt>
                <c:pt idx="23">
                  <c:v>116.8527423635701</c:v>
                </c:pt>
                <c:pt idx="24">
                  <c:v>111.39978556614567</c:v>
                </c:pt>
                <c:pt idx="25">
                  <c:v>114.65938516976755</c:v>
                </c:pt>
                <c:pt idx="26">
                  <c:v>102.39606446489672</c:v>
                </c:pt>
                <c:pt idx="27">
                  <c:v>109.12016281929245</c:v>
                </c:pt>
                <c:pt idx="28">
                  <c:v>101.25106128777882</c:v>
                </c:pt>
                <c:pt idx="29">
                  <c:v>102.8868070159557</c:v>
                </c:pt>
                <c:pt idx="30">
                  <c:v>102.3546973175885</c:v>
                </c:pt>
                <c:pt idx="31">
                  <c:v>101.13107278392235</c:v>
                </c:pt>
                <c:pt idx="32">
                  <c:v>103.81872628809776</c:v>
                </c:pt>
                <c:pt idx="33">
                  <c:v>90.123821747479553</c:v>
                </c:pt>
                <c:pt idx="34">
                  <c:v>91.987857164064181</c:v>
                </c:pt>
                <c:pt idx="35">
                  <c:v>91.921166069874559</c:v>
                </c:pt>
                <c:pt idx="36">
                  <c:v>88.663165925139864</c:v>
                </c:pt>
                <c:pt idx="37">
                  <c:v>87.765693226865096</c:v>
                </c:pt>
                <c:pt idx="38">
                  <c:v>89.657926203500352</c:v>
                </c:pt>
                <c:pt idx="39">
                  <c:v>84.613036290849479</c:v>
                </c:pt>
                <c:pt idx="40">
                  <c:v>83.307790503683279</c:v>
                </c:pt>
                <c:pt idx="41">
                  <c:v>86.672851663002859</c:v>
                </c:pt>
                <c:pt idx="42">
                  <c:v>86.164590623126671</c:v>
                </c:pt>
                <c:pt idx="43">
                  <c:v>86.281843553697783</c:v>
                </c:pt>
                <c:pt idx="44">
                  <c:v>83.409317742145021</c:v>
                </c:pt>
                <c:pt idx="45">
                  <c:v>87.360905961718927</c:v>
                </c:pt>
                <c:pt idx="46">
                  <c:v>86.394214517062764</c:v>
                </c:pt>
                <c:pt idx="47">
                  <c:v>91.020185745269856</c:v>
                </c:pt>
                <c:pt idx="48">
                  <c:v>86.662657392165556</c:v>
                </c:pt>
              </c:numCache>
            </c:numRef>
          </c:val>
        </c:ser>
        <c:marker val="1"/>
        <c:axId val="123460992"/>
        <c:axId val="123459456"/>
      </c:lineChart>
      <c:catAx>
        <c:axId val="123398784"/>
        <c:scaling>
          <c:orientation val="minMax"/>
        </c:scaling>
        <c:axPos val="b"/>
        <c:tickLblPos val="nextTo"/>
        <c:txPr>
          <a:bodyPr/>
          <a:lstStyle/>
          <a:p>
            <a:pPr>
              <a:defRPr>
                <a:latin typeface="Times New Roman" pitchFamily="18" charset="0"/>
                <a:cs typeface="Times New Roman" pitchFamily="18" charset="0"/>
              </a:defRPr>
            </a:pPr>
            <a:endParaRPr lang="cs-CZ"/>
          </a:p>
        </c:txPr>
        <c:crossAx val="123457920"/>
        <c:crosses val="autoZero"/>
        <c:auto val="1"/>
        <c:lblAlgn val="ctr"/>
        <c:lblOffset val="100"/>
      </c:catAx>
      <c:valAx>
        <c:axId val="123457920"/>
        <c:scaling>
          <c:orientation val="minMax"/>
        </c:scaling>
        <c:axPos val="l"/>
        <c:majorGridlines/>
        <c:numFmt formatCode="General" sourceLinked="1"/>
        <c:tickLblPos val="nextTo"/>
        <c:txPr>
          <a:bodyPr/>
          <a:lstStyle/>
          <a:p>
            <a:pPr>
              <a:defRPr>
                <a:latin typeface="Times New Roman" pitchFamily="18" charset="0"/>
                <a:cs typeface="Times New Roman" pitchFamily="18" charset="0"/>
              </a:defRPr>
            </a:pPr>
            <a:endParaRPr lang="cs-CZ"/>
          </a:p>
        </c:txPr>
        <c:crossAx val="123398784"/>
        <c:crosses val="autoZero"/>
        <c:crossBetween val="between"/>
      </c:valAx>
      <c:valAx>
        <c:axId val="123459456"/>
        <c:scaling>
          <c:orientation val="minMax"/>
        </c:scaling>
        <c:delete val="1"/>
        <c:axPos val="r"/>
        <c:numFmt formatCode="0.0" sourceLinked="1"/>
        <c:tickLblPos val="none"/>
        <c:crossAx val="123460992"/>
        <c:crosses val="max"/>
        <c:crossBetween val="between"/>
      </c:valAx>
      <c:catAx>
        <c:axId val="123460992"/>
        <c:scaling>
          <c:orientation val="minMax"/>
        </c:scaling>
        <c:delete val="1"/>
        <c:axPos val="b"/>
        <c:tickLblPos val="none"/>
        <c:crossAx val="123459456"/>
        <c:crosses val="autoZero"/>
        <c:auto val="1"/>
        <c:lblAlgn val="ctr"/>
        <c:lblOffset val="100"/>
      </c:catAx>
    </c:plotArea>
    <c:legend>
      <c:legendPos val="r"/>
      <c:txPr>
        <a:bodyPr/>
        <a:lstStyle/>
        <a:p>
          <a:pPr>
            <a:defRPr>
              <a:latin typeface="Times New Roman" pitchFamily="18" charset="0"/>
              <a:cs typeface="Times New Roman" pitchFamily="18" charset="0"/>
            </a:defRPr>
          </a:pPr>
          <a:endParaRPr lang="cs-CZ"/>
        </a:p>
      </c:txPr>
    </c:legend>
    <c:plotVisOnly val="1"/>
  </c:chart>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cs-CZ"/>
  <c:style val="20"/>
  <c:chart>
    <c:autoTitleDeleted val="1"/>
    <c:view3D>
      <c:rAngAx val="1"/>
    </c:view3D>
    <c:plotArea>
      <c:layout/>
      <c:bar3DChart>
        <c:barDir val="col"/>
        <c:grouping val="clustered"/>
        <c:ser>
          <c:idx val="0"/>
          <c:order val="0"/>
          <c:tx>
            <c:strRef>
              <c:f>Sheet1!$B$1</c:f>
              <c:strCache>
                <c:ptCount val="1"/>
                <c:pt idx="0">
                  <c:v>HDP</c:v>
                </c:pt>
              </c:strCache>
            </c:strRef>
          </c:tx>
          <c:dLbls>
            <c:showVal val="1"/>
          </c:dLbls>
          <c:cat>
            <c:numRef>
              <c:f>Sheet1!$A$2:$A$12</c:f>
              <c:numCache>
                <c:formatCode>General</c:formatCode>
                <c:ptCount val="11"/>
                <c:pt idx="0">
                  <c:v>2000</c:v>
                </c:pt>
                <c:pt idx="1">
                  <c:v>2001</c:v>
                </c:pt>
                <c:pt idx="2">
                  <c:v>2002</c:v>
                </c:pt>
                <c:pt idx="3">
                  <c:v>2003</c:v>
                </c:pt>
                <c:pt idx="4">
                  <c:v>2004</c:v>
                </c:pt>
                <c:pt idx="5">
                  <c:v>2005</c:v>
                </c:pt>
                <c:pt idx="6">
                  <c:v>2006</c:v>
                </c:pt>
                <c:pt idx="7">
                  <c:v>2007</c:v>
                </c:pt>
                <c:pt idx="8">
                  <c:v>2008</c:v>
                </c:pt>
                <c:pt idx="9">
                  <c:v>2009</c:v>
                </c:pt>
                <c:pt idx="10">
                  <c:v>2010</c:v>
                </c:pt>
              </c:numCache>
            </c:numRef>
          </c:cat>
          <c:val>
            <c:numRef>
              <c:f>Sheet1!$B$2:$B$12</c:f>
              <c:numCache>
                <c:formatCode>0.0</c:formatCode>
                <c:ptCount val="11"/>
                <c:pt idx="0">
                  <c:v>3.6</c:v>
                </c:pt>
                <c:pt idx="1">
                  <c:v>2.5</c:v>
                </c:pt>
                <c:pt idx="2">
                  <c:v>1.9000000000000001</c:v>
                </c:pt>
                <c:pt idx="3" formatCode="General">
                  <c:v>3.6</c:v>
                </c:pt>
                <c:pt idx="4">
                  <c:v>4.5</c:v>
                </c:pt>
                <c:pt idx="5">
                  <c:v>6.3</c:v>
                </c:pt>
                <c:pt idx="6" formatCode="General">
                  <c:v>6.8</c:v>
                </c:pt>
                <c:pt idx="7">
                  <c:v>6.1</c:v>
                </c:pt>
                <c:pt idx="8">
                  <c:v>2.5</c:v>
                </c:pt>
                <c:pt idx="9" formatCode="General">
                  <c:v>-4.0999999999999996</c:v>
                </c:pt>
                <c:pt idx="10" formatCode="General">
                  <c:v>1</c:v>
                </c:pt>
              </c:numCache>
            </c:numRef>
          </c:val>
        </c:ser>
        <c:shape val="box"/>
        <c:axId val="123472128"/>
        <c:axId val="123473920"/>
        <c:axId val="0"/>
      </c:bar3DChart>
      <c:catAx>
        <c:axId val="123472128"/>
        <c:scaling>
          <c:orientation val="minMax"/>
        </c:scaling>
        <c:axPos val="b"/>
        <c:numFmt formatCode="General" sourceLinked="1"/>
        <c:majorTickMark val="none"/>
        <c:tickLblPos val="nextTo"/>
        <c:crossAx val="123473920"/>
        <c:crosses val="autoZero"/>
        <c:auto val="1"/>
        <c:lblAlgn val="ctr"/>
        <c:lblOffset val="100"/>
      </c:catAx>
      <c:valAx>
        <c:axId val="123473920"/>
        <c:scaling>
          <c:orientation val="minMax"/>
        </c:scaling>
        <c:axPos val="l"/>
        <c:majorGridlines/>
        <c:numFmt formatCode="0.0" sourceLinked="1"/>
        <c:majorTickMark val="none"/>
        <c:tickLblPos val="nextTo"/>
        <c:crossAx val="123472128"/>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cs-CZ"/>
  <c:style val="11"/>
  <c:chart>
    <c:autoTitleDeleted val="1"/>
    <c:plotArea>
      <c:layout>
        <c:manualLayout>
          <c:layoutTarget val="inner"/>
          <c:xMode val="edge"/>
          <c:yMode val="edge"/>
          <c:x val="0.13212964810333661"/>
          <c:y val="5.7652982056489034E-2"/>
          <c:w val="0.67551510577098717"/>
          <c:h val="0.73136496986751287"/>
        </c:manualLayout>
      </c:layout>
      <c:scatterChart>
        <c:scatterStyle val="smoothMarker"/>
        <c:ser>
          <c:idx val="0"/>
          <c:order val="0"/>
          <c:spPr>
            <a:ln>
              <a:solidFill>
                <a:srgbClr val="99CC33"/>
              </a:solidFill>
            </a:ln>
          </c:spPr>
          <c:marker>
            <c:symbol val="none"/>
          </c:marker>
          <c:yVal>
            <c:numRef>
              <c:f>List3!$E$8:$E$16</c:f>
              <c:numCache>
                <c:formatCode>General</c:formatCode>
                <c:ptCount val="9"/>
                <c:pt idx="0">
                  <c:v>0</c:v>
                </c:pt>
                <c:pt idx="1">
                  <c:v>9</c:v>
                </c:pt>
                <c:pt idx="2">
                  <c:v>15</c:v>
                </c:pt>
                <c:pt idx="3">
                  <c:v>17</c:v>
                </c:pt>
                <c:pt idx="4">
                  <c:v>17.7</c:v>
                </c:pt>
                <c:pt idx="5">
                  <c:v>17</c:v>
                </c:pt>
                <c:pt idx="6">
                  <c:v>15</c:v>
                </c:pt>
                <c:pt idx="7">
                  <c:v>9</c:v>
                </c:pt>
                <c:pt idx="8">
                  <c:v>0</c:v>
                </c:pt>
              </c:numCache>
            </c:numRef>
          </c:yVal>
          <c:smooth val="1"/>
        </c:ser>
        <c:axId val="67417984"/>
        <c:axId val="67558016"/>
      </c:scatterChart>
      <c:valAx>
        <c:axId val="67417984"/>
        <c:scaling>
          <c:orientation val="minMax"/>
        </c:scaling>
        <c:delete val="1"/>
        <c:axPos val="b"/>
        <c:title>
          <c:tx>
            <c:rich>
              <a:bodyPr/>
              <a:lstStyle/>
              <a:p>
                <a:pPr>
                  <a:defRPr>
                    <a:latin typeface="Times New Roman" pitchFamily="18" charset="0"/>
                    <a:cs typeface="Times New Roman" pitchFamily="18" charset="0"/>
                  </a:defRPr>
                </a:pPr>
                <a:r>
                  <a:rPr lang="en-US" b="0">
                    <a:latin typeface="Times New Roman" pitchFamily="18" charset="0"/>
                    <a:cs typeface="Times New Roman" pitchFamily="18" charset="0"/>
                  </a:rPr>
                  <a:t>100</a:t>
                </a:r>
              </a:p>
            </c:rich>
          </c:tx>
          <c:layout>
            <c:manualLayout>
              <c:xMode val="edge"/>
              <c:yMode val="edge"/>
              <c:x val="0.70789733767746299"/>
              <c:y val="0.80831686025361349"/>
            </c:manualLayout>
          </c:layout>
        </c:title>
        <c:majorTickMark val="none"/>
        <c:tickLblPos val="none"/>
        <c:crossAx val="67558016"/>
        <c:crosses val="autoZero"/>
        <c:crossBetween val="midCat"/>
      </c:valAx>
      <c:valAx>
        <c:axId val="67558016"/>
        <c:scaling>
          <c:orientation val="minMax"/>
        </c:scaling>
        <c:delete val="1"/>
        <c:axPos val="l"/>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 </a:t>
                </a:r>
              </a:p>
            </c:rich>
          </c:tx>
          <c:layout>
            <c:manualLayout>
              <c:xMode val="edge"/>
              <c:yMode val="edge"/>
              <c:x val="8.7999310868491928E-2"/>
              <c:y val="0.38770861189521777"/>
            </c:manualLayout>
          </c:layout>
        </c:title>
        <c:numFmt formatCode="General" sourceLinked="1"/>
        <c:majorTickMark val="none"/>
        <c:tickLblPos val="none"/>
        <c:crossAx val="67417984"/>
        <c:crosses val="autoZero"/>
        <c:crossBetween val="midCat"/>
      </c:valAx>
    </c:plotArea>
    <c:plotVisOnly val="1"/>
    <c:dispBlanksAs val="gap"/>
  </c:chart>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cs-CZ"/>
  <c:style val="4"/>
  <c:chart>
    <c:autoTitleDeleted val="1"/>
    <c:view3D>
      <c:rAngAx val="1"/>
    </c:view3D>
    <c:plotArea>
      <c:layout/>
      <c:bar3DChart>
        <c:barDir val="col"/>
        <c:grouping val="clustered"/>
        <c:ser>
          <c:idx val="0"/>
          <c:order val="0"/>
          <c:tx>
            <c:strRef>
              <c:f>List1!$B$1</c:f>
              <c:strCache>
                <c:ptCount val="1"/>
                <c:pt idx="0">
                  <c:v>HDP USA (%)</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a:latin typeface="Times New Roman" pitchFamily="18" charset="0"/>
                    <a:cs typeface="Times New Roman" pitchFamily="18" charset="0"/>
                  </a:defRPr>
                </a:pPr>
                <a:endParaRPr lang="cs-CZ"/>
              </a:p>
            </c:txPr>
            <c:showVal val="1"/>
          </c:dLbls>
          <c:cat>
            <c:numRef>
              <c:f>List1!$A$2:$A$10</c:f>
              <c:numCache>
                <c:formatCode>General</c:formatCode>
                <c:ptCount val="9"/>
                <c:pt idx="0">
                  <c:v>1996</c:v>
                </c:pt>
                <c:pt idx="1">
                  <c:v>1997</c:v>
                </c:pt>
                <c:pt idx="2">
                  <c:v>1998</c:v>
                </c:pt>
                <c:pt idx="3">
                  <c:v>1999</c:v>
                </c:pt>
                <c:pt idx="4">
                  <c:v>2000</c:v>
                </c:pt>
                <c:pt idx="5">
                  <c:v>2001</c:v>
                </c:pt>
                <c:pt idx="6">
                  <c:v>2002</c:v>
                </c:pt>
                <c:pt idx="7">
                  <c:v>2003</c:v>
                </c:pt>
                <c:pt idx="8">
                  <c:v>2004</c:v>
                </c:pt>
              </c:numCache>
            </c:numRef>
          </c:cat>
          <c:val>
            <c:numRef>
              <c:f>List1!$B$2:$B$10</c:f>
              <c:numCache>
                <c:formatCode>General</c:formatCode>
                <c:ptCount val="9"/>
                <c:pt idx="0">
                  <c:v>3.7</c:v>
                </c:pt>
                <c:pt idx="1">
                  <c:v>4.5</c:v>
                </c:pt>
                <c:pt idx="2">
                  <c:v>4.2</c:v>
                </c:pt>
                <c:pt idx="3">
                  <c:v>4.4000000000000004</c:v>
                </c:pt>
                <c:pt idx="4">
                  <c:v>3.7</c:v>
                </c:pt>
                <c:pt idx="5">
                  <c:v>0.8</c:v>
                </c:pt>
                <c:pt idx="6">
                  <c:v>1.6</c:v>
                </c:pt>
                <c:pt idx="7">
                  <c:v>2.5</c:v>
                </c:pt>
                <c:pt idx="8">
                  <c:v>3.6</c:v>
                </c:pt>
              </c:numCache>
            </c:numRef>
          </c:val>
        </c:ser>
        <c:gapWidth val="75"/>
        <c:shape val="box"/>
        <c:axId val="118468608"/>
        <c:axId val="118470144"/>
        <c:axId val="0"/>
      </c:bar3DChart>
      <c:catAx>
        <c:axId val="118468608"/>
        <c:scaling>
          <c:orientation val="minMax"/>
        </c:scaling>
        <c:axPos val="b"/>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18470144"/>
        <c:crosses val="autoZero"/>
        <c:auto val="1"/>
        <c:lblAlgn val="ctr"/>
        <c:lblOffset val="100"/>
      </c:catAx>
      <c:valAx>
        <c:axId val="118470144"/>
        <c:scaling>
          <c:orientation val="minMax"/>
        </c:scaling>
        <c:axPos val="l"/>
        <c:majorGridlines>
          <c:spPr>
            <a:ln>
              <a:solidFill>
                <a:srgbClr val="002776"/>
              </a:solidFill>
            </a:ln>
          </c:spPr>
        </c:majorGridlines>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18468608"/>
        <c:crosses val="autoZero"/>
        <c:crossBetween val="between"/>
      </c:valAx>
    </c:plotArea>
    <c:legend>
      <c:legendPos val="b"/>
      <c:txPr>
        <a:bodyPr/>
        <a:lstStyle/>
        <a:p>
          <a:pPr>
            <a:defRPr>
              <a:latin typeface="Times New Roman" pitchFamily="18" charset="0"/>
              <a:cs typeface="Times New Roman" pitchFamily="18" charset="0"/>
            </a:defRPr>
          </a:pPr>
          <a:endParaRPr lang="cs-CZ"/>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cs-CZ"/>
  <c:style val="4"/>
  <c:chart>
    <c:autoTitleDeleted val="1"/>
    <c:view3D>
      <c:rAngAx val="1"/>
    </c:view3D>
    <c:plotArea>
      <c:layout/>
      <c:bar3DChart>
        <c:barDir val="col"/>
        <c:grouping val="clustered"/>
        <c:ser>
          <c:idx val="0"/>
          <c:order val="0"/>
          <c:tx>
            <c:strRef>
              <c:f>List1!$B$1</c:f>
              <c:strCache>
                <c:ptCount val="1"/>
                <c:pt idx="0">
                  <c:v>Míra nezaměstnanosti (%)</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a:latin typeface="Times New Roman" pitchFamily="18" charset="0"/>
                    <a:cs typeface="Times New Roman" pitchFamily="18" charset="0"/>
                  </a:defRPr>
                </a:pPr>
                <a:endParaRPr lang="cs-CZ"/>
              </a:p>
            </c:txPr>
            <c:showVal val="1"/>
          </c:dLbls>
          <c:cat>
            <c:numRef>
              <c:f>List1!$A$2:$A$10</c:f>
              <c:numCache>
                <c:formatCode>General</c:formatCode>
                <c:ptCount val="9"/>
                <c:pt idx="0">
                  <c:v>1996</c:v>
                </c:pt>
                <c:pt idx="1">
                  <c:v>1997</c:v>
                </c:pt>
                <c:pt idx="2">
                  <c:v>1998</c:v>
                </c:pt>
                <c:pt idx="3">
                  <c:v>1999</c:v>
                </c:pt>
                <c:pt idx="4">
                  <c:v>2000</c:v>
                </c:pt>
                <c:pt idx="5">
                  <c:v>2001</c:v>
                </c:pt>
                <c:pt idx="6">
                  <c:v>2002</c:v>
                </c:pt>
                <c:pt idx="7">
                  <c:v>2003</c:v>
                </c:pt>
                <c:pt idx="8">
                  <c:v>2004</c:v>
                </c:pt>
              </c:numCache>
            </c:numRef>
          </c:cat>
          <c:val>
            <c:numRef>
              <c:f>List1!$B$2:$B$10</c:f>
              <c:numCache>
                <c:formatCode>General</c:formatCode>
                <c:ptCount val="9"/>
                <c:pt idx="0">
                  <c:v>5.4</c:v>
                </c:pt>
                <c:pt idx="1">
                  <c:v>4.7</c:v>
                </c:pt>
                <c:pt idx="2">
                  <c:v>4.4000000000000004</c:v>
                </c:pt>
                <c:pt idx="3">
                  <c:v>4</c:v>
                </c:pt>
                <c:pt idx="4">
                  <c:v>3.9</c:v>
                </c:pt>
                <c:pt idx="5">
                  <c:v>5.7</c:v>
                </c:pt>
                <c:pt idx="6">
                  <c:v>6</c:v>
                </c:pt>
                <c:pt idx="7">
                  <c:v>5.7</c:v>
                </c:pt>
                <c:pt idx="8">
                  <c:v>5.4</c:v>
                </c:pt>
              </c:numCache>
            </c:numRef>
          </c:val>
        </c:ser>
        <c:gapWidth val="75"/>
        <c:shape val="box"/>
        <c:axId val="118580736"/>
        <c:axId val="118582272"/>
        <c:axId val="0"/>
      </c:bar3DChart>
      <c:catAx>
        <c:axId val="118580736"/>
        <c:scaling>
          <c:orientation val="minMax"/>
        </c:scaling>
        <c:axPos val="b"/>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18582272"/>
        <c:crosses val="autoZero"/>
        <c:auto val="1"/>
        <c:lblAlgn val="ctr"/>
        <c:lblOffset val="100"/>
      </c:catAx>
      <c:valAx>
        <c:axId val="118582272"/>
        <c:scaling>
          <c:orientation val="minMax"/>
        </c:scaling>
        <c:axPos val="l"/>
        <c:majorGridlines>
          <c:spPr>
            <a:ln>
              <a:solidFill>
                <a:srgbClr val="002776"/>
              </a:solidFill>
            </a:ln>
          </c:spPr>
        </c:majorGridlines>
        <c:numFmt formatCode="General" sourceLinked="1"/>
        <c:majorTickMark val="none"/>
        <c:tickLblPos val="nextTo"/>
        <c:spPr>
          <a:ln w="9525">
            <a:noFill/>
          </a:ln>
        </c:spPr>
        <c:txPr>
          <a:bodyPr/>
          <a:lstStyle/>
          <a:p>
            <a:pPr>
              <a:defRPr>
                <a:latin typeface="Times New Roman" pitchFamily="18" charset="0"/>
                <a:cs typeface="Times New Roman" pitchFamily="18" charset="0"/>
              </a:defRPr>
            </a:pPr>
            <a:endParaRPr lang="cs-CZ"/>
          </a:p>
        </c:txPr>
        <c:crossAx val="118580736"/>
        <c:crosses val="autoZero"/>
        <c:crossBetween val="between"/>
      </c:valAx>
    </c:plotArea>
    <c:legend>
      <c:legendPos val="b"/>
      <c:txPr>
        <a:bodyPr/>
        <a:lstStyle/>
        <a:p>
          <a:pPr>
            <a:defRPr>
              <a:latin typeface="Times New Roman" pitchFamily="18" charset="0"/>
              <a:cs typeface="Times New Roman" pitchFamily="18" charset="0"/>
            </a:defRPr>
          </a:pPr>
          <a:endParaRPr lang="cs-CZ"/>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cs-CZ"/>
  <c:style val="4"/>
  <c:chart>
    <c:autoTitleDeleted val="1"/>
    <c:view3D>
      <c:rAngAx val="1"/>
    </c:view3D>
    <c:plotArea>
      <c:layout/>
      <c:bar3DChart>
        <c:barDir val="col"/>
        <c:grouping val="clustered"/>
        <c:ser>
          <c:idx val="0"/>
          <c:order val="0"/>
          <c:tx>
            <c:strRef>
              <c:f>List1!$B$1</c:f>
              <c:strCache>
                <c:ptCount val="1"/>
                <c:pt idx="0">
                  <c:v>mld. USD</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a:latin typeface="Times New Roman" pitchFamily="18" charset="0"/>
                    <a:cs typeface="Times New Roman" pitchFamily="18" charset="0"/>
                  </a:defRPr>
                </a:pPr>
                <a:endParaRPr lang="cs-CZ"/>
              </a:p>
            </c:txPr>
            <c:showVal val="1"/>
          </c:dLbls>
          <c:cat>
            <c:numRef>
              <c:f>List1!$A$2:$A$14</c:f>
              <c:numCache>
                <c:formatCode>General</c:formatCode>
                <c:ptCount val="13"/>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numCache>
            </c:numRef>
          </c:cat>
          <c:val>
            <c:numRef>
              <c:f>List1!$B$2:$B$14</c:f>
              <c:numCache>
                <c:formatCode>General</c:formatCode>
                <c:ptCount val="13"/>
                <c:pt idx="0">
                  <c:v>-170</c:v>
                </c:pt>
                <c:pt idx="1">
                  <c:v>-181</c:v>
                </c:pt>
                <c:pt idx="2">
                  <c:v>-230</c:v>
                </c:pt>
                <c:pt idx="3">
                  <c:v>-329</c:v>
                </c:pt>
                <c:pt idx="4">
                  <c:v>-436</c:v>
                </c:pt>
                <c:pt idx="5">
                  <c:v>-412</c:v>
                </c:pt>
                <c:pt idx="6">
                  <c:v>-468</c:v>
                </c:pt>
                <c:pt idx="7">
                  <c:v>-532</c:v>
                </c:pt>
                <c:pt idx="8">
                  <c:v>-651</c:v>
                </c:pt>
                <c:pt idx="9">
                  <c:v>-767</c:v>
                </c:pt>
                <c:pt idx="10">
                  <c:v>-817</c:v>
                </c:pt>
                <c:pt idx="11">
                  <c:v>-794</c:v>
                </c:pt>
                <c:pt idx="12">
                  <c:v>-800</c:v>
                </c:pt>
              </c:numCache>
            </c:numRef>
          </c:val>
        </c:ser>
        <c:gapWidth val="75"/>
        <c:shape val="box"/>
        <c:axId val="118602752"/>
        <c:axId val="118608640"/>
        <c:axId val="0"/>
      </c:bar3DChart>
      <c:dateAx>
        <c:axId val="118602752"/>
        <c:scaling>
          <c:orientation val="minMax"/>
        </c:scaling>
        <c:axPos val="b"/>
        <c:numFmt formatCode="General" sourceLinked="1"/>
        <c:majorTickMark val="none"/>
        <c:tickLblPos val="nextTo"/>
        <c:txPr>
          <a:bodyPr rot="-5400000" vert="horz" anchor="ctr" anchorCtr="0"/>
          <a:lstStyle/>
          <a:p>
            <a:pPr>
              <a:defRPr>
                <a:latin typeface="Times New Roman" pitchFamily="18" charset="0"/>
                <a:cs typeface="Times New Roman" pitchFamily="18" charset="0"/>
              </a:defRPr>
            </a:pPr>
            <a:endParaRPr lang="cs-CZ"/>
          </a:p>
        </c:txPr>
        <c:crossAx val="118608640"/>
        <c:crosses val="autoZero"/>
        <c:lblOffset val="0"/>
        <c:baseTimeUnit val="days"/>
      </c:dateAx>
      <c:valAx>
        <c:axId val="118608640"/>
        <c:scaling>
          <c:orientation val="minMax"/>
        </c:scaling>
        <c:axPos val="l"/>
        <c:majorGridlines>
          <c:spPr>
            <a:ln>
              <a:solidFill>
                <a:srgbClr val="002776"/>
              </a:solidFill>
            </a:ln>
          </c:spPr>
        </c:majorGridlines>
        <c:numFmt formatCode="General" sourceLinked="1"/>
        <c:majorTickMark val="none"/>
        <c:tickLblPos val="nextTo"/>
        <c:spPr>
          <a:ln w="9525">
            <a:noFill/>
          </a:ln>
        </c:spPr>
        <c:txPr>
          <a:bodyPr/>
          <a:lstStyle/>
          <a:p>
            <a:pPr>
              <a:defRPr>
                <a:latin typeface="Times New Roman" pitchFamily="18" charset="0"/>
                <a:cs typeface="Times New Roman" pitchFamily="18" charset="0"/>
              </a:defRPr>
            </a:pPr>
            <a:endParaRPr lang="cs-CZ"/>
          </a:p>
        </c:txPr>
        <c:crossAx val="118602752"/>
        <c:crosses val="autoZero"/>
        <c:crossBetween val="between"/>
      </c:valAx>
    </c:plotArea>
    <c:legend>
      <c:legendPos val="b"/>
      <c:txPr>
        <a:bodyPr/>
        <a:lstStyle/>
        <a:p>
          <a:pPr>
            <a:defRPr b="0" i="0">
              <a:latin typeface="Times New Roman" pitchFamily="18" charset="0"/>
              <a:cs typeface="Times New Roman" pitchFamily="18" charset="0"/>
            </a:defRPr>
          </a:pPr>
          <a:endParaRPr lang="cs-CZ"/>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cs-CZ"/>
  <c:style val="4"/>
  <c:chart>
    <c:autoTitleDeleted val="1"/>
    <c:view3D>
      <c:rAngAx val="1"/>
    </c:view3D>
    <c:plotArea>
      <c:layout/>
      <c:bar3DChart>
        <c:barDir val="col"/>
        <c:grouping val="clustered"/>
        <c:ser>
          <c:idx val="0"/>
          <c:order val="0"/>
          <c:tx>
            <c:strRef>
              <c:f>List1!$B$1</c:f>
              <c:strCache>
                <c:ptCount val="1"/>
                <c:pt idx="0">
                  <c:v>Počet prodaných nových rodinných domů v USA (tis.)</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dLbl>
              <c:idx val="3"/>
              <c:layout>
                <c:manualLayout>
                  <c:x val="0"/>
                  <c:y val="-2.1164021164021166E-2"/>
                </c:manualLayout>
              </c:layout>
              <c:showVal val="1"/>
            </c:dLbl>
            <c:txPr>
              <a:bodyPr anchor="ctr" anchorCtr="1"/>
              <a:lstStyle/>
              <a:p>
                <a:pPr>
                  <a:defRPr>
                    <a:latin typeface="Times New Roman" pitchFamily="18" charset="0"/>
                    <a:cs typeface="Times New Roman" pitchFamily="18" charset="0"/>
                  </a:defRPr>
                </a:pPr>
                <a:endParaRPr lang="cs-CZ"/>
              </a:p>
            </c:txPr>
            <c:showVal val="1"/>
          </c:dLbls>
          <c:cat>
            <c:numRef>
              <c:f>List1!$A$2:$A$9</c:f>
              <c:numCache>
                <c:formatCode>General</c:formatCode>
                <c:ptCount val="8"/>
                <c:pt idx="0">
                  <c:v>1999</c:v>
                </c:pt>
                <c:pt idx="1">
                  <c:v>2000</c:v>
                </c:pt>
                <c:pt idx="2">
                  <c:v>2001</c:v>
                </c:pt>
                <c:pt idx="3">
                  <c:v>2002</c:v>
                </c:pt>
                <c:pt idx="4">
                  <c:v>2003</c:v>
                </c:pt>
                <c:pt idx="5">
                  <c:v>2004</c:v>
                </c:pt>
                <c:pt idx="6">
                  <c:v>2005</c:v>
                </c:pt>
                <c:pt idx="7">
                  <c:v>2006</c:v>
                </c:pt>
              </c:numCache>
            </c:numRef>
          </c:cat>
          <c:val>
            <c:numRef>
              <c:f>List1!$B$2:$B$9</c:f>
              <c:numCache>
                <c:formatCode>General</c:formatCode>
                <c:ptCount val="8"/>
                <c:pt idx="0">
                  <c:v>880</c:v>
                </c:pt>
                <c:pt idx="1">
                  <c:v>877</c:v>
                </c:pt>
                <c:pt idx="2">
                  <c:v>908</c:v>
                </c:pt>
                <c:pt idx="3">
                  <c:v>973</c:v>
                </c:pt>
                <c:pt idx="4">
                  <c:v>1086</c:v>
                </c:pt>
                <c:pt idx="5">
                  <c:v>1203</c:v>
                </c:pt>
                <c:pt idx="6">
                  <c:v>1283</c:v>
                </c:pt>
                <c:pt idx="7">
                  <c:v>1051</c:v>
                </c:pt>
              </c:numCache>
            </c:numRef>
          </c:val>
        </c:ser>
        <c:gapWidth val="75"/>
        <c:shape val="box"/>
        <c:axId val="67396352"/>
        <c:axId val="67397888"/>
        <c:axId val="0"/>
      </c:bar3DChart>
      <c:catAx>
        <c:axId val="67396352"/>
        <c:scaling>
          <c:orientation val="minMax"/>
        </c:scaling>
        <c:axPos val="b"/>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67397888"/>
        <c:crosses val="autoZero"/>
        <c:auto val="1"/>
        <c:lblAlgn val="ctr"/>
        <c:lblOffset val="100"/>
      </c:catAx>
      <c:valAx>
        <c:axId val="67397888"/>
        <c:scaling>
          <c:orientation val="minMax"/>
        </c:scaling>
        <c:axPos val="l"/>
        <c:majorGridlines/>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67396352"/>
        <c:crosses val="autoZero"/>
        <c:crossBetween val="between"/>
      </c:valAx>
    </c:plotArea>
    <c:legend>
      <c:legendPos val="b"/>
      <c:txPr>
        <a:bodyPr/>
        <a:lstStyle/>
        <a:p>
          <a:pPr>
            <a:defRPr>
              <a:latin typeface="Times New Roman" pitchFamily="18" charset="0"/>
              <a:cs typeface="Times New Roman" pitchFamily="18" charset="0"/>
            </a:defRPr>
          </a:pPr>
          <a:endParaRPr lang="cs-CZ"/>
        </a:p>
      </c:txP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cs-CZ"/>
  <c:style val="4"/>
  <c:clrMapOvr bg1="lt1" tx1="dk1" bg2="lt2" tx2="dk2" accent1="accent1" accent2="accent2" accent3="accent3" accent4="accent4" accent5="accent5" accent6="accent6" hlink="hlink" folHlink="folHlink"/>
  <c:chart>
    <c:autoTitleDeleted val="1"/>
    <c:view3D>
      <c:rAngAx val="1"/>
    </c:view3D>
    <c:plotArea>
      <c:layout/>
      <c:bar3DChart>
        <c:barDir val="col"/>
        <c:grouping val="clustered"/>
        <c:ser>
          <c:idx val="0"/>
          <c:order val="0"/>
          <c:tx>
            <c:strRef>
              <c:f>List1!$B$1</c:f>
              <c:strCache>
                <c:ptCount val="1"/>
                <c:pt idx="0">
                  <c:v>Základní úroková sazba FED ke konci roku (%)</c:v>
                </c:pt>
              </c:strCache>
            </c:strRef>
          </c:tx>
          <c:spPr>
            <a:gradFill rotWithShape="1">
              <a:gsLst>
                <a:gs pos="0">
                  <a:srgbClr val="92D400">
                    <a:shade val="51000"/>
                    <a:satMod val="130000"/>
                  </a:srgbClr>
                </a:gs>
                <a:gs pos="80000">
                  <a:srgbClr val="92D400">
                    <a:shade val="93000"/>
                    <a:satMod val="130000"/>
                  </a:srgbClr>
                </a:gs>
                <a:gs pos="100000">
                  <a:srgbClr val="92D40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a:latin typeface="Times New Roman" pitchFamily="18" charset="0"/>
                    <a:cs typeface="Times New Roman" pitchFamily="18" charset="0"/>
                  </a:defRPr>
                </a:pPr>
                <a:endParaRPr lang="cs-CZ"/>
              </a:p>
            </c:txPr>
            <c:showVal val="1"/>
          </c:dLbls>
          <c:cat>
            <c:numRef>
              <c:f>List1!$A$2:$A$14</c:f>
              <c:numCache>
                <c:formatCode>General</c:formatCode>
                <c:ptCount val="13"/>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numCache>
            </c:numRef>
          </c:cat>
          <c:val>
            <c:numRef>
              <c:f>List1!$B$2:$B$14</c:f>
              <c:numCache>
                <c:formatCode>General</c:formatCode>
                <c:ptCount val="13"/>
                <c:pt idx="0">
                  <c:v>5.3</c:v>
                </c:pt>
                <c:pt idx="1">
                  <c:v>5.5</c:v>
                </c:pt>
                <c:pt idx="2">
                  <c:v>4.8</c:v>
                </c:pt>
                <c:pt idx="3">
                  <c:v>5.5</c:v>
                </c:pt>
                <c:pt idx="4">
                  <c:v>6.5</c:v>
                </c:pt>
                <c:pt idx="5">
                  <c:v>1.8</c:v>
                </c:pt>
                <c:pt idx="6">
                  <c:v>1.3</c:v>
                </c:pt>
                <c:pt idx="7" formatCode="0.0">
                  <c:v>1</c:v>
                </c:pt>
                <c:pt idx="8">
                  <c:v>2.2999999999999998</c:v>
                </c:pt>
                <c:pt idx="9">
                  <c:v>4.3</c:v>
                </c:pt>
                <c:pt idx="10">
                  <c:v>5.3</c:v>
                </c:pt>
                <c:pt idx="11">
                  <c:v>4.3</c:v>
                </c:pt>
                <c:pt idx="12">
                  <c:v>0.30000000000000032</c:v>
                </c:pt>
              </c:numCache>
            </c:numRef>
          </c:val>
        </c:ser>
        <c:gapWidth val="75"/>
        <c:shape val="box"/>
        <c:axId val="118671616"/>
        <c:axId val="118677504"/>
        <c:axId val="0"/>
      </c:bar3DChart>
      <c:catAx>
        <c:axId val="118671616"/>
        <c:scaling>
          <c:orientation val="minMax"/>
        </c:scaling>
        <c:axPos val="b"/>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18677504"/>
        <c:crosses val="autoZero"/>
        <c:auto val="1"/>
        <c:lblAlgn val="ctr"/>
        <c:lblOffset val="100"/>
      </c:catAx>
      <c:valAx>
        <c:axId val="118677504"/>
        <c:scaling>
          <c:orientation val="minMax"/>
        </c:scaling>
        <c:axPos val="l"/>
        <c:majorGridlines>
          <c:spPr>
            <a:ln>
              <a:solidFill>
                <a:srgbClr val="002776"/>
              </a:solidFill>
            </a:ln>
          </c:spPr>
        </c:majorGridlines>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118671616"/>
        <c:crosses val="autoZero"/>
        <c:crossBetween val="between"/>
      </c:valAx>
    </c:plotArea>
    <c:legend>
      <c:legendPos val="b"/>
      <c:txPr>
        <a:bodyPr/>
        <a:lstStyle/>
        <a:p>
          <a:pPr>
            <a:defRPr>
              <a:latin typeface="Times New Roman" pitchFamily="18" charset="0"/>
              <a:cs typeface="Times New Roman" pitchFamily="18" charset="0"/>
            </a:defRPr>
          </a:pPr>
          <a:endParaRPr lang="cs-CZ"/>
        </a:p>
      </c:txPr>
    </c:legend>
    <c:plotVisOnly val="1"/>
  </c:chart>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cs-CZ"/>
  <c:style val="4"/>
  <c:clrMapOvr bg1="lt1" tx1="dk1" bg2="lt2" tx2="dk2" accent1="accent1" accent2="accent2" accent3="accent3" accent4="accent4" accent5="accent5" accent6="accent6" hlink="hlink" folHlink="folHlink"/>
  <c:chart>
    <c:autoTitleDeleted val="1"/>
    <c:view3D>
      <c:rAngAx val="1"/>
    </c:view3D>
    <c:plotArea>
      <c:layout/>
      <c:bar3DChart>
        <c:barDir val="col"/>
        <c:grouping val="clustered"/>
        <c:ser>
          <c:idx val="0"/>
          <c:order val="0"/>
          <c:tx>
            <c:strRef>
              <c:f>List1!$B$1</c:f>
              <c:strCache>
                <c:ptCount val="1"/>
                <c:pt idx="0">
                  <c:v>Počet prodaných nových rodinných domů v USA (tis.)</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txPr>
              <a:bodyPr/>
              <a:lstStyle/>
              <a:p>
                <a:pPr>
                  <a:defRPr>
                    <a:latin typeface="Times New Roman" pitchFamily="18" charset="0"/>
                    <a:cs typeface="Times New Roman" pitchFamily="18" charset="0"/>
                  </a:defRPr>
                </a:pPr>
                <a:endParaRPr lang="cs-CZ"/>
              </a:p>
            </c:txPr>
            <c:showVal val="1"/>
          </c:dLbls>
          <c:cat>
            <c:numRef>
              <c:f>List1!$A$2:$A$9</c:f>
              <c:numCache>
                <c:formatCode>General</c:formatCode>
                <c:ptCount val="8"/>
                <c:pt idx="0">
                  <c:v>2001</c:v>
                </c:pt>
                <c:pt idx="1">
                  <c:v>2002</c:v>
                </c:pt>
                <c:pt idx="2">
                  <c:v>2003</c:v>
                </c:pt>
                <c:pt idx="3">
                  <c:v>2004</c:v>
                </c:pt>
                <c:pt idx="4">
                  <c:v>2005</c:v>
                </c:pt>
                <c:pt idx="5">
                  <c:v>2006</c:v>
                </c:pt>
                <c:pt idx="6">
                  <c:v>2007</c:v>
                </c:pt>
                <c:pt idx="7">
                  <c:v>2008</c:v>
                </c:pt>
              </c:numCache>
            </c:numRef>
          </c:cat>
          <c:val>
            <c:numRef>
              <c:f>List1!$B$2:$B$9</c:f>
              <c:numCache>
                <c:formatCode>General</c:formatCode>
                <c:ptCount val="8"/>
                <c:pt idx="0">
                  <c:v>908</c:v>
                </c:pt>
                <c:pt idx="1">
                  <c:v>973</c:v>
                </c:pt>
                <c:pt idx="2">
                  <c:v>1086</c:v>
                </c:pt>
                <c:pt idx="3">
                  <c:v>1203</c:v>
                </c:pt>
                <c:pt idx="4">
                  <c:v>1283</c:v>
                </c:pt>
                <c:pt idx="5">
                  <c:v>1051</c:v>
                </c:pt>
                <c:pt idx="6">
                  <c:v>776</c:v>
                </c:pt>
                <c:pt idx="7">
                  <c:v>482</c:v>
                </c:pt>
              </c:numCache>
            </c:numRef>
          </c:val>
        </c:ser>
        <c:gapWidth val="75"/>
        <c:shape val="box"/>
        <c:axId val="67756032"/>
        <c:axId val="67757568"/>
        <c:axId val="0"/>
      </c:bar3DChart>
      <c:catAx>
        <c:axId val="67756032"/>
        <c:scaling>
          <c:orientation val="minMax"/>
        </c:scaling>
        <c:axPos val="b"/>
        <c:numFmt formatCode="General" sourceLinked="1"/>
        <c:majorTickMark val="none"/>
        <c:tickLblPos val="nextTo"/>
        <c:txPr>
          <a:bodyPr/>
          <a:lstStyle/>
          <a:p>
            <a:pPr>
              <a:defRPr>
                <a:latin typeface="Times New Roman" pitchFamily="18" charset="0"/>
                <a:cs typeface="Times New Roman" pitchFamily="18" charset="0"/>
              </a:defRPr>
            </a:pPr>
            <a:endParaRPr lang="cs-CZ"/>
          </a:p>
        </c:txPr>
        <c:crossAx val="67757568"/>
        <c:crosses val="autoZero"/>
        <c:auto val="1"/>
        <c:lblAlgn val="ctr"/>
        <c:lblOffset val="100"/>
      </c:catAx>
      <c:valAx>
        <c:axId val="67757568"/>
        <c:scaling>
          <c:orientation val="minMax"/>
        </c:scaling>
        <c:axPos val="l"/>
        <c:majorGridlines>
          <c:spPr>
            <a:ln>
              <a:solidFill>
                <a:srgbClr val="002776"/>
              </a:solidFill>
            </a:ln>
          </c:spPr>
        </c:majorGridlines>
        <c:numFmt formatCode="General" sourceLinked="1"/>
        <c:majorTickMark val="none"/>
        <c:tickLblPos val="nextTo"/>
        <c:spPr>
          <a:ln w="9525">
            <a:noFill/>
          </a:ln>
        </c:spPr>
        <c:txPr>
          <a:bodyPr/>
          <a:lstStyle/>
          <a:p>
            <a:pPr>
              <a:defRPr>
                <a:latin typeface="Times New Roman" pitchFamily="18" charset="0"/>
                <a:cs typeface="Times New Roman" pitchFamily="18" charset="0"/>
              </a:defRPr>
            </a:pPr>
            <a:endParaRPr lang="cs-CZ"/>
          </a:p>
        </c:txPr>
        <c:crossAx val="67756032"/>
        <c:crosses val="autoZero"/>
        <c:crossBetween val="between"/>
      </c:valAx>
    </c:plotArea>
    <c:legend>
      <c:legendPos val="b"/>
      <c:txPr>
        <a:bodyPr/>
        <a:lstStyle/>
        <a:p>
          <a:pPr>
            <a:defRPr>
              <a:latin typeface="Times New Roman" pitchFamily="18" charset="0"/>
              <a:cs typeface="Times New Roman" pitchFamily="18" charset="0"/>
            </a:defRPr>
          </a:pPr>
          <a:endParaRPr lang="cs-CZ"/>
        </a:p>
      </c:txPr>
    </c:legend>
    <c:plotVisOnly val="1"/>
  </c:chart>
  <c:externalData r:id="rId2"/>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517C08D-5F4D-4FC2-8ED6-A643C927CBF9}" type="doc">
      <dgm:prSet loTypeId="urn:microsoft.com/office/officeart/2005/8/layout/default" loCatId="list" qsTypeId="urn:microsoft.com/office/officeart/2005/8/quickstyle/3d1" qsCatId="3D" csTypeId="urn:microsoft.com/office/officeart/2005/8/colors/accent1_2" csCatId="accent1" phldr="1"/>
      <dgm:spPr/>
      <dgm:t>
        <a:bodyPr/>
        <a:lstStyle/>
        <a:p>
          <a:endParaRPr lang="cs-CZ"/>
        </a:p>
      </dgm:t>
    </dgm:pt>
    <dgm:pt modelId="{8CD1D755-23EB-428C-B49F-D1597C691476}">
      <dgm:prSet custT="1"/>
      <dgm:spPr/>
      <dgm:t>
        <a:bodyPr/>
        <a:lstStyle/>
        <a:p>
          <a:r>
            <a:rPr lang="cs-CZ" sz="1200">
              <a:latin typeface="Times New Roman" pitchFamily="18" charset="0"/>
              <a:cs typeface="Times New Roman" pitchFamily="18" charset="0"/>
            </a:rPr>
            <a:t>Hospodářský systém.</a:t>
          </a:r>
        </a:p>
      </dgm:t>
    </dgm:pt>
    <dgm:pt modelId="{1268BF5B-0B8A-4C03-AABF-F502678638E0}" type="parTrans" cxnId="{6400AADF-9B37-4BF9-8445-05153196878B}">
      <dgm:prSet/>
      <dgm:spPr/>
      <dgm:t>
        <a:bodyPr/>
        <a:lstStyle/>
        <a:p>
          <a:endParaRPr lang="cs-CZ"/>
        </a:p>
      </dgm:t>
    </dgm:pt>
    <dgm:pt modelId="{665C3F94-08AE-4267-B8CA-E914E64E5FA0}" type="sibTrans" cxnId="{6400AADF-9B37-4BF9-8445-05153196878B}">
      <dgm:prSet/>
      <dgm:spPr/>
      <dgm:t>
        <a:bodyPr/>
        <a:lstStyle/>
        <a:p>
          <a:endParaRPr lang="cs-CZ"/>
        </a:p>
      </dgm:t>
    </dgm:pt>
    <dgm:pt modelId="{B14AFA63-EA76-48A1-8C1E-D16483197595}">
      <dgm:prSet custT="1"/>
      <dgm:spPr/>
      <dgm:t>
        <a:bodyPr/>
        <a:lstStyle/>
        <a:p>
          <a:r>
            <a:rPr lang="cs-CZ" sz="1200">
              <a:latin typeface="Times New Roman" pitchFamily="18" charset="0"/>
              <a:cs typeface="Times New Roman" pitchFamily="18" charset="0"/>
            </a:rPr>
            <a:t>Politický systém.</a:t>
          </a:r>
        </a:p>
      </dgm:t>
    </dgm:pt>
    <dgm:pt modelId="{9C0BE786-54F1-4E0A-848C-55C250502946}" type="parTrans" cxnId="{F21F7778-E71F-401B-895D-CF69D452E000}">
      <dgm:prSet/>
      <dgm:spPr/>
      <dgm:t>
        <a:bodyPr/>
        <a:lstStyle/>
        <a:p>
          <a:endParaRPr lang="cs-CZ"/>
        </a:p>
      </dgm:t>
    </dgm:pt>
    <dgm:pt modelId="{7AD7C7C9-888C-46DB-BFB0-C0BFE0D19003}" type="sibTrans" cxnId="{F21F7778-E71F-401B-895D-CF69D452E000}">
      <dgm:prSet/>
      <dgm:spPr/>
      <dgm:t>
        <a:bodyPr/>
        <a:lstStyle/>
        <a:p>
          <a:endParaRPr lang="cs-CZ"/>
        </a:p>
      </dgm:t>
    </dgm:pt>
    <dgm:pt modelId="{8A4B5512-65B2-4D8E-A356-681DC51BA118}">
      <dgm:prSet custT="1"/>
      <dgm:spPr/>
      <dgm:t>
        <a:bodyPr/>
        <a:lstStyle/>
        <a:p>
          <a:r>
            <a:rPr lang="cs-CZ" sz="1200">
              <a:latin typeface="Times New Roman" pitchFamily="18" charset="0"/>
              <a:cs typeface="Times New Roman" pitchFamily="18" charset="0"/>
            </a:rPr>
            <a:t>Byrokracie.</a:t>
          </a:r>
        </a:p>
      </dgm:t>
    </dgm:pt>
    <dgm:pt modelId="{11A727AC-97BE-448B-BD07-FC24EA894B3D}" type="parTrans" cxnId="{954EA87B-2E88-4973-AED0-BD8C0CB87527}">
      <dgm:prSet/>
      <dgm:spPr/>
      <dgm:t>
        <a:bodyPr/>
        <a:lstStyle/>
        <a:p>
          <a:endParaRPr lang="cs-CZ"/>
        </a:p>
      </dgm:t>
    </dgm:pt>
    <dgm:pt modelId="{8D41CCDC-B7E9-405D-B667-F31F7C487811}" type="sibTrans" cxnId="{954EA87B-2E88-4973-AED0-BD8C0CB87527}">
      <dgm:prSet/>
      <dgm:spPr/>
      <dgm:t>
        <a:bodyPr/>
        <a:lstStyle/>
        <a:p>
          <a:endParaRPr lang="cs-CZ"/>
        </a:p>
      </dgm:t>
    </dgm:pt>
    <dgm:pt modelId="{8CA8D12B-6880-49F9-BC33-E1B52C7C0984}">
      <dgm:prSet custT="1"/>
      <dgm:spPr/>
      <dgm:t>
        <a:bodyPr/>
        <a:lstStyle/>
        <a:p>
          <a:r>
            <a:rPr lang="cs-CZ" sz="1200">
              <a:latin typeface="Times New Roman" pitchFamily="18" charset="0"/>
              <a:cs typeface="Times New Roman" pitchFamily="18" charset="0"/>
            </a:rPr>
            <a:t>Velké sociální skupiny.</a:t>
          </a:r>
        </a:p>
      </dgm:t>
    </dgm:pt>
    <dgm:pt modelId="{1BBB9CC9-F925-45B4-81D3-BC438D467A77}" type="parTrans" cxnId="{D09E18EB-D3AE-4715-8A80-FDFA12CA4041}">
      <dgm:prSet/>
      <dgm:spPr/>
      <dgm:t>
        <a:bodyPr/>
        <a:lstStyle/>
        <a:p>
          <a:endParaRPr lang="cs-CZ"/>
        </a:p>
      </dgm:t>
    </dgm:pt>
    <dgm:pt modelId="{FC5D4F4E-2C9E-41F0-89DB-72BDF1453899}" type="sibTrans" cxnId="{D09E18EB-D3AE-4715-8A80-FDFA12CA4041}">
      <dgm:prSet/>
      <dgm:spPr/>
      <dgm:t>
        <a:bodyPr/>
        <a:lstStyle/>
        <a:p>
          <a:endParaRPr lang="cs-CZ"/>
        </a:p>
      </dgm:t>
    </dgm:pt>
    <dgm:pt modelId="{F2915309-412D-43D2-BE67-2BF4323FEE78}">
      <dgm:prSet custT="1"/>
      <dgm:spPr/>
      <dgm:t>
        <a:bodyPr/>
        <a:lstStyle/>
        <a:p>
          <a:r>
            <a:rPr lang="cs-CZ" sz="1200">
              <a:latin typeface="Times New Roman" pitchFamily="18" charset="0"/>
              <a:cs typeface="Times New Roman" pitchFamily="18" charset="0"/>
            </a:rPr>
            <a:t>Nadnárodní a mezinárodní organizace.</a:t>
          </a:r>
        </a:p>
      </dgm:t>
    </dgm:pt>
    <dgm:pt modelId="{286FE98E-A7B6-40A8-A507-5FEA9469B4A0}" type="parTrans" cxnId="{B12E43E5-1C41-4633-AA9C-8F6828253682}">
      <dgm:prSet/>
      <dgm:spPr/>
      <dgm:t>
        <a:bodyPr/>
        <a:lstStyle/>
        <a:p>
          <a:endParaRPr lang="cs-CZ"/>
        </a:p>
      </dgm:t>
    </dgm:pt>
    <dgm:pt modelId="{82A1D853-B7AE-48CA-B052-8E670A78FDE6}" type="sibTrans" cxnId="{B12E43E5-1C41-4633-AA9C-8F6828253682}">
      <dgm:prSet/>
      <dgm:spPr/>
      <dgm:t>
        <a:bodyPr/>
        <a:lstStyle/>
        <a:p>
          <a:endParaRPr lang="cs-CZ"/>
        </a:p>
      </dgm:t>
    </dgm:pt>
    <dgm:pt modelId="{7BDFBB8B-72F1-494F-AAC9-3D20D0E5AE2C}" type="pres">
      <dgm:prSet presAssocID="{E517C08D-5F4D-4FC2-8ED6-A643C927CBF9}" presName="diagram" presStyleCnt="0">
        <dgm:presLayoutVars>
          <dgm:dir/>
          <dgm:resizeHandles val="exact"/>
        </dgm:presLayoutVars>
      </dgm:prSet>
      <dgm:spPr/>
      <dgm:t>
        <a:bodyPr/>
        <a:lstStyle/>
        <a:p>
          <a:endParaRPr lang="cs-CZ"/>
        </a:p>
      </dgm:t>
    </dgm:pt>
    <dgm:pt modelId="{8B5157DF-997F-4851-8062-B5C7FD25F165}" type="pres">
      <dgm:prSet presAssocID="{8CD1D755-23EB-428C-B49F-D1597C691476}" presName="node" presStyleLbl="node1" presStyleIdx="0" presStyleCnt="5">
        <dgm:presLayoutVars>
          <dgm:bulletEnabled val="1"/>
        </dgm:presLayoutVars>
      </dgm:prSet>
      <dgm:spPr/>
      <dgm:t>
        <a:bodyPr/>
        <a:lstStyle/>
        <a:p>
          <a:endParaRPr lang="cs-CZ"/>
        </a:p>
      </dgm:t>
    </dgm:pt>
    <dgm:pt modelId="{EDB27C54-CC53-4D45-928F-FE8C460E7E0F}" type="pres">
      <dgm:prSet presAssocID="{665C3F94-08AE-4267-B8CA-E914E64E5FA0}" presName="sibTrans" presStyleCnt="0"/>
      <dgm:spPr/>
    </dgm:pt>
    <dgm:pt modelId="{561199EC-B994-47DC-ACAB-C958401D43D1}" type="pres">
      <dgm:prSet presAssocID="{B14AFA63-EA76-48A1-8C1E-D16483197595}" presName="node" presStyleLbl="node1" presStyleIdx="1" presStyleCnt="5">
        <dgm:presLayoutVars>
          <dgm:bulletEnabled val="1"/>
        </dgm:presLayoutVars>
      </dgm:prSet>
      <dgm:spPr/>
      <dgm:t>
        <a:bodyPr/>
        <a:lstStyle/>
        <a:p>
          <a:endParaRPr lang="cs-CZ"/>
        </a:p>
      </dgm:t>
    </dgm:pt>
    <dgm:pt modelId="{77AF3600-78AA-4A74-B743-65119DC74664}" type="pres">
      <dgm:prSet presAssocID="{7AD7C7C9-888C-46DB-BFB0-C0BFE0D19003}" presName="sibTrans" presStyleCnt="0"/>
      <dgm:spPr/>
    </dgm:pt>
    <dgm:pt modelId="{673AB26F-D96A-4DC7-B4E4-BDD8EE23A9AE}" type="pres">
      <dgm:prSet presAssocID="{8A4B5512-65B2-4D8E-A356-681DC51BA118}" presName="node" presStyleLbl="node1" presStyleIdx="2" presStyleCnt="5">
        <dgm:presLayoutVars>
          <dgm:bulletEnabled val="1"/>
        </dgm:presLayoutVars>
      </dgm:prSet>
      <dgm:spPr/>
      <dgm:t>
        <a:bodyPr/>
        <a:lstStyle/>
        <a:p>
          <a:endParaRPr lang="cs-CZ"/>
        </a:p>
      </dgm:t>
    </dgm:pt>
    <dgm:pt modelId="{DF6F42AE-D0A1-478C-A734-F604A95D6F7A}" type="pres">
      <dgm:prSet presAssocID="{8D41CCDC-B7E9-405D-B667-F31F7C487811}" presName="sibTrans" presStyleCnt="0"/>
      <dgm:spPr/>
    </dgm:pt>
    <dgm:pt modelId="{371A4D82-5AB3-4EC1-A558-AC3299A07821}" type="pres">
      <dgm:prSet presAssocID="{8CA8D12B-6880-49F9-BC33-E1B52C7C0984}" presName="node" presStyleLbl="node1" presStyleIdx="3" presStyleCnt="5">
        <dgm:presLayoutVars>
          <dgm:bulletEnabled val="1"/>
        </dgm:presLayoutVars>
      </dgm:prSet>
      <dgm:spPr/>
      <dgm:t>
        <a:bodyPr/>
        <a:lstStyle/>
        <a:p>
          <a:endParaRPr lang="cs-CZ"/>
        </a:p>
      </dgm:t>
    </dgm:pt>
    <dgm:pt modelId="{ECE75993-4EF0-4E0F-9720-90B460FA65CB}" type="pres">
      <dgm:prSet presAssocID="{FC5D4F4E-2C9E-41F0-89DB-72BDF1453899}" presName="sibTrans" presStyleCnt="0"/>
      <dgm:spPr/>
    </dgm:pt>
    <dgm:pt modelId="{E0BCEA0F-8D85-402D-9C3A-7C55D91A42A2}" type="pres">
      <dgm:prSet presAssocID="{F2915309-412D-43D2-BE67-2BF4323FEE78}" presName="node" presStyleLbl="node1" presStyleIdx="4" presStyleCnt="5">
        <dgm:presLayoutVars>
          <dgm:bulletEnabled val="1"/>
        </dgm:presLayoutVars>
      </dgm:prSet>
      <dgm:spPr/>
      <dgm:t>
        <a:bodyPr/>
        <a:lstStyle/>
        <a:p>
          <a:endParaRPr lang="cs-CZ"/>
        </a:p>
      </dgm:t>
    </dgm:pt>
  </dgm:ptLst>
  <dgm:cxnLst>
    <dgm:cxn modelId="{6BDE8D8E-BA84-4B2C-B488-338E43F6E7DE}" type="presOf" srcId="{8CA8D12B-6880-49F9-BC33-E1B52C7C0984}" destId="{371A4D82-5AB3-4EC1-A558-AC3299A07821}" srcOrd="0" destOrd="0" presId="urn:microsoft.com/office/officeart/2005/8/layout/default"/>
    <dgm:cxn modelId="{CC504073-215A-4E7A-AC7E-811587711A50}" type="presOf" srcId="{F2915309-412D-43D2-BE67-2BF4323FEE78}" destId="{E0BCEA0F-8D85-402D-9C3A-7C55D91A42A2}" srcOrd="0" destOrd="0" presId="urn:microsoft.com/office/officeart/2005/8/layout/default"/>
    <dgm:cxn modelId="{6400AADF-9B37-4BF9-8445-05153196878B}" srcId="{E517C08D-5F4D-4FC2-8ED6-A643C927CBF9}" destId="{8CD1D755-23EB-428C-B49F-D1597C691476}" srcOrd="0" destOrd="0" parTransId="{1268BF5B-0B8A-4C03-AABF-F502678638E0}" sibTransId="{665C3F94-08AE-4267-B8CA-E914E64E5FA0}"/>
    <dgm:cxn modelId="{D09E18EB-D3AE-4715-8A80-FDFA12CA4041}" srcId="{E517C08D-5F4D-4FC2-8ED6-A643C927CBF9}" destId="{8CA8D12B-6880-49F9-BC33-E1B52C7C0984}" srcOrd="3" destOrd="0" parTransId="{1BBB9CC9-F925-45B4-81D3-BC438D467A77}" sibTransId="{FC5D4F4E-2C9E-41F0-89DB-72BDF1453899}"/>
    <dgm:cxn modelId="{FCAFDB39-7BC2-4601-BEA6-541D2F801833}" type="presOf" srcId="{E517C08D-5F4D-4FC2-8ED6-A643C927CBF9}" destId="{7BDFBB8B-72F1-494F-AAC9-3D20D0E5AE2C}" srcOrd="0" destOrd="0" presId="urn:microsoft.com/office/officeart/2005/8/layout/default"/>
    <dgm:cxn modelId="{8E09A9D2-6B2E-4D7A-A5DB-176F886F1799}" type="presOf" srcId="{B14AFA63-EA76-48A1-8C1E-D16483197595}" destId="{561199EC-B994-47DC-ACAB-C958401D43D1}" srcOrd="0" destOrd="0" presId="urn:microsoft.com/office/officeart/2005/8/layout/default"/>
    <dgm:cxn modelId="{B12E43E5-1C41-4633-AA9C-8F6828253682}" srcId="{E517C08D-5F4D-4FC2-8ED6-A643C927CBF9}" destId="{F2915309-412D-43D2-BE67-2BF4323FEE78}" srcOrd="4" destOrd="0" parTransId="{286FE98E-A7B6-40A8-A507-5FEA9469B4A0}" sibTransId="{82A1D853-B7AE-48CA-B052-8E670A78FDE6}"/>
    <dgm:cxn modelId="{3500A348-7FE7-4533-9A8F-DCC4BCFA22E6}" type="presOf" srcId="{8CD1D755-23EB-428C-B49F-D1597C691476}" destId="{8B5157DF-997F-4851-8062-B5C7FD25F165}" srcOrd="0" destOrd="0" presId="urn:microsoft.com/office/officeart/2005/8/layout/default"/>
    <dgm:cxn modelId="{954EA87B-2E88-4973-AED0-BD8C0CB87527}" srcId="{E517C08D-5F4D-4FC2-8ED6-A643C927CBF9}" destId="{8A4B5512-65B2-4D8E-A356-681DC51BA118}" srcOrd="2" destOrd="0" parTransId="{11A727AC-97BE-448B-BD07-FC24EA894B3D}" sibTransId="{8D41CCDC-B7E9-405D-B667-F31F7C487811}"/>
    <dgm:cxn modelId="{16F0D845-4FFD-4785-88BE-27CFEDDCA6B1}" type="presOf" srcId="{8A4B5512-65B2-4D8E-A356-681DC51BA118}" destId="{673AB26F-D96A-4DC7-B4E4-BDD8EE23A9AE}" srcOrd="0" destOrd="0" presId="urn:microsoft.com/office/officeart/2005/8/layout/default"/>
    <dgm:cxn modelId="{F21F7778-E71F-401B-895D-CF69D452E000}" srcId="{E517C08D-5F4D-4FC2-8ED6-A643C927CBF9}" destId="{B14AFA63-EA76-48A1-8C1E-D16483197595}" srcOrd="1" destOrd="0" parTransId="{9C0BE786-54F1-4E0A-848C-55C250502946}" sibTransId="{7AD7C7C9-888C-46DB-BFB0-C0BFE0D19003}"/>
    <dgm:cxn modelId="{53CDF42E-4560-46FB-B73F-B84BE8AC35BF}" type="presParOf" srcId="{7BDFBB8B-72F1-494F-AAC9-3D20D0E5AE2C}" destId="{8B5157DF-997F-4851-8062-B5C7FD25F165}" srcOrd="0" destOrd="0" presId="urn:microsoft.com/office/officeart/2005/8/layout/default"/>
    <dgm:cxn modelId="{998F9CC9-2043-42FB-8FC3-D5EAEF4E11D6}" type="presParOf" srcId="{7BDFBB8B-72F1-494F-AAC9-3D20D0E5AE2C}" destId="{EDB27C54-CC53-4D45-928F-FE8C460E7E0F}" srcOrd="1" destOrd="0" presId="urn:microsoft.com/office/officeart/2005/8/layout/default"/>
    <dgm:cxn modelId="{AD5ED3FB-1CCA-4B91-9E80-E1AC0FFEF32F}" type="presParOf" srcId="{7BDFBB8B-72F1-494F-AAC9-3D20D0E5AE2C}" destId="{561199EC-B994-47DC-ACAB-C958401D43D1}" srcOrd="2" destOrd="0" presId="urn:microsoft.com/office/officeart/2005/8/layout/default"/>
    <dgm:cxn modelId="{B251AE76-D95B-42CD-919D-F86DEF142F17}" type="presParOf" srcId="{7BDFBB8B-72F1-494F-AAC9-3D20D0E5AE2C}" destId="{77AF3600-78AA-4A74-B743-65119DC74664}" srcOrd="3" destOrd="0" presId="urn:microsoft.com/office/officeart/2005/8/layout/default"/>
    <dgm:cxn modelId="{705069CD-FE72-48BC-9A41-132DDA2EE05D}" type="presParOf" srcId="{7BDFBB8B-72F1-494F-AAC9-3D20D0E5AE2C}" destId="{673AB26F-D96A-4DC7-B4E4-BDD8EE23A9AE}" srcOrd="4" destOrd="0" presId="urn:microsoft.com/office/officeart/2005/8/layout/default"/>
    <dgm:cxn modelId="{0D21237B-6FBA-49C8-810F-84F02E41754D}" type="presParOf" srcId="{7BDFBB8B-72F1-494F-AAC9-3D20D0E5AE2C}" destId="{DF6F42AE-D0A1-478C-A734-F604A95D6F7A}" srcOrd="5" destOrd="0" presId="urn:microsoft.com/office/officeart/2005/8/layout/default"/>
    <dgm:cxn modelId="{F09134A5-A04C-45DC-A6F2-0A60D21C1231}" type="presParOf" srcId="{7BDFBB8B-72F1-494F-AAC9-3D20D0E5AE2C}" destId="{371A4D82-5AB3-4EC1-A558-AC3299A07821}" srcOrd="6" destOrd="0" presId="urn:microsoft.com/office/officeart/2005/8/layout/default"/>
    <dgm:cxn modelId="{A5DA3E28-168D-4B00-9DE0-37DD04490C17}" type="presParOf" srcId="{7BDFBB8B-72F1-494F-AAC9-3D20D0E5AE2C}" destId="{ECE75993-4EF0-4E0F-9720-90B460FA65CB}" srcOrd="7" destOrd="0" presId="urn:microsoft.com/office/officeart/2005/8/layout/default"/>
    <dgm:cxn modelId="{BDE6631B-D9D7-4301-8451-7D9B0723FF24}" type="presParOf" srcId="{7BDFBB8B-72F1-494F-AAC9-3D20D0E5AE2C}" destId="{E0BCEA0F-8D85-402D-9C3A-7C55D91A42A2}" srcOrd="8" destOrd="0" presId="urn:microsoft.com/office/officeart/2005/8/layout/default"/>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58AF617-D177-4A32-974D-AC1EDE211716}" type="doc">
      <dgm:prSet loTypeId="urn:microsoft.com/office/officeart/2005/8/layout/pyramid1" loCatId="pyramid" qsTypeId="urn:microsoft.com/office/officeart/2005/8/quickstyle/3d3" qsCatId="3D" csTypeId="urn:microsoft.com/office/officeart/2005/8/colors/accent1_2" csCatId="accent1" phldr="1"/>
      <dgm:spPr/>
      <dgm:t>
        <a:bodyPr/>
        <a:lstStyle/>
        <a:p>
          <a:endParaRPr lang="cs-CZ"/>
        </a:p>
      </dgm:t>
    </dgm:pt>
    <dgm:pt modelId="{554888AB-D17E-4504-B398-3FBBF9C481DD}">
      <dgm:prSet phldrT="[Text]" custT="1"/>
      <dgm:spPr/>
      <dgm:t>
        <a:bodyPr/>
        <a:lstStyle/>
        <a:p>
          <a:pPr algn="ctr"/>
          <a:r>
            <a:rPr lang="cs-CZ" sz="1200" b="0">
              <a:solidFill>
                <a:schemeClr val="bg1"/>
              </a:solidFill>
              <a:latin typeface="Times New Roman" pitchFamily="18" charset="0"/>
              <a:cs typeface="Times New Roman" pitchFamily="18" charset="0"/>
            </a:rPr>
            <a:t>Základní společenské cíle (hodnoty)</a:t>
          </a:r>
        </a:p>
      </dgm:t>
    </dgm:pt>
    <dgm:pt modelId="{30A8E011-0AF1-425D-B024-A9100A95FC07}" type="parTrans" cxnId="{E0C890C5-E650-40CF-8B7A-A889398BEF72}">
      <dgm:prSet/>
      <dgm:spPr/>
      <dgm:t>
        <a:bodyPr/>
        <a:lstStyle/>
        <a:p>
          <a:endParaRPr lang="cs-CZ" b="0">
            <a:solidFill>
              <a:schemeClr val="bg1"/>
            </a:solidFill>
          </a:endParaRPr>
        </a:p>
      </dgm:t>
    </dgm:pt>
    <dgm:pt modelId="{E397E42F-9546-4B71-BE96-88110B24A199}" type="sibTrans" cxnId="{E0C890C5-E650-40CF-8B7A-A889398BEF72}">
      <dgm:prSet/>
      <dgm:spPr/>
      <dgm:t>
        <a:bodyPr/>
        <a:lstStyle/>
        <a:p>
          <a:endParaRPr lang="cs-CZ" b="0">
            <a:solidFill>
              <a:schemeClr val="bg1"/>
            </a:solidFill>
          </a:endParaRPr>
        </a:p>
      </dgm:t>
    </dgm:pt>
    <dgm:pt modelId="{A8B3F301-40E2-469F-87B6-954FA05503E8}">
      <dgm:prSet phldrT="[Text]" custT="1"/>
      <dgm:spPr/>
      <dgm:t>
        <a:bodyPr/>
        <a:lstStyle/>
        <a:p>
          <a:pPr algn="ctr"/>
          <a:r>
            <a:rPr lang="cs-CZ" sz="1200" b="0">
              <a:solidFill>
                <a:schemeClr val="bg1"/>
              </a:solidFill>
              <a:latin typeface="Times New Roman" pitchFamily="18" charset="0"/>
              <a:cs typeface="Times New Roman" pitchFamily="18" charset="0"/>
            </a:rPr>
            <a:t>Tradiční ekonomické cíle</a:t>
          </a:r>
        </a:p>
      </dgm:t>
    </dgm:pt>
    <dgm:pt modelId="{1F7FFBBF-A881-4296-8645-6453FFBCC740}" type="parTrans" cxnId="{69ED2A14-3031-4972-A144-6948B6D6D51D}">
      <dgm:prSet/>
      <dgm:spPr/>
      <dgm:t>
        <a:bodyPr/>
        <a:lstStyle/>
        <a:p>
          <a:endParaRPr lang="cs-CZ" b="0">
            <a:solidFill>
              <a:schemeClr val="bg1"/>
            </a:solidFill>
          </a:endParaRPr>
        </a:p>
      </dgm:t>
    </dgm:pt>
    <dgm:pt modelId="{7AF90598-2873-4A58-B22C-9C7808BB4F31}" type="sibTrans" cxnId="{69ED2A14-3031-4972-A144-6948B6D6D51D}">
      <dgm:prSet/>
      <dgm:spPr/>
      <dgm:t>
        <a:bodyPr/>
        <a:lstStyle/>
        <a:p>
          <a:endParaRPr lang="cs-CZ" b="0">
            <a:solidFill>
              <a:schemeClr val="bg1"/>
            </a:solidFill>
          </a:endParaRPr>
        </a:p>
      </dgm:t>
    </dgm:pt>
    <dgm:pt modelId="{A6B8F4BA-AEFA-4992-A20B-67171FD16477}">
      <dgm:prSet phldrT="[Text]" custT="1"/>
      <dgm:spPr/>
      <dgm:t>
        <a:bodyPr/>
        <a:lstStyle/>
        <a:p>
          <a:pPr algn="ctr"/>
          <a:endParaRPr lang="cs-CZ" sz="1200" b="0">
            <a:solidFill>
              <a:schemeClr val="bg1"/>
            </a:solidFill>
            <a:latin typeface="Times New Roman" pitchFamily="18" charset="0"/>
            <a:cs typeface="Times New Roman" pitchFamily="18" charset="0"/>
          </a:endParaRPr>
        </a:p>
        <a:p>
          <a:pPr algn="ctr"/>
          <a:endParaRPr lang="cs-CZ" sz="1200" b="0">
            <a:solidFill>
              <a:schemeClr val="bg1"/>
            </a:solidFill>
            <a:latin typeface="Times New Roman" pitchFamily="18" charset="0"/>
            <a:cs typeface="Times New Roman" pitchFamily="18" charset="0"/>
          </a:endParaRPr>
        </a:p>
        <a:p>
          <a:pPr algn="ctr"/>
          <a:r>
            <a:rPr lang="cs-CZ" sz="1200" b="0">
              <a:solidFill>
                <a:schemeClr val="bg1"/>
              </a:solidFill>
              <a:latin typeface="Times New Roman" pitchFamily="18" charset="0"/>
              <a:cs typeface="Times New Roman" pitchFamily="18" charset="0"/>
            </a:rPr>
            <a:t>Maximalizace </a:t>
          </a:r>
        </a:p>
        <a:p>
          <a:pPr algn="ctr"/>
          <a:r>
            <a:rPr lang="cs-CZ" sz="1200" b="0">
              <a:solidFill>
                <a:schemeClr val="bg1"/>
              </a:solidFill>
              <a:latin typeface="Times New Roman" pitchFamily="18" charset="0"/>
              <a:cs typeface="Times New Roman" pitchFamily="18" charset="0"/>
            </a:rPr>
            <a:t>společenského </a:t>
          </a:r>
        </a:p>
        <a:p>
          <a:pPr algn="ctr"/>
          <a:r>
            <a:rPr lang="cs-CZ" sz="1200" b="0">
              <a:solidFill>
                <a:schemeClr val="bg1"/>
              </a:solidFill>
              <a:latin typeface="Times New Roman" pitchFamily="18" charset="0"/>
              <a:cs typeface="Times New Roman" pitchFamily="18" charset="0"/>
            </a:rPr>
            <a:t>blahobytu</a:t>
          </a:r>
          <a:endParaRPr lang="cs-CZ" sz="1200" b="0">
            <a:solidFill>
              <a:schemeClr val="bg1"/>
            </a:solidFill>
          </a:endParaRPr>
        </a:p>
      </dgm:t>
    </dgm:pt>
    <dgm:pt modelId="{9A4FC4EE-E98E-4BE2-AEB5-C7A66D18B619}" type="parTrans" cxnId="{097B1FC8-2CAC-42CF-B3F9-BD00DC1A21E2}">
      <dgm:prSet/>
      <dgm:spPr/>
      <dgm:t>
        <a:bodyPr/>
        <a:lstStyle/>
        <a:p>
          <a:endParaRPr lang="cs-CZ" b="0">
            <a:solidFill>
              <a:schemeClr val="bg1"/>
            </a:solidFill>
          </a:endParaRPr>
        </a:p>
      </dgm:t>
    </dgm:pt>
    <dgm:pt modelId="{DF78A9F1-5AD7-4F07-A1EF-E56B30D904A6}" type="sibTrans" cxnId="{097B1FC8-2CAC-42CF-B3F9-BD00DC1A21E2}">
      <dgm:prSet/>
      <dgm:spPr/>
      <dgm:t>
        <a:bodyPr/>
        <a:lstStyle/>
        <a:p>
          <a:endParaRPr lang="cs-CZ" b="0">
            <a:solidFill>
              <a:schemeClr val="bg1"/>
            </a:solidFill>
          </a:endParaRPr>
        </a:p>
      </dgm:t>
    </dgm:pt>
    <dgm:pt modelId="{D9B9ACBA-A9CA-480B-813A-60A5EF84FEAA}" type="pres">
      <dgm:prSet presAssocID="{D58AF617-D177-4A32-974D-AC1EDE211716}" presName="Name0" presStyleCnt="0">
        <dgm:presLayoutVars>
          <dgm:dir/>
          <dgm:animLvl val="lvl"/>
          <dgm:resizeHandles val="exact"/>
        </dgm:presLayoutVars>
      </dgm:prSet>
      <dgm:spPr/>
      <dgm:t>
        <a:bodyPr/>
        <a:lstStyle/>
        <a:p>
          <a:endParaRPr lang="cs-CZ"/>
        </a:p>
      </dgm:t>
    </dgm:pt>
    <dgm:pt modelId="{3E526FB4-2A16-4A65-A6FA-6193B1297D45}" type="pres">
      <dgm:prSet presAssocID="{A6B8F4BA-AEFA-4992-A20B-67171FD16477}" presName="Name8" presStyleCnt="0"/>
      <dgm:spPr/>
    </dgm:pt>
    <dgm:pt modelId="{806F6CC4-416F-4EC4-9F43-6ABB628B4724}" type="pres">
      <dgm:prSet presAssocID="{A6B8F4BA-AEFA-4992-A20B-67171FD16477}" presName="level" presStyleLbl="node1" presStyleIdx="0" presStyleCnt="3">
        <dgm:presLayoutVars>
          <dgm:chMax val="1"/>
          <dgm:bulletEnabled val="1"/>
        </dgm:presLayoutVars>
      </dgm:prSet>
      <dgm:spPr/>
      <dgm:t>
        <a:bodyPr/>
        <a:lstStyle/>
        <a:p>
          <a:endParaRPr lang="cs-CZ"/>
        </a:p>
      </dgm:t>
    </dgm:pt>
    <dgm:pt modelId="{BB3A928D-FDA6-48C9-80DD-9CBD0C3EA497}" type="pres">
      <dgm:prSet presAssocID="{A6B8F4BA-AEFA-4992-A20B-67171FD16477}" presName="levelTx" presStyleLbl="revTx" presStyleIdx="0" presStyleCnt="0">
        <dgm:presLayoutVars>
          <dgm:chMax val="1"/>
          <dgm:bulletEnabled val="1"/>
        </dgm:presLayoutVars>
      </dgm:prSet>
      <dgm:spPr/>
      <dgm:t>
        <a:bodyPr/>
        <a:lstStyle/>
        <a:p>
          <a:endParaRPr lang="cs-CZ"/>
        </a:p>
      </dgm:t>
    </dgm:pt>
    <dgm:pt modelId="{FCB298FB-AC59-42A0-BCFC-8F7C089DAE9E}" type="pres">
      <dgm:prSet presAssocID="{554888AB-D17E-4504-B398-3FBBF9C481DD}" presName="Name8" presStyleCnt="0"/>
      <dgm:spPr/>
      <dgm:t>
        <a:bodyPr/>
        <a:lstStyle/>
        <a:p>
          <a:endParaRPr lang="cs-CZ"/>
        </a:p>
      </dgm:t>
    </dgm:pt>
    <dgm:pt modelId="{62B6A30D-7758-42A9-B1EC-F42D0E2783B9}" type="pres">
      <dgm:prSet presAssocID="{554888AB-D17E-4504-B398-3FBBF9C481DD}" presName="level" presStyleLbl="node1" presStyleIdx="1" presStyleCnt="3" custScaleX="101206" custScaleY="38059">
        <dgm:presLayoutVars>
          <dgm:chMax val="1"/>
          <dgm:bulletEnabled val="1"/>
        </dgm:presLayoutVars>
      </dgm:prSet>
      <dgm:spPr/>
      <dgm:t>
        <a:bodyPr/>
        <a:lstStyle/>
        <a:p>
          <a:endParaRPr lang="cs-CZ"/>
        </a:p>
      </dgm:t>
    </dgm:pt>
    <dgm:pt modelId="{7C3C2B87-70F7-4033-BB2E-AAE10B9D9A75}" type="pres">
      <dgm:prSet presAssocID="{554888AB-D17E-4504-B398-3FBBF9C481DD}" presName="levelTx" presStyleLbl="revTx" presStyleIdx="0" presStyleCnt="0">
        <dgm:presLayoutVars>
          <dgm:chMax val="1"/>
          <dgm:bulletEnabled val="1"/>
        </dgm:presLayoutVars>
      </dgm:prSet>
      <dgm:spPr/>
      <dgm:t>
        <a:bodyPr/>
        <a:lstStyle/>
        <a:p>
          <a:endParaRPr lang="cs-CZ"/>
        </a:p>
      </dgm:t>
    </dgm:pt>
    <dgm:pt modelId="{EE5E8BCA-B69A-4BC6-9E97-D4BE3C13E233}" type="pres">
      <dgm:prSet presAssocID="{A8B3F301-40E2-469F-87B6-954FA05503E8}" presName="Name8" presStyleCnt="0"/>
      <dgm:spPr/>
      <dgm:t>
        <a:bodyPr/>
        <a:lstStyle/>
        <a:p>
          <a:endParaRPr lang="cs-CZ"/>
        </a:p>
      </dgm:t>
    </dgm:pt>
    <dgm:pt modelId="{D945AA20-CCD5-47E4-A4EA-5730DE532FA8}" type="pres">
      <dgm:prSet presAssocID="{A8B3F301-40E2-469F-87B6-954FA05503E8}" presName="level" presStyleLbl="node1" presStyleIdx="2" presStyleCnt="3" custScaleY="47111">
        <dgm:presLayoutVars>
          <dgm:chMax val="1"/>
          <dgm:bulletEnabled val="1"/>
        </dgm:presLayoutVars>
      </dgm:prSet>
      <dgm:spPr/>
      <dgm:t>
        <a:bodyPr/>
        <a:lstStyle/>
        <a:p>
          <a:endParaRPr lang="cs-CZ"/>
        </a:p>
      </dgm:t>
    </dgm:pt>
    <dgm:pt modelId="{37FFA35E-16AF-408F-A029-8AD1DD989206}" type="pres">
      <dgm:prSet presAssocID="{A8B3F301-40E2-469F-87B6-954FA05503E8}" presName="levelTx" presStyleLbl="revTx" presStyleIdx="0" presStyleCnt="0">
        <dgm:presLayoutVars>
          <dgm:chMax val="1"/>
          <dgm:bulletEnabled val="1"/>
        </dgm:presLayoutVars>
      </dgm:prSet>
      <dgm:spPr/>
      <dgm:t>
        <a:bodyPr/>
        <a:lstStyle/>
        <a:p>
          <a:endParaRPr lang="cs-CZ"/>
        </a:p>
      </dgm:t>
    </dgm:pt>
  </dgm:ptLst>
  <dgm:cxnLst>
    <dgm:cxn modelId="{8EDB58D2-FF12-4E2B-A920-4B7ED033F664}" type="presOf" srcId="{A6B8F4BA-AEFA-4992-A20B-67171FD16477}" destId="{BB3A928D-FDA6-48C9-80DD-9CBD0C3EA497}" srcOrd="1" destOrd="0" presId="urn:microsoft.com/office/officeart/2005/8/layout/pyramid1"/>
    <dgm:cxn modelId="{DF718E54-211F-446F-A808-8040A614752E}" type="presOf" srcId="{A6B8F4BA-AEFA-4992-A20B-67171FD16477}" destId="{806F6CC4-416F-4EC4-9F43-6ABB628B4724}" srcOrd="0" destOrd="0" presId="urn:microsoft.com/office/officeart/2005/8/layout/pyramid1"/>
    <dgm:cxn modelId="{AB39F2F3-0C4E-4A43-A594-45E7FA1DC062}" type="presOf" srcId="{A8B3F301-40E2-469F-87B6-954FA05503E8}" destId="{37FFA35E-16AF-408F-A029-8AD1DD989206}" srcOrd="1" destOrd="0" presId="urn:microsoft.com/office/officeart/2005/8/layout/pyramid1"/>
    <dgm:cxn modelId="{69ED2A14-3031-4972-A144-6948B6D6D51D}" srcId="{D58AF617-D177-4A32-974D-AC1EDE211716}" destId="{A8B3F301-40E2-469F-87B6-954FA05503E8}" srcOrd="2" destOrd="0" parTransId="{1F7FFBBF-A881-4296-8645-6453FFBCC740}" sibTransId="{7AF90598-2873-4A58-B22C-9C7808BB4F31}"/>
    <dgm:cxn modelId="{3632C6C5-8CB7-4BCD-A521-667A6A682731}" type="presOf" srcId="{554888AB-D17E-4504-B398-3FBBF9C481DD}" destId="{62B6A30D-7758-42A9-B1EC-F42D0E2783B9}" srcOrd="0" destOrd="0" presId="urn:microsoft.com/office/officeart/2005/8/layout/pyramid1"/>
    <dgm:cxn modelId="{097B1FC8-2CAC-42CF-B3F9-BD00DC1A21E2}" srcId="{D58AF617-D177-4A32-974D-AC1EDE211716}" destId="{A6B8F4BA-AEFA-4992-A20B-67171FD16477}" srcOrd="0" destOrd="0" parTransId="{9A4FC4EE-E98E-4BE2-AEB5-C7A66D18B619}" sibTransId="{DF78A9F1-5AD7-4F07-A1EF-E56B30D904A6}"/>
    <dgm:cxn modelId="{C12CDAEC-A659-490C-B346-76C306FDE954}" type="presOf" srcId="{D58AF617-D177-4A32-974D-AC1EDE211716}" destId="{D9B9ACBA-A9CA-480B-813A-60A5EF84FEAA}" srcOrd="0" destOrd="0" presId="urn:microsoft.com/office/officeart/2005/8/layout/pyramid1"/>
    <dgm:cxn modelId="{E0C890C5-E650-40CF-8B7A-A889398BEF72}" srcId="{D58AF617-D177-4A32-974D-AC1EDE211716}" destId="{554888AB-D17E-4504-B398-3FBBF9C481DD}" srcOrd="1" destOrd="0" parTransId="{30A8E011-0AF1-425D-B024-A9100A95FC07}" sibTransId="{E397E42F-9546-4B71-BE96-88110B24A199}"/>
    <dgm:cxn modelId="{A0696761-4317-4FFC-85D9-37B31648AC8D}" type="presOf" srcId="{554888AB-D17E-4504-B398-3FBBF9C481DD}" destId="{7C3C2B87-70F7-4033-BB2E-AAE10B9D9A75}" srcOrd="1" destOrd="0" presId="urn:microsoft.com/office/officeart/2005/8/layout/pyramid1"/>
    <dgm:cxn modelId="{3FC4B56A-2F99-4333-9487-15C4D15CA861}" type="presOf" srcId="{A8B3F301-40E2-469F-87B6-954FA05503E8}" destId="{D945AA20-CCD5-47E4-A4EA-5730DE532FA8}" srcOrd="0" destOrd="0" presId="urn:microsoft.com/office/officeart/2005/8/layout/pyramid1"/>
    <dgm:cxn modelId="{0FE55DB9-E828-4421-9FAE-AD42662068F2}" type="presParOf" srcId="{D9B9ACBA-A9CA-480B-813A-60A5EF84FEAA}" destId="{3E526FB4-2A16-4A65-A6FA-6193B1297D45}" srcOrd="0" destOrd="0" presId="urn:microsoft.com/office/officeart/2005/8/layout/pyramid1"/>
    <dgm:cxn modelId="{B4904E7F-8FF9-451C-8A20-15FAD51AEAD5}" type="presParOf" srcId="{3E526FB4-2A16-4A65-A6FA-6193B1297D45}" destId="{806F6CC4-416F-4EC4-9F43-6ABB628B4724}" srcOrd="0" destOrd="0" presId="urn:microsoft.com/office/officeart/2005/8/layout/pyramid1"/>
    <dgm:cxn modelId="{C95EA0C2-A4FC-4A32-928D-509D24916CAB}" type="presParOf" srcId="{3E526FB4-2A16-4A65-A6FA-6193B1297D45}" destId="{BB3A928D-FDA6-48C9-80DD-9CBD0C3EA497}" srcOrd="1" destOrd="0" presId="urn:microsoft.com/office/officeart/2005/8/layout/pyramid1"/>
    <dgm:cxn modelId="{89069E92-8F71-46C5-9713-6760940B778A}" type="presParOf" srcId="{D9B9ACBA-A9CA-480B-813A-60A5EF84FEAA}" destId="{FCB298FB-AC59-42A0-BCFC-8F7C089DAE9E}" srcOrd="1" destOrd="0" presId="urn:microsoft.com/office/officeart/2005/8/layout/pyramid1"/>
    <dgm:cxn modelId="{65DF2646-05CA-4262-8D57-E4D6DACE1780}" type="presParOf" srcId="{FCB298FB-AC59-42A0-BCFC-8F7C089DAE9E}" destId="{62B6A30D-7758-42A9-B1EC-F42D0E2783B9}" srcOrd="0" destOrd="0" presId="urn:microsoft.com/office/officeart/2005/8/layout/pyramid1"/>
    <dgm:cxn modelId="{F994E0A3-C7E0-415E-B36F-A8B237964849}" type="presParOf" srcId="{FCB298FB-AC59-42A0-BCFC-8F7C089DAE9E}" destId="{7C3C2B87-70F7-4033-BB2E-AAE10B9D9A75}" srcOrd="1" destOrd="0" presId="urn:microsoft.com/office/officeart/2005/8/layout/pyramid1"/>
    <dgm:cxn modelId="{1E4D1AB8-CF95-4B80-96B8-38E8ACFFF003}" type="presParOf" srcId="{D9B9ACBA-A9CA-480B-813A-60A5EF84FEAA}" destId="{EE5E8BCA-B69A-4BC6-9E97-D4BE3C13E233}" srcOrd="2" destOrd="0" presId="urn:microsoft.com/office/officeart/2005/8/layout/pyramid1"/>
    <dgm:cxn modelId="{9351D550-7ABF-4BDC-92E8-6AA805DCCF82}" type="presParOf" srcId="{EE5E8BCA-B69A-4BC6-9E97-D4BE3C13E233}" destId="{D945AA20-CCD5-47E4-A4EA-5730DE532FA8}" srcOrd="0" destOrd="0" presId="urn:microsoft.com/office/officeart/2005/8/layout/pyramid1"/>
    <dgm:cxn modelId="{BDF252C1-6278-4360-ACD8-DC826F13151F}" type="presParOf" srcId="{EE5E8BCA-B69A-4BC6-9E97-D4BE3C13E233}" destId="{37FFA35E-16AF-408F-A029-8AD1DD989206}" srcOrd="1" destOrd="0" presId="urn:microsoft.com/office/officeart/2005/8/layout/pyramid1"/>
  </dgm:cxnLst>
  <dgm:bg/>
  <dgm:whole/>
  <dgm:extLst>
    <a:ext uri="http://schemas.microsoft.com/office/drawing/2008/diagram">
      <dsp:dataModelExt xmlns:dsp="http://schemas.microsoft.com/office/drawing/2008/diagram" xmlns=""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7D62A4A-EB3F-4996-B782-C9A93286D3C7}" type="doc">
      <dgm:prSet loTypeId="urn:microsoft.com/office/officeart/2005/8/layout/process2" loCatId="process" qsTypeId="urn:microsoft.com/office/officeart/2005/8/quickstyle/3d1" qsCatId="3D" csTypeId="urn:microsoft.com/office/officeart/2005/8/colors/accent1_2" csCatId="accent1" phldr="1"/>
      <dgm:spPr/>
      <dgm:t>
        <a:bodyPr/>
        <a:lstStyle/>
        <a:p>
          <a:endParaRPr lang="cs-CZ"/>
        </a:p>
      </dgm:t>
    </dgm:pt>
    <dgm:pt modelId="{D8777A7C-DD51-4279-A0B4-89C35A7D3302}">
      <dgm:prSet phldrT="[Text]"/>
      <dgm:spPr/>
      <dgm:t>
        <a:bodyPr/>
        <a:lstStyle/>
        <a:p>
          <a:r>
            <a:rPr lang="cs-CZ">
              <a:latin typeface="Times New Roman" pitchFamily="18" charset="0"/>
              <a:cs typeface="Times New Roman" pitchFamily="18" charset="0"/>
            </a:rPr>
            <a:t>Pokles ceny nemovitostí</a:t>
          </a:r>
        </a:p>
      </dgm:t>
    </dgm:pt>
    <dgm:pt modelId="{51EB22C6-4E25-4B7D-BA39-58330D5D308C}" type="parTrans" cxnId="{1B1F40CD-9653-4F83-9915-2C7ECBBD7B20}">
      <dgm:prSet/>
      <dgm:spPr/>
      <dgm:t>
        <a:bodyPr/>
        <a:lstStyle/>
        <a:p>
          <a:endParaRPr lang="cs-CZ"/>
        </a:p>
      </dgm:t>
    </dgm:pt>
    <dgm:pt modelId="{992F644F-90F5-43D6-AFEE-A215B10524D4}" type="sibTrans" cxnId="{1B1F40CD-9653-4F83-9915-2C7ECBBD7B20}">
      <dgm:prSet/>
      <dgm:spPr/>
      <dgm:t>
        <a:bodyPr/>
        <a:lstStyle/>
        <a:p>
          <a:endParaRPr lang="cs-CZ"/>
        </a:p>
      </dgm:t>
    </dgm:pt>
    <dgm:pt modelId="{FFEE5BAE-75D2-4EE3-8491-DD1162DBCF60}">
      <dgm:prSet phldrT="[Text]"/>
      <dgm:spPr/>
      <dgm:t>
        <a:bodyPr/>
        <a:lstStyle/>
        <a:p>
          <a:r>
            <a:rPr lang="cs-CZ">
              <a:latin typeface="Times New Roman" pitchFamily="18" charset="0"/>
              <a:cs typeface="Times New Roman" pitchFamily="18" charset="0"/>
            </a:rPr>
            <a:t>Negativní equita</a:t>
          </a:r>
        </a:p>
        <a:p>
          <a:r>
            <a:rPr lang="cs-CZ">
              <a:latin typeface="Times New Roman" pitchFamily="18" charset="0"/>
              <a:cs typeface="Times New Roman" pitchFamily="18" charset="0"/>
            </a:rPr>
            <a:t>(Cena nemovitosti pod úrovní hodnoty hypotéky)</a:t>
          </a:r>
        </a:p>
      </dgm:t>
    </dgm:pt>
    <dgm:pt modelId="{BDA1E753-A82B-4696-A192-0FBAF358F90F}" type="parTrans" cxnId="{597AFCEB-551E-43E8-A539-CDA0FADE0E0A}">
      <dgm:prSet/>
      <dgm:spPr/>
      <dgm:t>
        <a:bodyPr/>
        <a:lstStyle/>
        <a:p>
          <a:endParaRPr lang="cs-CZ"/>
        </a:p>
      </dgm:t>
    </dgm:pt>
    <dgm:pt modelId="{9FAD97A6-A47B-4CC7-81CC-A141B101BF61}" type="sibTrans" cxnId="{597AFCEB-551E-43E8-A539-CDA0FADE0E0A}">
      <dgm:prSet/>
      <dgm:spPr/>
      <dgm:t>
        <a:bodyPr/>
        <a:lstStyle/>
        <a:p>
          <a:endParaRPr lang="cs-CZ"/>
        </a:p>
      </dgm:t>
    </dgm:pt>
    <dgm:pt modelId="{D1CCDA3F-D48A-4BFA-9B99-A0D0FFC1D5D4}">
      <dgm:prSet phldrT="[Text]"/>
      <dgm:spPr/>
      <dgm:t>
        <a:bodyPr/>
        <a:lstStyle/>
        <a:p>
          <a:r>
            <a:rPr lang="cs-CZ">
              <a:latin typeface="Times New Roman" pitchFamily="18" charset="0"/>
              <a:cs typeface="Times New Roman" pitchFamily="18" charset="0"/>
            </a:rPr>
            <a:t>Obyvatelé nemovitost opustí nebo jsou vystěhováni</a:t>
          </a:r>
        </a:p>
      </dgm:t>
    </dgm:pt>
    <dgm:pt modelId="{4536477D-0445-4FA3-9C8E-D4065F5F6DB8}" type="parTrans" cxnId="{210E15A0-7364-4031-A0C8-B91FFFE22832}">
      <dgm:prSet/>
      <dgm:spPr/>
      <dgm:t>
        <a:bodyPr/>
        <a:lstStyle/>
        <a:p>
          <a:endParaRPr lang="cs-CZ"/>
        </a:p>
      </dgm:t>
    </dgm:pt>
    <dgm:pt modelId="{948E41D3-00BD-4AAE-B920-AA908F762A2C}" type="sibTrans" cxnId="{210E15A0-7364-4031-A0C8-B91FFFE22832}">
      <dgm:prSet/>
      <dgm:spPr/>
      <dgm:t>
        <a:bodyPr/>
        <a:lstStyle/>
        <a:p>
          <a:endParaRPr lang="cs-CZ"/>
        </a:p>
      </dgm:t>
    </dgm:pt>
    <dgm:pt modelId="{273C7007-E92D-405C-BE16-DA2F8F8B104D}">
      <dgm:prSet phldrT="[Text]"/>
      <dgm:spPr/>
      <dgm:t>
        <a:bodyPr/>
        <a:lstStyle/>
        <a:p>
          <a:r>
            <a:rPr lang="cs-CZ">
              <a:latin typeface="Times New Roman" pitchFamily="18" charset="0"/>
              <a:cs typeface="Times New Roman" pitchFamily="18" charset="0"/>
            </a:rPr>
            <a:t>Nárust nabídky nemovitostí</a:t>
          </a:r>
        </a:p>
      </dgm:t>
    </dgm:pt>
    <dgm:pt modelId="{968F3E4E-CE09-4BA5-9DBF-5D1E4BCB626B}" type="parTrans" cxnId="{AE9A88B6-CF28-4FEE-8492-6AF56BE0175B}">
      <dgm:prSet/>
      <dgm:spPr/>
      <dgm:t>
        <a:bodyPr/>
        <a:lstStyle/>
        <a:p>
          <a:endParaRPr lang="cs-CZ"/>
        </a:p>
      </dgm:t>
    </dgm:pt>
    <dgm:pt modelId="{3536F4DD-794C-41B0-A88C-976754ABF278}" type="sibTrans" cxnId="{AE9A88B6-CF28-4FEE-8492-6AF56BE0175B}">
      <dgm:prSet/>
      <dgm:spPr/>
      <dgm:t>
        <a:bodyPr/>
        <a:lstStyle/>
        <a:p>
          <a:endParaRPr lang="cs-CZ"/>
        </a:p>
      </dgm:t>
    </dgm:pt>
    <dgm:pt modelId="{32C898D1-28B0-43A1-9127-D83E99E6A0C5}" type="pres">
      <dgm:prSet presAssocID="{C7D62A4A-EB3F-4996-B782-C9A93286D3C7}" presName="linearFlow" presStyleCnt="0">
        <dgm:presLayoutVars>
          <dgm:resizeHandles val="exact"/>
        </dgm:presLayoutVars>
      </dgm:prSet>
      <dgm:spPr/>
      <dgm:t>
        <a:bodyPr/>
        <a:lstStyle/>
        <a:p>
          <a:endParaRPr lang="cs-CZ"/>
        </a:p>
      </dgm:t>
    </dgm:pt>
    <dgm:pt modelId="{76450053-CD1B-4241-99E4-443F4F1DE9C4}" type="pres">
      <dgm:prSet presAssocID="{D8777A7C-DD51-4279-A0B4-89C35A7D3302}" presName="node" presStyleLbl="node1" presStyleIdx="0" presStyleCnt="4">
        <dgm:presLayoutVars>
          <dgm:bulletEnabled val="1"/>
        </dgm:presLayoutVars>
      </dgm:prSet>
      <dgm:spPr/>
      <dgm:t>
        <a:bodyPr/>
        <a:lstStyle/>
        <a:p>
          <a:endParaRPr lang="cs-CZ"/>
        </a:p>
      </dgm:t>
    </dgm:pt>
    <dgm:pt modelId="{86CAD80F-BEC2-4F8E-8542-F196243B4EDD}" type="pres">
      <dgm:prSet presAssocID="{992F644F-90F5-43D6-AFEE-A215B10524D4}" presName="sibTrans" presStyleLbl="sibTrans2D1" presStyleIdx="0" presStyleCnt="3"/>
      <dgm:spPr/>
      <dgm:t>
        <a:bodyPr/>
        <a:lstStyle/>
        <a:p>
          <a:endParaRPr lang="cs-CZ"/>
        </a:p>
      </dgm:t>
    </dgm:pt>
    <dgm:pt modelId="{DE3BC0E9-075C-4983-8CAB-821F94CD0AF6}" type="pres">
      <dgm:prSet presAssocID="{992F644F-90F5-43D6-AFEE-A215B10524D4}" presName="connectorText" presStyleLbl="sibTrans2D1" presStyleIdx="0" presStyleCnt="3"/>
      <dgm:spPr/>
      <dgm:t>
        <a:bodyPr/>
        <a:lstStyle/>
        <a:p>
          <a:endParaRPr lang="cs-CZ"/>
        </a:p>
      </dgm:t>
    </dgm:pt>
    <dgm:pt modelId="{2A0B41D8-A11B-41A7-9B4B-B332E3AD9319}" type="pres">
      <dgm:prSet presAssocID="{FFEE5BAE-75D2-4EE3-8491-DD1162DBCF60}" presName="node" presStyleLbl="node1" presStyleIdx="1" presStyleCnt="4">
        <dgm:presLayoutVars>
          <dgm:bulletEnabled val="1"/>
        </dgm:presLayoutVars>
      </dgm:prSet>
      <dgm:spPr/>
      <dgm:t>
        <a:bodyPr/>
        <a:lstStyle/>
        <a:p>
          <a:endParaRPr lang="cs-CZ"/>
        </a:p>
      </dgm:t>
    </dgm:pt>
    <dgm:pt modelId="{764FA741-8515-4B59-BB8D-3EFA9564F998}" type="pres">
      <dgm:prSet presAssocID="{9FAD97A6-A47B-4CC7-81CC-A141B101BF61}" presName="sibTrans" presStyleLbl="sibTrans2D1" presStyleIdx="1" presStyleCnt="3"/>
      <dgm:spPr/>
      <dgm:t>
        <a:bodyPr/>
        <a:lstStyle/>
        <a:p>
          <a:endParaRPr lang="cs-CZ"/>
        </a:p>
      </dgm:t>
    </dgm:pt>
    <dgm:pt modelId="{F4DB744C-89A8-4E10-A749-9AC564B5E169}" type="pres">
      <dgm:prSet presAssocID="{9FAD97A6-A47B-4CC7-81CC-A141B101BF61}" presName="connectorText" presStyleLbl="sibTrans2D1" presStyleIdx="1" presStyleCnt="3"/>
      <dgm:spPr/>
      <dgm:t>
        <a:bodyPr/>
        <a:lstStyle/>
        <a:p>
          <a:endParaRPr lang="cs-CZ"/>
        </a:p>
      </dgm:t>
    </dgm:pt>
    <dgm:pt modelId="{939BA749-82A7-472D-98F2-962AED9A4E90}" type="pres">
      <dgm:prSet presAssocID="{D1CCDA3F-D48A-4BFA-9B99-A0D0FFC1D5D4}" presName="node" presStyleLbl="node1" presStyleIdx="2" presStyleCnt="4">
        <dgm:presLayoutVars>
          <dgm:bulletEnabled val="1"/>
        </dgm:presLayoutVars>
      </dgm:prSet>
      <dgm:spPr/>
      <dgm:t>
        <a:bodyPr/>
        <a:lstStyle/>
        <a:p>
          <a:endParaRPr lang="cs-CZ"/>
        </a:p>
      </dgm:t>
    </dgm:pt>
    <dgm:pt modelId="{62455DF8-4753-41EA-BB1F-6D58985B313F}" type="pres">
      <dgm:prSet presAssocID="{948E41D3-00BD-4AAE-B920-AA908F762A2C}" presName="sibTrans" presStyleLbl="sibTrans2D1" presStyleIdx="2" presStyleCnt="3"/>
      <dgm:spPr/>
      <dgm:t>
        <a:bodyPr/>
        <a:lstStyle/>
        <a:p>
          <a:endParaRPr lang="cs-CZ"/>
        </a:p>
      </dgm:t>
    </dgm:pt>
    <dgm:pt modelId="{E9A2C32D-710C-40EF-9EF2-CE2E7479A0A1}" type="pres">
      <dgm:prSet presAssocID="{948E41D3-00BD-4AAE-B920-AA908F762A2C}" presName="connectorText" presStyleLbl="sibTrans2D1" presStyleIdx="2" presStyleCnt="3"/>
      <dgm:spPr/>
      <dgm:t>
        <a:bodyPr/>
        <a:lstStyle/>
        <a:p>
          <a:endParaRPr lang="cs-CZ"/>
        </a:p>
      </dgm:t>
    </dgm:pt>
    <dgm:pt modelId="{A201D1C8-5015-4EC5-B35D-B4CC1358F5F5}" type="pres">
      <dgm:prSet presAssocID="{273C7007-E92D-405C-BE16-DA2F8F8B104D}" presName="node" presStyleLbl="node1" presStyleIdx="3" presStyleCnt="4">
        <dgm:presLayoutVars>
          <dgm:bulletEnabled val="1"/>
        </dgm:presLayoutVars>
      </dgm:prSet>
      <dgm:spPr/>
      <dgm:t>
        <a:bodyPr/>
        <a:lstStyle/>
        <a:p>
          <a:endParaRPr lang="cs-CZ"/>
        </a:p>
      </dgm:t>
    </dgm:pt>
  </dgm:ptLst>
  <dgm:cxnLst>
    <dgm:cxn modelId="{1B1F40CD-9653-4F83-9915-2C7ECBBD7B20}" srcId="{C7D62A4A-EB3F-4996-B782-C9A93286D3C7}" destId="{D8777A7C-DD51-4279-A0B4-89C35A7D3302}" srcOrd="0" destOrd="0" parTransId="{51EB22C6-4E25-4B7D-BA39-58330D5D308C}" sibTransId="{992F644F-90F5-43D6-AFEE-A215B10524D4}"/>
    <dgm:cxn modelId="{5CBBCA0D-4F0C-464E-96F3-801B59414461}" type="presOf" srcId="{948E41D3-00BD-4AAE-B920-AA908F762A2C}" destId="{62455DF8-4753-41EA-BB1F-6D58985B313F}" srcOrd="0" destOrd="0" presId="urn:microsoft.com/office/officeart/2005/8/layout/process2"/>
    <dgm:cxn modelId="{109B1DE4-7FE0-41A9-ACF5-3395C87AE799}" type="presOf" srcId="{FFEE5BAE-75D2-4EE3-8491-DD1162DBCF60}" destId="{2A0B41D8-A11B-41A7-9B4B-B332E3AD9319}" srcOrd="0" destOrd="0" presId="urn:microsoft.com/office/officeart/2005/8/layout/process2"/>
    <dgm:cxn modelId="{E8829B55-6F75-4269-BB34-A1ED7CA28812}" type="presOf" srcId="{C7D62A4A-EB3F-4996-B782-C9A93286D3C7}" destId="{32C898D1-28B0-43A1-9127-D83E99E6A0C5}" srcOrd="0" destOrd="0" presId="urn:microsoft.com/office/officeart/2005/8/layout/process2"/>
    <dgm:cxn modelId="{AE9A88B6-CF28-4FEE-8492-6AF56BE0175B}" srcId="{C7D62A4A-EB3F-4996-B782-C9A93286D3C7}" destId="{273C7007-E92D-405C-BE16-DA2F8F8B104D}" srcOrd="3" destOrd="0" parTransId="{968F3E4E-CE09-4BA5-9DBF-5D1E4BCB626B}" sibTransId="{3536F4DD-794C-41B0-A88C-976754ABF278}"/>
    <dgm:cxn modelId="{597AFCEB-551E-43E8-A539-CDA0FADE0E0A}" srcId="{C7D62A4A-EB3F-4996-B782-C9A93286D3C7}" destId="{FFEE5BAE-75D2-4EE3-8491-DD1162DBCF60}" srcOrd="1" destOrd="0" parTransId="{BDA1E753-A82B-4696-A192-0FBAF358F90F}" sibTransId="{9FAD97A6-A47B-4CC7-81CC-A141B101BF61}"/>
    <dgm:cxn modelId="{FADD33E2-34AE-495D-AA6E-2D2B37252FE6}" type="presOf" srcId="{D1CCDA3F-D48A-4BFA-9B99-A0D0FFC1D5D4}" destId="{939BA749-82A7-472D-98F2-962AED9A4E90}" srcOrd="0" destOrd="0" presId="urn:microsoft.com/office/officeart/2005/8/layout/process2"/>
    <dgm:cxn modelId="{0161BF66-9A92-4B76-84FA-EB11F3D919E4}" type="presOf" srcId="{273C7007-E92D-405C-BE16-DA2F8F8B104D}" destId="{A201D1C8-5015-4EC5-B35D-B4CC1358F5F5}" srcOrd="0" destOrd="0" presId="urn:microsoft.com/office/officeart/2005/8/layout/process2"/>
    <dgm:cxn modelId="{91767068-F0C7-4DAB-93B6-3B64033FA8DD}" type="presOf" srcId="{9FAD97A6-A47B-4CC7-81CC-A141B101BF61}" destId="{F4DB744C-89A8-4E10-A749-9AC564B5E169}" srcOrd="1" destOrd="0" presId="urn:microsoft.com/office/officeart/2005/8/layout/process2"/>
    <dgm:cxn modelId="{9F7354CF-D403-43BE-8988-93ABE4B6DE7A}" type="presOf" srcId="{D8777A7C-DD51-4279-A0B4-89C35A7D3302}" destId="{76450053-CD1B-4241-99E4-443F4F1DE9C4}" srcOrd="0" destOrd="0" presId="urn:microsoft.com/office/officeart/2005/8/layout/process2"/>
    <dgm:cxn modelId="{2F7F8F48-72A4-47E6-AF30-79FE43EB83E0}" type="presOf" srcId="{9FAD97A6-A47B-4CC7-81CC-A141B101BF61}" destId="{764FA741-8515-4B59-BB8D-3EFA9564F998}" srcOrd="0" destOrd="0" presId="urn:microsoft.com/office/officeart/2005/8/layout/process2"/>
    <dgm:cxn modelId="{AF949081-E280-4576-A1F0-89F6B5DC970C}" type="presOf" srcId="{992F644F-90F5-43D6-AFEE-A215B10524D4}" destId="{86CAD80F-BEC2-4F8E-8542-F196243B4EDD}" srcOrd="0" destOrd="0" presId="urn:microsoft.com/office/officeart/2005/8/layout/process2"/>
    <dgm:cxn modelId="{F98BF855-A585-4D0D-918A-6D43EB26B53A}" type="presOf" srcId="{948E41D3-00BD-4AAE-B920-AA908F762A2C}" destId="{E9A2C32D-710C-40EF-9EF2-CE2E7479A0A1}" srcOrd="1" destOrd="0" presId="urn:microsoft.com/office/officeart/2005/8/layout/process2"/>
    <dgm:cxn modelId="{B7BF6B4A-2410-42CB-AC49-FEABED3826D0}" type="presOf" srcId="{992F644F-90F5-43D6-AFEE-A215B10524D4}" destId="{DE3BC0E9-075C-4983-8CAB-821F94CD0AF6}" srcOrd="1" destOrd="0" presId="urn:microsoft.com/office/officeart/2005/8/layout/process2"/>
    <dgm:cxn modelId="{210E15A0-7364-4031-A0C8-B91FFFE22832}" srcId="{C7D62A4A-EB3F-4996-B782-C9A93286D3C7}" destId="{D1CCDA3F-D48A-4BFA-9B99-A0D0FFC1D5D4}" srcOrd="2" destOrd="0" parTransId="{4536477D-0445-4FA3-9C8E-D4065F5F6DB8}" sibTransId="{948E41D3-00BD-4AAE-B920-AA908F762A2C}"/>
    <dgm:cxn modelId="{4BBC4477-E5EB-418F-8AB6-7A8540F22CDD}" type="presParOf" srcId="{32C898D1-28B0-43A1-9127-D83E99E6A0C5}" destId="{76450053-CD1B-4241-99E4-443F4F1DE9C4}" srcOrd="0" destOrd="0" presId="urn:microsoft.com/office/officeart/2005/8/layout/process2"/>
    <dgm:cxn modelId="{B741A3B6-1995-41B5-9D23-C3D5D39E3679}" type="presParOf" srcId="{32C898D1-28B0-43A1-9127-D83E99E6A0C5}" destId="{86CAD80F-BEC2-4F8E-8542-F196243B4EDD}" srcOrd="1" destOrd="0" presId="urn:microsoft.com/office/officeart/2005/8/layout/process2"/>
    <dgm:cxn modelId="{BD440539-4ADA-4505-AEF2-F2FF3B60D47F}" type="presParOf" srcId="{86CAD80F-BEC2-4F8E-8542-F196243B4EDD}" destId="{DE3BC0E9-075C-4983-8CAB-821F94CD0AF6}" srcOrd="0" destOrd="0" presId="urn:microsoft.com/office/officeart/2005/8/layout/process2"/>
    <dgm:cxn modelId="{01E6F4CF-294D-4514-9ABE-14603F41707D}" type="presParOf" srcId="{32C898D1-28B0-43A1-9127-D83E99E6A0C5}" destId="{2A0B41D8-A11B-41A7-9B4B-B332E3AD9319}" srcOrd="2" destOrd="0" presId="urn:microsoft.com/office/officeart/2005/8/layout/process2"/>
    <dgm:cxn modelId="{135AAC4D-3B45-4084-9F40-84C4A04ED261}" type="presParOf" srcId="{32C898D1-28B0-43A1-9127-D83E99E6A0C5}" destId="{764FA741-8515-4B59-BB8D-3EFA9564F998}" srcOrd="3" destOrd="0" presId="urn:microsoft.com/office/officeart/2005/8/layout/process2"/>
    <dgm:cxn modelId="{503AC147-2CF4-4160-9A4C-3552D5664B14}" type="presParOf" srcId="{764FA741-8515-4B59-BB8D-3EFA9564F998}" destId="{F4DB744C-89A8-4E10-A749-9AC564B5E169}" srcOrd="0" destOrd="0" presId="urn:microsoft.com/office/officeart/2005/8/layout/process2"/>
    <dgm:cxn modelId="{52008600-48CE-48BC-8F84-5D5387346C8D}" type="presParOf" srcId="{32C898D1-28B0-43A1-9127-D83E99E6A0C5}" destId="{939BA749-82A7-472D-98F2-962AED9A4E90}" srcOrd="4" destOrd="0" presId="urn:microsoft.com/office/officeart/2005/8/layout/process2"/>
    <dgm:cxn modelId="{3FE04AC4-4533-465A-B546-93C20E8B6B03}" type="presParOf" srcId="{32C898D1-28B0-43A1-9127-D83E99E6A0C5}" destId="{62455DF8-4753-41EA-BB1F-6D58985B313F}" srcOrd="5" destOrd="0" presId="urn:microsoft.com/office/officeart/2005/8/layout/process2"/>
    <dgm:cxn modelId="{76448A38-D723-4951-8950-4266644057DB}" type="presParOf" srcId="{62455DF8-4753-41EA-BB1F-6D58985B313F}" destId="{E9A2C32D-710C-40EF-9EF2-CE2E7479A0A1}" srcOrd="0" destOrd="0" presId="urn:microsoft.com/office/officeart/2005/8/layout/process2"/>
    <dgm:cxn modelId="{9ABA74E9-BD95-401B-B54F-ED44D9E8FE5F}" type="presParOf" srcId="{32C898D1-28B0-43A1-9127-D83E99E6A0C5}" destId="{A201D1C8-5015-4EC5-B35D-B4CC1358F5F5}" srcOrd="6" destOrd="0" presId="urn:microsoft.com/office/officeart/2005/8/layout/process2"/>
  </dgm:cxnLst>
  <dgm:bg/>
  <dgm:whole/>
  <dgm:extLst>
    <a:ext uri="http://schemas.microsoft.com/office/drawing/2008/diagram">
      <dsp:dataModelExt xmlns:dsp="http://schemas.microsoft.com/office/drawing/2008/diagram" xmlns="" relId="rId4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AA8E7D1B-10EE-4C00-9223-F71DF978FBD3}" type="doc">
      <dgm:prSet loTypeId="urn:microsoft.com/office/officeart/2005/8/layout/hProcess9" loCatId="process" qsTypeId="urn:microsoft.com/office/officeart/2005/8/quickstyle/3d2" qsCatId="3D" csTypeId="urn:microsoft.com/office/officeart/2005/8/colors/accent1_2" csCatId="accent1" phldr="1"/>
      <dgm:spPr/>
    </dgm:pt>
    <dgm:pt modelId="{A19704A8-906F-4889-A25D-B58BBCDFB335}">
      <dgm:prSet phldrT="[Text]" custT="1"/>
      <dgm:spPr/>
      <dgm:t>
        <a:bodyPr/>
        <a:lstStyle/>
        <a:p>
          <a:r>
            <a:rPr lang="cs-CZ" sz="1100">
              <a:latin typeface="Times New Roman" pitchFamily="18" charset="0"/>
              <a:cs typeface="Times New Roman" pitchFamily="18" charset="0"/>
            </a:rPr>
            <a:t>Pokles příjmů ze splátek hypoték</a:t>
          </a:r>
        </a:p>
      </dgm:t>
    </dgm:pt>
    <dgm:pt modelId="{B58D042C-3F59-4BC9-A7F7-B4A463754451}" type="parTrans" cxnId="{B51B1E0E-13B7-4178-9E7F-56AC0F6FE904}">
      <dgm:prSet/>
      <dgm:spPr/>
      <dgm:t>
        <a:bodyPr/>
        <a:lstStyle/>
        <a:p>
          <a:endParaRPr lang="cs-CZ"/>
        </a:p>
      </dgm:t>
    </dgm:pt>
    <dgm:pt modelId="{8F72B646-9251-4B63-BCDE-ADEF931E6880}" type="sibTrans" cxnId="{B51B1E0E-13B7-4178-9E7F-56AC0F6FE904}">
      <dgm:prSet/>
      <dgm:spPr/>
      <dgm:t>
        <a:bodyPr/>
        <a:lstStyle/>
        <a:p>
          <a:endParaRPr lang="cs-CZ"/>
        </a:p>
      </dgm:t>
    </dgm:pt>
    <dgm:pt modelId="{A299A86B-5A3E-4053-B20C-5EB1DBE7B8E3}">
      <dgm:prSet phldrT="[Text]" custT="1"/>
      <dgm:spPr/>
      <dgm:t>
        <a:bodyPr/>
        <a:lstStyle/>
        <a:p>
          <a:r>
            <a:rPr lang="cs-CZ" sz="1100">
              <a:latin typeface="Times New Roman" pitchFamily="18" charset="0"/>
              <a:cs typeface="Times New Roman" pitchFamily="18" charset="0"/>
            </a:rPr>
            <a:t>Pokles cen MBS</a:t>
          </a:r>
        </a:p>
      </dgm:t>
    </dgm:pt>
    <dgm:pt modelId="{D606B318-B44E-41E1-B7BE-C309EE703E88}" type="parTrans" cxnId="{5F7C237E-F315-44E4-B1A6-FFE72C2D0AF4}">
      <dgm:prSet/>
      <dgm:spPr/>
      <dgm:t>
        <a:bodyPr/>
        <a:lstStyle/>
        <a:p>
          <a:endParaRPr lang="cs-CZ"/>
        </a:p>
      </dgm:t>
    </dgm:pt>
    <dgm:pt modelId="{F01F7EF7-71EE-424F-B9FE-7756F580591E}" type="sibTrans" cxnId="{5F7C237E-F315-44E4-B1A6-FFE72C2D0AF4}">
      <dgm:prSet/>
      <dgm:spPr/>
      <dgm:t>
        <a:bodyPr/>
        <a:lstStyle/>
        <a:p>
          <a:endParaRPr lang="cs-CZ"/>
        </a:p>
      </dgm:t>
    </dgm:pt>
    <dgm:pt modelId="{B57EBC2D-37CF-4B33-A161-9FD79B0B7EFD}">
      <dgm:prSet phldrT="[Text]" custT="1"/>
      <dgm:spPr/>
      <dgm:t>
        <a:bodyPr/>
        <a:lstStyle/>
        <a:p>
          <a:r>
            <a:rPr lang="cs-CZ" sz="1100">
              <a:latin typeface="Times New Roman" pitchFamily="18" charset="0"/>
              <a:cs typeface="Times New Roman" pitchFamily="18" charset="0"/>
            </a:rPr>
            <a:t>Banky utrpí ztrátu</a:t>
          </a:r>
        </a:p>
      </dgm:t>
    </dgm:pt>
    <dgm:pt modelId="{47105F4A-5031-4B35-9A2E-EEB00E82CEE9}" type="parTrans" cxnId="{0B992C02-75B4-4465-90E4-CE77818C803A}">
      <dgm:prSet/>
      <dgm:spPr/>
      <dgm:t>
        <a:bodyPr/>
        <a:lstStyle/>
        <a:p>
          <a:endParaRPr lang="cs-CZ"/>
        </a:p>
      </dgm:t>
    </dgm:pt>
    <dgm:pt modelId="{2CDFC253-AA8D-4B77-BAA5-814E2EF7CFDB}" type="sibTrans" cxnId="{0B992C02-75B4-4465-90E4-CE77818C803A}">
      <dgm:prSet/>
      <dgm:spPr/>
      <dgm:t>
        <a:bodyPr/>
        <a:lstStyle/>
        <a:p>
          <a:endParaRPr lang="cs-CZ"/>
        </a:p>
      </dgm:t>
    </dgm:pt>
    <dgm:pt modelId="{30CA31DB-5794-4423-9F46-F92428973043}" type="pres">
      <dgm:prSet presAssocID="{AA8E7D1B-10EE-4C00-9223-F71DF978FBD3}" presName="CompostProcess" presStyleCnt="0">
        <dgm:presLayoutVars>
          <dgm:dir/>
          <dgm:resizeHandles val="exact"/>
        </dgm:presLayoutVars>
      </dgm:prSet>
      <dgm:spPr/>
    </dgm:pt>
    <dgm:pt modelId="{38C1099E-AAF7-424F-895C-CEA6D89515DA}" type="pres">
      <dgm:prSet presAssocID="{AA8E7D1B-10EE-4C00-9223-F71DF978FBD3}" presName="arrow" presStyleLbl="bgShp" presStyleIdx="0" presStyleCnt="1"/>
      <dgm:spPr/>
    </dgm:pt>
    <dgm:pt modelId="{2924C711-DC2B-4969-8D29-FC4324A39932}" type="pres">
      <dgm:prSet presAssocID="{AA8E7D1B-10EE-4C00-9223-F71DF978FBD3}" presName="linearProcess" presStyleCnt="0"/>
      <dgm:spPr/>
    </dgm:pt>
    <dgm:pt modelId="{B6971980-AC29-4DF4-842A-E43F613231A5}" type="pres">
      <dgm:prSet presAssocID="{A19704A8-906F-4889-A25D-B58BBCDFB335}" presName="textNode" presStyleLbl="node1" presStyleIdx="0" presStyleCnt="3" custScaleY="123635">
        <dgm:presLayoutVars>
          <dgm:bulletEnabled val="1"/>
        </dgm:presLayoutVars>
      </dgm:prSet>
      <dgm:spPr/>
      <dgm:t>
        <a:bodyPr/>
        <a:lstStyle/>
        <a:p>
          <a:endParaRPr lang="cs-CZ"/>
        </a:p>
      </dgm:t>
    </dgm:pt>
    <dgm:pt modelId="{41396E13-F929-4E7A-B83D-2B828AD51F49}" type="pres">
      <dgm:prSet presAssocID="{8F72B646-9251-4B63-BCDE-ADEF931E6880}" presName="sibTrans" presStyleCnt="0"/>
      <dgm:spPr/>
    </dgm:pt>
    <dgm:pt modelId="{A677FE4F-820C-4319-9CC3-E5AD2A6B4C9B}" type="pres">
      <dgm:prSet presAssocID="{A299A86B-5A3E-4053-B20C-5EB1DBE7B8E3}" presName="textNode" presStyleLbl="node1" presStyleIdx="1" presStyleCnt="3" custScaleY="129731">
        <dgm:presLayoutVars>
          <dgm:bulletEnabled val="1"/>
        </dgm:presLayoutVars>
      </dgm:prSet>
      <dgm:spPr/>
      <dgm:t>
        <a:bodyPr/>
        <a:lstStyle/>
        <a:p>
          <a:endParaRPr lang="cs-CZ"/>
        </a:p>
      </dgm:t>
    </dgm:pt>
    <dgm:pt modelId="{A4D2294B-9CD5-4056-9063-174607EFA56A}" type="pres">
      <dgm:prSet presAssocID="{F01F7EF7-71EE-424F-B9FE-7756F580591E}" presName="sibTrans" presStyleCnt="0"/>
      <dgm:spPr/>
    </dgm:pt>
    <dgm:pt modelId="{C760868F-4366-4671-92DC-E2D69FF0D384}" type="pres">
      <dgm:prSet presAssocID="{B57EBC2D-37CF-4B33-A161-9FD79B0B7EFD}" presName="textNode" presStyleLbl="node1" presStyleIdx="2" presStyleCnt="3" custScaleY="129730">
        <dgm:presLayoutVars>
          <dgm:bulletEnabled val="1"/>
        </dgm:presLayoutVars>
      </dgm:prSet>
      <dgm:spPr/>
      <dgm:t>
        <a:bodyPr/>
        <a:lstStyle/>
        <a:p>
          <a:endParaRPr lang="cs-CZ"/>
        </a:p>
      </dgm:t>
    </dgm:pt>
  </dgm:ptLst>
  <dgm:cxnLst>
    <dgm:cxn modelId="{5F7C237E-F315-44E4-B1A6-FFE72C2D0AF4}" srcId="{AA8E7D1B-10EE-4C00-9223-F71DF978FBD3}" destId="{A299A86B-5A3E-4053-B20C-5EB1DBE7B8E3}" srcOrd="1" destOrd="0" parTransId="{D606B318-B44E-41E1-B7BE-C309EE703E88}" sibTransId="{F01F7EF7-71EE-424F-B9FE-7756F580591E}"/>
    <dgm:cxn modelId="{6044F331-2491-4684-BDAF-B96F44ABB9EF}" type="presOf" srcId="{AA8E7D1B-10EE-4C00-9223-F71DF978FBD3}" destId="{30CA31DB-5794-4423-9F46-F92428973043}" srcOrd="0" destOrd="0" presId="urn:microsoft.com/office/officeart/2005/8/layout/hProcess9"/>
    <dgm:cxn modelId="{AA9699B7-BB61-4036-82D6-0BC08201AD18}" type="presOf" srcId="{A19704A8-906F-4889-A25D-B58BBCDFB335}" destId="{B6971980-AC29-4DF4-842A-E43F613231A5}" srcOrd="0" destOrd="0" presId="urn:microsoft.com/office/officeart/2005/8/layout/hProcess9"/>
    <dgm:cxn modelId="{72D40446-A17D-48D7-813E-F633DAE76260}" type="presOf" srcId="{A299A86B-5A3E-4053-B20C-5EB1DBE7B8E3}" destId="{A677FE4F-820C-4319-9CC3-E5AD2A6B4C9B}" srcOrd="0" destOrd="0" presId="urn:microsoft.com/office/officeart/2005/8/layout/hProcess9"/>
    <dgm:cxn modelId="{CBA65125-070C-449E-A4EF-E708B1514B5E}" type="presOf" srcId="{B57EBC2D-37CF-4B33-A161-9FD79B0B7EFD}" destId="{C760868F-4366-4671-92DC-E2D69FF0D384}" srcOrd="0" destOrd="0" presId="urn:microsoft.com/office/officeart/2005/8/layout/hProcess9"/>
    <dgm:cxn modelId="{B51B1E0E-13B7-4178-9E7F-56AC0F6FE904}" srcId="{AA8E7D1B-10EE-4C00-9223-F71DF978FBD3}" destId="{A19704A8-906F-4889-A25D-B58BBCDFB335}" srcOrd="0" destOrd="0" parTransId="{B58D042C-3F59-4BC9-A7F7-B4A463754451}" sibTransId="{8F72B646-9251-4B63-BCDE-ADEF931E6880}"/>
    <dgm:cxn modelId="{0B992C02-75B4-4465-90E4-CE77818C803A}" srcId="{AA8E7D1B-10EE-4C00-9223-F71DF978FBD3}" destId="{B57EBC2D-37CF-4B33-A161-9FD79B0B7EFD}" srcOrd="2" destOrd="0" parTransId="{47105F4A-5031-4B35-9A2E-EEB00E82CEE9}" sibTransId="{2CDFC253-AA8D-4B77-BAA5-814E2EF7CFDB}"/>
    <dgm:cxn modelId="{FFB93B01-A07D-4AF7-9C6B-6D6F8C2A8B55}" type="presParOf" srcId="{30CA31DB-5794-4423-9F46-F92428973043}" destId="{38C1099E-AAF7-424F-895C-CEA6D89515DA}" srcOrd="0" destOrd="0" presId="urn:microsoft.com/office/officeart/2005/8/layout/hProcess9"/>
    <dgm:cxn modelId="{FF4C4604-D8B1-48A1-A13C-B28287C0199F}" type="presParOf" srcId="{30CA31DB-5794-4423-9F46-F92428973043}" destId="{2924C711-DC2B-4969-8D29-FC4324A39932}" srcOrd="1" destOrd="0" presId="urn:microsoft.com/office/officeart/2005/8/layout/hProcess9"/>
    <dgm:cxn modelId="{87EB4248-8C35-4B7C-8A07-4F2718BC67DD}" type="presParOf" srcId="{2924C711-DC2B-4969-8D29-FC4324A39932}" destId="{B6971980-AC29-4DF4-842A-E43F613231A5}" srcOrd="0" destOrd="0" presId="urn:microsoft.com/office/officeart/2005/8/layout/hProcess9"/>
    <dgm:cxn modelId="{D93797AA-F3A3-41A5-8446-9F65509942BD}" type="presParOf" srcId="{2924C711-DC2B-4969-8D29-FC4324A39932}" destId="{41396E13-F929-4E7A-B83D-2B828AD51F49}" srcOrd="1" destOrd="0" presId="urn:microsoft.com/office/officeart/2005/8/layout/hProcess9"/>
    <dgm:cxn modelId="{BA9BF419-E380-4626-B9D1-817177E47552}" type="presParOf" srcId="{2924C711-DC2B-4969-8D29-FC4324A39932}" destId="{A677FE4F-820C-4319-9CC3-E5AD2A6B4C9B}" srcOrd="2" destOrd="0" presId="urn:microsoft.com/office/officeart/2005/8/layout/hProcess9"/>
    <dgm:cxn modelId="{E413092F-883F-4252-8C02-6303671CDE38}" type="presParOf" srcId="{2924C711-DC2B-4969-8D29-FC4324A39932}" destId="{A4D2294B-9CD5-4056-9063-174607EFA56A}" srcOrd="3" destOrd="0" presId="urn:microsoft.com/office/officeart/2005/8/layout/hProcess9"/>
    <dgm:cxn modelId="{6F5C2597-1D0F-42EB-8732-ECCC9CDEA760}" type="presParOf" srcId="{2924C711-DC2B-4969-8D29-FC4324A39932}" destId="{C760868F-4366-4671-92DC-E2D69FF0D384}" srcOrd="4" destOrd="0" presId="urn:microsoft.com/office/officeart/2005/8/layout/hProcess9"/>
  </dgm:cxnLst>
  <dgm:bg/>
  <dgm:whole/>
  <dgm:extLst>
    <a:ext uri="http://schemas.microsoft.com/office/drawing/2008/diagram">
      <dsp:dataModelExt xmlns:dsp="http://schemas.microsoft.com/office/drawing/2008/diagram" xmlns="" relId="rId4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AA8E7D1B-10EE-4C00-9223-F71DF978FBD3}" type="doc">
      <dgm:prSet loTypeId="urn:microsoft.com/office/officeart/2005/8/layout/hProcess9" loCatId="process" qsTypeId="urn:microsoft.com/office/officeart/2005/8/quickstyle/3d2" qsCatId="3D" csTypeId="urn:microsoft.com/office/officeart/2005/8/colors/accent1_2" csCatId="accent1" phldr="1"/>
      <dgm:spPr/>
    </dgm:pt>
    <dgm:pt modelId="{A19704A8-906F-4889-A25D-B58BBCDFB335}">
      <dgm:prSet phldrT="[Text]" custT="1"/>
      <dgm:spPr/>
      <dgm:t>
        <a:bodyPr/>
        <a:lstStyle/>
        <a:p>
          <a:r>
            <a:rPr lang="cs-CZ" sz="1000">
              <a:latin typeface="Times New Roman" pitchFamily="18" charset="0"/>
              <a:cs typeface="Times New Roman" pitchFamily="18" charset="0"/>
            </a:rPr>
            <a:t>Zpomalení ekonomické aktivity, nárůst nezaměstnanosti</a:t>
          </a:r>
        </a:p>
      </dgm:t>
    </dgm:pt>
    <dgm:pt modelId="{B58D042C-3F59-4BC9-A7F7-B4A463754451}" type="parTrans" cxnId="{B51B1E0E-13B7-4178-9E7F-56AC0F6FE904}">
      <dgm:prSet/>
      <dgm:spPr/>
      <dgm:t>
        <a:bodyPr/>
        <a:lstStyle/>
        <a:p>
          <a:endParaRPr lang="cs-CZ"/>
        </a:p>
      </dgm:t>
    </dgm:pt>
    <dgm:pt modelId="{8F72B646-9251-4B63-BCDE-ADEF931E6880}" type="sibTrans" cxnId="{B51B1E0E-13B7-4178-9E7F-56AC0F6FE904}">
      <dgm:prSet/>
      <dgm:spPr/>
      <dgm:t>
        <a:bodyPr/>
        <a:lstStyle/>
        <a:p>
          <a:endParaRPr lang="cs-CZ"/>
        </a:p>
      </dgm:t>
    </dgm:pt>
    <dgm:pt modelId="{A299A86B-5A3E-4053-B20C-5EB1DBE7B8E3}">
      <dgm:prSet phldrT="[Text]" custT="1"/>
      <dgm:spPr/>
      <dgm:t>
        <a:bodyPr/>
        <a:lstStyle/>
        <a:p>
          <a:r>
            <a:rPr lang="cs-CZ" sz="1000">
              <a:latin typeface="Times New Roman" pitchFamily="18" charset="0"/>
              <a:cs typeface="Times New Roman" pitchFamily="18" charset="0"/>
            </a:rPr>
            <a:t>Omezení schvalování úvěrů bankami</a:t>
          </a:r>
        </a:p>
      </dgm:t>
    </dgm:pt>
    <dgm:pt modelId="{D606B318-B44E-41E1-B7BE-C309EE703E88}" type="parTrans" cxnId="{5F7C237E-F315-44E4-B1A6-FFE72C2D0AF4}">
      <dgm:prSet/>
      <dgm:spPr/>
      <dgm:t>
        <a:bodyPr/>
        <a:lstStyle/>
        <a:p>
          <a:endParaRPr lang="cs-CZ"/>
        </a:p>
      </dgm:t>
    </dgm:pt>
    <dgm:pt modelId="{F01F7EF7-71EE-424F-B9FE-7756F580591E}" type="sibTrans" cxnId="{5F7C237E-F315-44E4-B1A6-FFE72C2D0AF4}">
      <dgm:prSet/>
      <dgm:spPr/>
      <dgm:t>
        <a:bodyPr/>
        <a:lstStyle/>
        <a:p>
          <a:endParaRPr lang="cs-CZ"/>
        </a:p>
      </dgm:t>
    </dgm:pt>
    <dgm:pt modelId="{B57EBC2D-37CF-4B33-A161-9FD79B0B7EFD}">
      <dgm:prSet phldrT="[Text]" custT="1"/>
      <dgm:spPr/>
      <dgm:t>
        <a:bodyPr/>
        <a:lstStyle/>
        <a:p>
          <a:r>
            <a:rPr lang="cs-CZ" sz="1000">
              <a:latin typeface="Times New Roman" pitchFamily="18" charset="0"/>
              <a:cs typeface="Times New Roman" pitchFamily="18" charset="0"/>
            </a:rPr>
            <a:t>Pokles bankovního kapitálu (úvěrové prostředky)</a:t>
          </a:r>
        </a:p>
      </dgm:t>
    </dgm:pt>
    <dgm:pt modelId="{47105F4A-5031-4B35-9A2E-EEB00E82CEE9}" type="parTrans" cxnId="{0B992C02-75B4-4465-90E4-CE77818C803A}">
      <dgm:prSet/>
      <dgm:spPr/>
      <dgm:t>
        <a:bodyPr/>
        <a:lstStyle/>
        <a:p>
          <a:endParaRPr lang="cs-CZ"/>
        </a:p>
      </dgm:t>
    </dgm:pt>
    <dgm:pt modelId="{2CDFC253-AA8D-4B77-BAA5-814E2EF7CFDB}" type="sibTrans" cxnId="{0B992C02-75B4-4465-90E4-CE77818C803A}">
      <dgm:prSet/>
      <dgm:spPr/>
      <dgm:t>
        <a:bodyPr/>
        <a:lstStyle/>
        <a:p>
          <a:endParaRPr lang="cs-CZ"/>
        </a:p>
      </dgm:t>
    </dgm:pt>
    <dgm:pt modelId="{30CA31DB-5794-4423-9F46-F92428973043}" type="pres">
      <dgm:prSet presAssocID="{AA8E7D1B-10EE-4C00-9223-F71DF978FBD3}" presName="CompostProcess" presStyleCnt="0">
        <dgm:presLayoutVars>
          <dgm:dir/>
          <dgm:resizeHandles val="exact"/>
        </dgm:presLayoutVars>
      </dgm:prSet>
      <dgm:spPr/>
    </dgm:pt>
    <dgm:pt modelId="{38C1099E-AAF7-424F-895C-CEA6D89515DA}" type="pres">
      <dgm:prSet presAssocID="{AA8E7D1B-10EE-4C00-9223-F71DF978FBD3}" presName="arrow" presStyleLbl="bgShp" presStyleIdx="0" presStyleCnt="1" custAng="10800000"/>
      <dgm:spPr/>
    </dgm:pt>
    <dgm:pt modelId="{2924C711-DC2B-4969-8D29-FC4324A39932}" type="pres">
      <dgm:prSet presAssocID="{AA8E7D1B-10EE-4C00-9223-F71DF978FBD3}" presName="linearProcess" presStyleCnt="0"/>
      <dgm:spPr/>
    </dgm:pt>
    <dgm:pt modelId="{B6971980-AC29-4DF4-842A-E43F613231A5}" type="pres">
      <dgm:prSet presAssocID="{A19704A8-906F-4889-A25D-B58BBCDFB335}" presName="textNode" presStyleLbl="node1" presStyleIdx="0" presStyleCnt="3" custScaleY="101266">
        <dgm:presLayoutVars>
          <dgm:bulletEnabled val="1"/>
        </dgm:presLayoutVars>
      </dgm:prSet>
      <dgm:spPr/>
      <dgm:t>
        <a:bodyPr/>
        <a:lstStyle/>
        <a:p>
          <a:endParaRPr lang="cs-CZ"/>
        </a:p>
      </dgm:t>
    </dgm:pt>
    <dgm:pt modelId="{41396E13-F929-4E7A-B83D-2B828AD51F49}" type="pres">
      <dgm:prSet presAssocID="{8F72B646-9251-4B63-BCDE-ADEF931E6880}" presName="sibTrans" presStyleCnt="0"/>
      <dgm:spPr/>
    </dgm:pt>
    <dgm:pt modelId="{A677FE4F-820C-4319-9CC3-E5AD2A6B4C9B}" type="pres">
      <dgm:prSet presAssocID="{A299A86B-5A3E-4053-B20C-5EB1DBE7B8E3}" presName="textNode" presStyleLbl="node1" presStyleIdx="1" presStyleCnt="3" custScaleY="107595">
        <dgm:presLayoutVars>
          <dgm:bulletEnabled val="1"/>
        </dgm:presLayoutVars>
      </dgm:prSet>
      <dgm:spPr/>
      <dgm:t>
        <a:bodyPr/>
        <a:lstStyle/>
        <a:p>
          <a:endParaRPr lang="cs-CZ"/>
        </a:p>
      </dgm:t>
    </dgm:pt>
    <dgm:pt modelId="{A4D2294B-9CD5-4056-9063-174607EFA56A}" type="pres">
      <dgm:prSet presAssocID="{F01F7EF7-71EE-424F-B9FE-7756F580591E}" presName="sibTrans" presStyleCnt="0"/>
      <dgm:spPr/>
    </dgm:pt>
    <dgm:pt modelId="{C760868F-4366-4671-92DC-E2D69FF0D384}" type="pres">
      <dgm:prSet presAssocID="{B57EBC2D-37CF-4B33-A161-9FD79B0B7EFD}" presName="textNode" presStyleLbl="node1" presStyleIdx="2" presStyleCnt="3" custScaleY="113924">
        <dgm:presLayoutVars>
          <dgm:bulletEnabled val="1"/>
        </dgm:presLayoutVars>
      </dgm:prSet>
      <dgm:spPr/>
      <dgm:t>
        <a:bodyPr/>
        <a:lstStyle/>
        <a:p>
          <a:endParaRPr lang="cs-CZ"/>
        </a:p>
      </dgm:t>
    </dgm:pt>
  </dgm:ptLst>
  <dgm:cxnLst>
    <dgm:cxn modelId="{0C37F989-4F47-4C77-999A-409454E80627}" type="presOf" srcId="{A19704A8-906F-4889-A25D-B58BBCDFB335}" destId="{B6971980-AC29-4DF4-842A-E43F613231A5}" srcOrd="0" destOrd="0" presId="urn:microsoft.com/office/officeart/2005/8/layout/hProcess9"/>
    <dgm:cxn modelId="{5F7C237E-F315-44E4-B1A6-FFE72C2D0AF4}" srcId="{AA8E7D1B-10EE-4C00-9223-F71DF978FBD3}" destId="{A299A86B-5A3E-4053-B20C-5EB1DBE7B8E3}" srcOrd="1" destOrd="0" parTransId="{D606B318-B44E-41E1-B7BE-C309EE703E88}" sibTransId="{F01F7EF7-71EE-424F-B9FE-7756F580591E}"/>
    <dgm:cxn modelId="{B51B1E0E-13B7-4178-9E7F-56AC0F6FE904}" srcId="{AA8E7D1B-10EE-4C00-9223-F71DF978FBD3}" destId="{A19704A8-906F-4889-A25D-B58BBCDFB335}" srcOrd="0" destOrd="0" parTransId="{B58D042C-3F59-4BC9-A7F7-B4A463754451}" sibTransId="{8F72B646-9251-4B63-BCDE-ADEF931E6880}"/>
    <dgm:cxn modelId="{0B992C02-75B4-4465-90E4-CE77818C803A}" srcId="{AA8E7D1B-10EE-4C00-9223-F71DF978FBD3}" destId="{B57EBC2D-37CF-4B33-A161-9FD79B0B7EFD}" srcOrd="2" destOrd="0" parTransId="{47105F4A-5031-4B35-9A2E-EEB00E82CEE9}" sibTransId="{2CDFC253-AA8D-4B77-BAA5-814E2EF7CFDB}"/>
    <dgm:cxn modelId="{48F9A0FA-3C70-43A4-AF2B-7FF81DA0F575}" type="presOf" srcId="{B57EBC2D-37CF-4B33-A161-9FD79B0B7EFD}" destId="{C760868F-4366-4671-92DC-E2D69FF0D384}" srcOrd="0" destOrd="0" presId="urn:microsoft.com/office/officeart/2005/8/layout/hProcess9"/>
    <dgm:cxn modelId="{346139EE-0E25-4D4B-85CB-FB991A386CD4}" type="presOf" srcId="{A299A86B-5A3E-4053-B20C-5EB1DBE7B8E3}" destId="{A677FE4F-820C-4319-9CC3-E5AD2A6B4C9B}" srcOrd="0" destOrd="0" presId="urn:microsoft.com/office/officeart/2005/8/layout/hProcess9"/>
    <dgm:cxn modelId="{E4F27A23-B197-40F1-AF5C-575B3E66825E}" type="presOf" srcId="{AA8E7D1B-10EE-4C00-9223-F71DF978FBD3}" destId="{30CA31DB-5794-4423-9F46-F92428973043}" srcOrd="0" destOrd="0" presId="urn:microsoft.com/office/officeart/2005/8/layout/hProcess9"/>
    <dgm:cxn modelId="{36ACFD37-6893-4464-BDE1-CA6226DEF183}" type="presParOf" srcId="{30CA31DB-5794-4423-9F46-F92428973043}" destId="{38C1099E-AAF7-424F-895C-CEA6D89515DA}" srcOrd="0" destOrd="0" presId="urn:microsoft.com/office/officeart/2005/8/layout/hProcess9"/>
    <dgm:cxn modelId="{844D51BE-0E2F-415B-9B76-C572ECE11168}" type="presParOf" srcId="{30CA31DB-5794-4423-9F46-F92428973043}" destId="{2924C711-DC2B-4969-8D29-FC4324A39932}" srcOrd="1" destOrd="0" presId="urn:microsoft.com/office/officeart/2005/8/layout/hProcess9"/>
    <dgm:cxn modelId="{3954D7BF-3AD2-4397-B027-E521C0C0AB7B}" type="presParOf" srcId="{2924C711-DC2B-4969-8D29-FC4324A39932}" destId="{B6971980-AC29-4DF4-842A-E43F613231A5}" srcOrd="0" destOrd="0" presId="urn:microsoft.com/office/officeart/2005/8/layout/hProcess9"/>
    <dgm:cxn modelId="{27EBB005-BCA1-4DD7-AB61-F38140BB28C0}" type="presParOf" srcId="{2924C711-DC2B-4969-8D29-FC4324A39932}" destId="{41396E13-F929-4E7A-B83D-2B828AD51F49}" srcOrd="1" destOrd="0" presId="urn:microsoft.com/office/officeart/2005/8/layout/hProcess9"/>
    <dgm:cxn modelId="{2975A893-76BF-4401-A0DA-A406118D40B8}" type="presParOf" srcId="{2924C711-DC2B-4969-8D29-FC4324A39932}" destId="{A677FE4F-820C-4319-9CC3-E5AD2A6B4C9B}" srcOrd="2" destOrd="0" presId="urn:microsoft.com/office/officeart/2005/8/layout/hProcess9"/>
    <dgm:cxn modelId="{B01EEB5E-7F48-432C-A4C4-5FE826838D00}" type="presParOf" srcId="{2924C711-DC2B-4969-8D29-FC4324A39932}" destId="{A4D2294B-9CD5-4056-9063-174607EFA56A}" srcOrd="3" destOrd="0" presId="urn:microsoft.com/office/officeart/2005/8/layout/hProcess9"/>
    <dgm:cxn modelId="{20273AA8-2936-4AE2-A535-239485CEB38E}" type="presParOf" srcId="{2924C711-DC2B-4969-8D29-FC4324A39932}" destId="{C760868F-4366-4671-92DC-E2D69FF0D384}" srcOrd="4" destOrd="0" presId="urn:microsoft.com/office/officeart/2005/8/layout/hProcess9"/>
  </dgm:cxnLst>
  <dgm:bg/>
  <dgm:whole/>
  <dgm:extLst>
    <a:ext uri="http://schemas.microsoft.com/office/drawing/2008/diagram">
      <dsp:dataModelExt xmlns:dsp="http://schemas.microsoft.com/office/drawing/2008/diagram" xmlns="" relId="rId5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B5157DF-997F-4851-8062-B5C7FD25F165}">
      <dsp:nvSpPr>
        <dsp:cNvPr id="0" name=""/>
        <dsp:cNvSpPr/>
      </dsp:nvSpPr>
      <dsp:spPr>
        <a:xfrm>
          <a:off x="1875" y="352633"/>
          <a:ext cx="1015305" cy="609183"/>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cs-CZ" sz="1200" kern="1200">
              <a:latin typeface="Times New Roman" pitchFamily="18" charset="0"/>
              <a:cs typeface="Times New Roman" pitchFamily="18" charset="0"/>
            </a:rPr>
            <a:t>Hospodářský systém.</a:t>
          </a:r>
        </a:p>
      </dsp:txBody>
      <dsp:txXfrm>
        <a:off x="1875" y="352633"/>
        <a:ext cx="1015305" cy="609183"/>
      </dsp:txXfrm>
    </dsp:sp>
    <dsp:sp modelId="{561199EC-B994-47DC-ACAB-C958401D43D1}">
      <dsp:nvSpPr>
        <dsp:cNvPr id="0" name=""/>
        <dsp:cNvSpPr/>
      </dsp:nvSpPr>
      <dsp:spPr>
        <a:xfrm>
          <a:off x="1118711" y="352633"/>
          <a:ext cx="1015305" cy="609183"/>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cs-CZ" sz="1200" kern="1200">
              <a:latin typeface="Times New Roman" pitchFamily="18" charset="0"/>
              <a:cs typeface="Times New Roman" pitchFamily="18" charset="0"/>
            </a:rPr>
            <a:t>Politický systém.</a:t>
          </a:r>
        </a:p>
      </dsp:txBody>
      <dsp:txXfrm>
        <a:off x="1118711" y="352633"/>
        <a:ext cx="1015305" cy="609183"/>
      </dsp:txXfrm>
    </dsp:sp>
    <dsp:sp modelId="{673AB26F-D96A-4DC7-B4E4-BDD8EE23A9AE}">
      <dsp:nvSpPr>
        <dsp:cNvPr id="0" name=""/>
        <dsp:cNvSpPr/>
      </dsp:nvSpPr>
      <dsp:spPr>
        <a:xfrm>
          <a:off x="2235547" y="352633"/>
          <a:ext cx="1015305" cy="609183"/>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cs-CZ" sz="1200" kern="1200">
              <a:latin typeface="Times New Roman" pitchFamily="18" charset="0"/>
              <a:cs typeface="Times New Roman" pitchFamily="18" charset="0"/>
            </a:rPr>
            <a:t>Byrokracie.</a:t>
          </a:r>
        </a:p>
      </dsp:txBody>
      <dsp:txXfrm>
        <a:off x="2235547" y="352633"/>
        <a:ext cx="1015305" cy="609183"/>
      </dsp:txXfrm>
    </dsp:sp>
    <dsp:sp modelId="{371A4D82-5AB3-4EC1-A558-AC3299A07821}">
      <dsp:nvSpPr>
        <dsp:cNvPr id="0" name=""/>
        <dsp:cNvSpPr/>
      </dsp:nvSpPr>
      <dsp:spPr>
        <a:xfrm>
          <a:off x="3352383" y="352633"/>
          <a:ext cx="1015305" cy="609183"/>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cs-CZ" sz="1200" kern="1200">
              <a:latin typeface="Times New Roman" pitchFamily="18" charset="0"/>
              <a:cs typeface="Times New Roman" pitchFamily="18" charset="0"/>
            </a:rPr>
            <a:t>Velké sociální skupiny.</a:t>
          </a:r>
        </a:p>
      </dsp:txBody>
      <dsp:txXfrm>
        <a:off x="3352383" y="352633"/>
        <a:ext cx="1015305" cy="609183"/>
      </dsp:txXfrm>
    </dsp:sp>
    <dsp:sp modelId="{E0BCEA0F-8D85-402D-9C3A-7C55D91A42A2}">
      <dsp:nvSpPr>
        <dsp:cNvPr id="0" name=""/>
        <dsp:cNvSpPr/>
      </dsp:nvSpPr>
      <dsp:spPr>
        <a:xfrm>
          <a:off x="4469219" y="352633"/>
          <a:ext cx="1015305" cy="609183"/>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cs-CZ" sz="1200" kern="1200">
              <a:latin typeface="Times New Roman" pitchFamily="18" charset="0"/>
              <a:cs typeface="Times New Roman" pitchFamily="18" charset="0"/>
            </a:rPr>
            <a:t>Nadnárodní a mezinárodní organizace.</a:t>
          </a:r>
        </a:p>
      </dsp:txBody>
      <dsp:txXfrm>
        <a:off x="4469219" y="352633"/>
        <a:ext cx="1015305" cy="609183"/>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06F6CC4-416F-4EC4-9F43-6ABB628B4724}">
      <dsp:nvSpPr>
        <dsp:cNvPr id="0" name=""/>
        <dsp:cNvSpPr/>
      </dsp:nvSpPr>
      <dsp:spPr>
        <a:xfrm>
          <a:off x="1294743" y="208455"/>
          <a:ext cx="1294743" cy="788275"/>
        </a:xfrm>
        <a:prstGeom prst="trapezoid">
          <a:avLst>
            <a:gd name="adj" fmla="val 82125"/>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endParaRPr lang="cs-CZ" sz="1200" b="0" kern="1200">
            <a:solidFill>
              <a:schemeClr val="bg1"/>
            </a:solidFill>
            <a:latin typeface="Times New Roman" pitchFamily="18" charset="0"/>
            <a:cs typeface="Times New Roman" pitchFamily="18" charset="0"/>
          </a:endParaRPr>
        </a:p>
        <a:p>
          <a:pPr lvl="0" algn="ctr" defTabSz="533400">
            <a:lnSpc>
              <a:spcPct val="90000"/>
            </a:lnSpc>
            <a:spcBef>
              <a:spcPct val="0"/>
            </a:spcBef>
            <a:spcAft>
              <a:spcPct val="35000"/>
            </a:spcAft>
          </a:pPr>
          <a:endParaRPr lang="cs-CZ" sz="1200" b="0" kern="1200">
            <a:solidFill>
              <a:schemeClr val="bg1"/>
            </a:solidFill>
            <a:latin typeface="Times New Roman" pitchFamily="18" charset="0"/>
            <a:cs typeface="Times New Roman" pitchFamily="18" charset="0"/>
          </a:endParaRPr>
        </a:p>
        <a:p>
          <a:pPr lvl="0" algn="ctr" defTabSz="533400">
            <a:lnSpc>
              <a:spcPct val="90000"/>
            </a:lnSpc>
            <a:spcBef>
              <a:spcPct val="0"/>
            </a:spcBef>
            <a:spcAft>
              <a:spcPct val="35000"/>
            </a:spcAft>
          </a:pPr>
          <a:r>
            <a:rPr lang="cs-CZ" sz="1200" b="0" kern="1200">
              <a:solidFill>
                <a:schemeClr val="bg1"/>
              </a:solidFill>
              <a:latin typeface="Times New Roman" pitchFamily="18" charset="0"/>
              <a:cs typeface="Times New Roman" pitchFamily="18" charset="0"/>
            </a:rPr>
            <a:t>Maximalizace </a:t>
          </a:r>
        </a:p>
        <a:p>
          <a:pPr lvl="0" algn="ctr" defTabSz="533400">
            <a:lnSpc>
              <a:spcPct val="90000"/>
            </a:lnSpc>
            <a:spcBef>
              <a:spcPct val="0"/>
            </a:spcBef>
            <a:spcAft>
              <a:spcPct val="35000"/>
            </a:spcAft>
          </a:pPr>
          <a:r>
            <a:rPr lang="cs-CZ" sz="1200" b="0" kern="1200">
              <a:solidFill>
                <a:schemeClr val="bg1"/>
              </a:solidFill>
              <a:latin typeface="Times New Roman" pitchFamily="18" charset="0"/>
              <a:cs typeface="Times New Roman" pitchFamily="18" charset="0"/>
            </a:rPr>
            <a:t>společenského </a:t>
          </a:r>
        </a:p>
        <a:p>
          <a:pPr lvl="0" algn="ctr" defTabSz="533400">
            <a:lnSpc>
              <a:spcPct val="90000"/>
            </a:lnSpc>
            <a:spcBef>
              <a:spcPct val="0"/>
            </a:spcBef>
            <a:spcAft>
              <a:spcPct val="35000"/>
            </a:spcAft>
          </a:pPr>
          <a:r>
            <a:rPr lang="cs-CZ" sz="1200" b="0" kern="1200">
              <a:solidFill>
                <a:schemeClr val="bg1"/>
              </a:solidFill>
              <a:latin typeface="Times New Roman" pitchFamily="18" charset="0"/>
              <a:cs typeface="Times New Roman" pitchFamily="18" charset="0"/>
            </a:rPr>
            <a:t>blahobytu</a:t>
          </a:r>
          <a:endParaRPr lang="cs-CZ" sz="1200" b="0" kern="1200">
            <a:solidFill>
              <a:schemeClr val="bg1"/>
            </a:solidFill>
          </a:endParaRPr>
        </a:p>
      </dsp:txBody>
      <dsp:txXfrm>
        <a:off x="1294743" y="208455"/>
        <a:ext cx="1294743" cy="788275"/>
      </dsp:txXfrm>
    </dsp:sp>
    <dsp:sp modelId="{62B6A30D-7758-42A9-B1EC-F42D0E2783B9}">
      <dsp:nvSpPr>
        <dsp:cNvPr id="0" name=""/>
        <dsp:cNvSpPr/>
      </dsp:nvSpPr>
      <dsp:spPr>
        <a:xfrm>
          <a:off x="647371" y="996731"/>
          <a:ext cx="2620715" cy="300009"/>
        </a:xfrm>
        <a:prstGeom prst="trapezoid">
          <a:avLst>
            <a:gd name="adj" fmla="val 82125"/>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cs-CZ" sz="1200" b="0" kern="1200">
              <a:solidFill>
                <a:schemeClr val="bg1"/>
              </a:solidFill>
              <a:latin typeface="Times New Roman" pitchFamily="18" charset="0"/>
              <a:cs typeface="Times New Roman" pitchFamily="18" charset="0"/>
            </a:rPr>
            <a:t>Základní společenské cíle (hodnoty)</a:t>
          </a:r>
        </a:p>
      </dsp:txBody>
      <dsp:txXfrm>
        <a:off x="1105996" y="996731"/>
        <a:ext cx="1703464" cy="300009"/>
      </dsp:txXfrm>
    </dsp:sp>
    <dsp:sp modelId="{D945AA20-CCD5-47E4-A4EA-5730DE532FA8}">
      <dsp:nvSpPr>
        <dsp:cNvPr id="0" name=""/>
        <dsp:cNvSpPr/>
      </dsp:nvSpPr>
      <dsp:spPr>
        <a:xfrm>
          <a:off x="0" y="1785006"/>
          <a:ext cx="3884229" cy="371364"/>
        </a:xfrm>
        <a:prstGeom prst="trapezoid">
          <a:avLst>
            <a:gd name="adj" fmla="val 82125"/>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cs-CZ" sz="1200" b="0" kern="1200">
              <a:solidFill>
                <a:schemeClr val="bg1"/>
              </a:solidFill>
              <a:latin typeface="Times New Roman" pitchFamily="18" charset="0"/>
              <a:cs typeface="Times New Roman" pitchFamily="18" charset="0"/>
            </a:rPr>
            <a:t>Tradiční ekonomické cíle</a:t>
          </a:r>
        </a:p>
      </dsp:txBody>
      <dsp:txXfrm>
        <a:off x="679740" y="1785006"/>
        <a:ext cx="2524748" cy="371364"/>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76450053-CD1B-4241-99E4-443F4F1DE9C4}">
      <dsp:nvSpPr>
        <dsp:cNvPr id="0" name=""/>
        <dsp:cNvSpPr/>
      </dsp:nvSpPr>
      <dsp:spPr>
        <a:xfrm>
          <a:off x="114895" y="1734"/>
          <a:ext cx="1560909" cy="645337"/>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cs-CZ" sz="1100" kern="1200">
              <a:latin typeface="Times New Roman" pitchFamily="18" charset="0"/>
              <a:cs typeface="Times New Roman" pitchFamily="18" charset="0"/>
            </a:rPr>
            <a:t>Pokles ceny nemovitostí</a:t>
          </a:r>
        </a:p>
      </dsp:txBody>
      <dsp:txXfrm>
        <a:off x="114895" y="1734"/>
        <a:ext cx="1560909" cy="645337"/>
      </dsp:txXfrm>
    </dsp:sp>
    <dsp:sp modelId="{86CAD80F-BEC2-4F8E-8542-F196243B4EDD}">
      <dsp:nvSpPr>
        <dsp:cNvPr id="0" name=""/>
        <dsp:cNvSpPr/>
      </dsp:nvSpPr>
      <dsp:spPr>
        <a:xfrm rot="5400000">
          <a:off x="774349" y="663205"/>
          <a:ext cx="242001" cy="290401"/>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cs-CZ" sz="900" kern="1200"/>
        </a:p>
      </dsp:txBody>
      <dsp:txXfrm rot="5400000">
        <a:off x="774349" y="663205"/>
        <a:ext cx="242001" cy="290401"/>
      </dsp:txXfrm>
    </dsp:sp>
    <dsp:sp modelId="{2A0B41D8-A11B-41A7-9B4B-B332E3AD9319}">
      <dsp:nvSpPr>
        <dsp:cNvPr id="0" name=""/>
        <dsp:cNvSpPr/>
      </dsp:nvSpPr>
      <dsp:spPr>
        <a:xfrm>
          <a:off x="114895" y="969740"/>
          <a:ext cx="1560909" cy="645337"/>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cs-CZ" sz="1100" kern="1200">
              <a:latin typeface="Times New Roman" pitchFamily="18" charset="0"/>
              <a:cs typeface="Times New Roman" pitchFamily="18" charset="0"/>
            </a:rPr>
            <a:t>Negativní equita</a:t>
          </a:r>
        </a:p>
        <a:p>
          <a:pPr lvl="0" algn="ctr" defTabSz="488950">
            <a:lnSpc>
              <a:spcPct val="90000"/>
            </a:lnSpc>
            <a:spcBef>
              <a:spcPct val="0"/>
            </a:spcBef>
            <a:spcAft>
              <a:spcPct val="35000"/>
            </a:spcAft>
          </a:pPr>
          <a:r>
            <a:rPr lang="cs-CZ" sz="1100" kern="1200">
              <a:latin typeface="Times New Roman" pitchFamily="18" charset="0"/>
              <a:cs typeface="Times New Roman" pitchFamily="18" charset="0"/>
            </a:rPr>
            <a:t>(Cena nemovitosti pod úrovní hodnoty hypotéky)</a:t>
          </a:r>
        </a:p>
      </dsp:txBody>
      <dsp:txXfrm>
        <a:off x="114895" y="969740"/>
        <a:ext cx="1560909" cy="645337"/>
      </dsp:txXfrm>
    </dsp:sp>
    <dsp:sp modelId="{764FA741-8515-4B59-BB8D-3EFA9564F998}">
      <dsp:nvSpPr>
        <dsp:cNvPr id="0" name=""/>
        <dsp:cNvSpPr/>
      </dsp:nvSpPr>
      <dsp:spPr>
        <a:xfrm rot="5400000">
          <a:off x="774349" y="1631211"/>
          <a:ext cx="242001" cy="290401"/>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cs-CZ" sz="900" kern="1200"/>
        </a:p>
      </dsp:txBody>
      <dsp:txXfrm rot="5400000">
        <a:off x="774349" y="1631211"/>
        <a:ext cx="242001" cy="290401"/>
      </dsp:txXfrm>
    </dsp:sp>
    <dsp:sp modelId="{939BA749-82A7-472D-98F2-962AED9A4E90}">
      <dsp:nvSpPr>
        <dsp:cNvPr id="0" name=""/>
        <dsp:cNvSpPr/>
      </dsp:nvSpPr>
      <dsp:spPr>
        <a:xfrm>
          <a:off x="114895" y="1937746"/>
          <a:ext cx="1560909" cy="645337"/>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cs-CZ" sz="1100" kern="1200">
              <a:latin typeface="Times New Roman" pitchFamily="18" charset="0"/>
              <a:cs typeface="Times New Roman" pitchFamily="18" charset="0"/>
            </a:rPr>
            <a:t>Obyvatelé nemovitost opustí nebo jsou vystěhováni</a:t>
          </a:r>
        </a:p>
      </dsp:txBody>
      <dsp:txXfrm>
        <a:off x="114895" y="1937746"/>
        <a:ext cx="1560909" cy="645337"/>
      </dsp:txXfrm>
    </dsp:sp>
    <dsp:sp modelId="{62455DF8-4753-41EA-BB1F-6D58985B313F}">
      <dsp:nvSpPr>
        <dsp:cNvPr id="0" name=""/>
        <dsp:cNvSpPr/>
      </dsp:nvSpPr>
      <dsp:spPr>
        <a:xfrm rot="5400000">
          <a:off x="774349" y="2599217"/>
          <a:ext cx="242001" cy="290401"/>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cs-CZ" sz="900" kern="1200"/>
        </a:p>
      </dsp:txBody>
      <dsp:txXfrm rot="5400000">
        <a:off x="774349" y="2599217"/>
        <a:ext cx="242001" cy="290401"/>
      </dsp:txXfrm>
    </dsp:sp>
    <dsp:sp modelId="{A201D1C8-5015-4EC5-B35D-B4CC1358F5F5}">
      <dsp:nvSpPr>
        <dsp:cNvPr id="0" name=""/>
        <dsp:cNvSpPr/>
      </dsp:nvSpPr>
      <dsp:spPr>
        <a:xfrm>
          <a:off x="114895" y="2905752"/>
          <a:ext cx="1560909" cy="645337"/>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cs-CZ" sz="1100" kern="1200">
              <a:latin typeface="Times New Roman" pitchFamily="18" charset="0"/>
              <a:cs typeface="Times New Roman" pitchFamily="18" charset="0"/>
            </a:rPr>
            <a:t>Nárust nabídky nemovitostí</a:t>
          </a:r>
        </a:p>
      </dsp:txBody>
      <dsp:txXfrm>
        <a:off x="114895" y="2905752"/>
        <a:ext cx="1560909" cy="645337"/>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8C1099E-AAF7-424F-895C-CEA6D89515DA}">
      <dsp:nvSpPr>
        <dsp:cNvPr id="0" name=""/>
        <dsp:cNvSpPr/>
      </dsp:nvSpPr>
      <dsp:spPr>
        <a:xfrm>
          <a:off x="236886" y="0"/>
          <a:ext cx="2684716" cy="1304925"/>
        </a:xfrm>
        <a:prstGeom prst="rightArrow">
          <a:avLst/>
        </a:prstGeom>
        <a:gradFill rotWithShape="0">
          <a:gsLst>
            <a:gs pos="0">
              <a:schemeClr val="accent1">
                <a:tint val="40000"/>
                <a:hueOff val="0"/>
                <a:satOff val="0"/>
                <a:lumOff val="0"/>
                <a:alphaOff val="0"/>
                <a:shade val="51000"/>
                <a:satMod val="130000"/>
              </a:schemeClr>
            </a:gs>
            <a:gs pos="80000">
              <a:schemeClr val="accent1">
                <a:tint val="40000"/>
                <a:hueOff val="0"/>
                <a:satOff val="0"/>
                <a:lumOff val="0"/>
                <a:alphaOff val="0"/>
                <a:shade val="93000"/>
                <a:satMod val="130000"/>
              </a:schemeClr>
            </a:gs>
            <a:gs pos="100000">
              <a:schemeClr val="accent1">
                <a:tint val="40000"/>
                <a:hueOff val="0"/>
                <a:satOff val="0"/>
                <a:lumOff val="0"/>
                <a:alphaOff val="0"/>
                <a:shade val="94000"/>
                <a:satMod val="135000"/>
              </a:schemeClr>
            </a:gs>
          </a:gsLst>
          <a:lin ang="16200000" scaled="0"/>
        </a:gradFill>
        <a:ln>
          <a:noFill/>
        </a:ln>
        <a:effectLst/>
        <a:scene3d>
          <a:camera prst="orthographicFront"/>
          <a:lightRig rig="threePt" dir="t">
            <a:rot lat="0" lon="0" rev="7500000"/>
          </a:lightRig>
        </a:scene3d>
        <a:sp3d z="-152400" extrusionH="63500" prstMaterial="matte">
          <a:bevelT w="144450" h="6350" prst="relaxedInset"/>
          <a:contourClr>
            <a:schemeClr val="bg1"/>
          </a:contourClr>
        </a:sp3d>
      </dsp:spPr>
      <dsp:style>
        <a:lnRef idx="0">
          <a:scrgbClr r="0" g="0" b="0"/>
        </a:lnRef>
        <a:fillRef idx="3">
          <a:scrgbClr r="0" g="0" b="0"/>
        </a:fillRef>
        <a:effectRef idx="0">
          <a:scrgbClr r="0" g="0" b="0"/>
        </a:effectRef>
        <a:fontRef idx="minor"/>
      </dsp:style>
    </dsp:sp>
    <dsp:sp modelId="{B6971980-AC29-4DF4-842A-E43F613231A5}">
      <dsp:nvSpPr>
        <dsp:cNvPr id="0" name=""/>
        <dsp:cNvSpPr/>
      </dsp:nvSpPr>
      <dsp:spPr>
        <a:xfrm>
          <a:off x="1542" y="329793"/>
          <a:ext cx="953099" cy="645337"/>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cs-CZ" sz="1100" kern="1200">
              <a:latin typeface="Times New Roman" pitchFamily="18" charset="0"/>
              <a:cs typeface="Times New Roman" pitchFamily="18" charset="0"/>
            </a:rPr>
            <a:t>Pokles příjmů ze splátek hypoték</a:t>
          </a:r>
        </a:p>
      </dsp:txBody>
      <dsp:txXfrm>
        <a:off x="1542" y="329793"/>
        <a:ext cx="953099" cy="645337"/>
      </dsp:txXfrm>
    </dsp:sp>
    <dsp:sp modelId="{A677FE4F-820C-4319-9CC3-E5AD2A6B4C9B}">
      <dsp:nvSpPr>
        <dsp:cNvPr id="0" name=""/>
        <dsp:cNvSpPr/>
      </dsp:nvSpPr>
      <dsp:spPr>
        <a:xfrm>
          <a:off x="1102695" y="313884"/>
          <a:ext cx="953099" cy="677156"/>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cs-CZ" sz="1100" kern="1200">
              <a:latin typeface="Times New Roman" pitchFamily="18" charset="0"/>
              <a:cs typeface="Times New Roman" pitchFamily="18" charset="0"/>
            </a:rPr>
            <a:t>Pokles cen MBS</a:t>
          </a:r>
        </a:p>
      </dsp:txBody>
      <dsp:txXfrm>
        <a:off x="1102695" y="313884"/>
        <a:ext cx="953099" cy="677156"/>
      </dsp:txXfrm>
    </dsp:sp>
    <dsp:sp modelId="{C760868F-4366-4671-92DC-E2D69FF0D384}">
      <dsp:nvSpPr>
        <dsp:cNvPr id="0" name=""/>
        <dsp:cNvSpPr/>
      </dsp:nvSpPr>
      <dsp:spPr>
        <a:xfrm>
          <a:off x="2203848" y="313886"/>
          <a:ext cx="953099" cy="677151"/>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cs-CZ" sz="1100" kern="1200">
              <a:latin typeface="Times New Roman" pitchFamily="18" charset="0"/>
              <a:cs typeface="Times New Roman" pitchFamily="18" charset="0"/>
            </a:rPr>
            <a:t>Banky utrpí ztrátu</a:t>
          </a:r>
        </a:p>
      </dsp:txBody>
      <dsp:txXfrm>
        <a:off x="2203848" y="313886"/>
        <a:ext cx="953099" cy="677151"/>
      </dsp:txXfrm>
    </dsp:sp>
  </dsp:spTree>
</dsp:drawing>
</file>

<file path=word/diagrams/drawing5.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8C1099E-AAF7-424F-895C-CEA6D89515DA}">
      <dsp:nvSpPr>
        <dsp:cNvPr id="0" name=""/>
        <dsp:cNvSpPr/>
      </dsp:nvSpPr>
      <dsp:spPr>
        <a:xfrm rot="10800000">
          <a:off x="245935" y="0"/>
          <a:ext cx="2787269" cy="1504950"/>
        </a:xfrm>
        <a:prstGeom prst="rightArrow">
          <a:avLst/>
        </a:prstGeom>
        <a:gradFill rotWithShape="0">
          <a:gsLst>
            <a:gs pos="0">
              <a:schemeClr val="accent1">
                <a:tint val="40000"/>
                <a:hueOff val="0"/>
                <a:satOff val="0"/>
                <a:lumOff val="0"/>
                <a:alphaOff val="0"/>
                <a:shade val="51000"/>
                <a:satMod val="130000"/>
              </a:schemeClr>
            </a:gs>
            <a:gs pos="80000">
              <a:schemeClr val="accent1">
                <a:tint val="40000"/>
                <a:hueOff val="0"/>
                <a:satOff val="0"/>
                <a:lumOff val="0"/>
                <a:alphaOff val="0"/>
                <a:shade val="93000"/>
                <a:satMod val="130000"/>
              </a:schemeClr>
            </a:gs>
            <a:gs pos="100000">
              <a:schemeClr val="accent1">
                <a:tint val="40000"/>
                <a:hueOff val="0"/>
                <a:satOff val="0"/>
                <a:lumOff val="0"/>
                <a:alphaOff val="0"/>
                <a:shade val="94000"/>
                <a:satMod val="135000"/>
              </a:schemeClr>
            </a:gs>
          </a:gsLst>
          <a:lin ang="16200000" scaled="0"/>
        </a:gradFill>
        <a:ln>
          <a:noFill/>
        </a:ln>
        <a:effectLst/>
        <a:scene3d>
          <a:camera prst="orthographicFront"/>
          <a:lightRig rig="threePt" dir="t">
            <a:rot lat="0" lon="0" rev="7500000"/>
          </a:lightRig>
        </a:scene3d>
        <a:sp3d z="-152400" extrusionH="63500" prstMaterial="matte">
          <a:bevelT w="144450" h="6350" prst="relaxedInset"/>
          <a:contourClr>
            <a:schemeClr val="bg1"/>
          </a:contourClr>
        </a:sp3d>
      </dsp:spPr>
      <dsp:style>
        <a:lnRef idx="0">
          <a:scrgbClr r="0" g="0" b="0"/>
        </a:lnRef>
        <a:fillRef idx="3">
          <a:scrgbClr r="0" g="0" b="0"/>
        </a:fillRef>
        <a:effectRef idx="0">
          <a:scrgbClr r="0" g="0" b="0"/>
        </a:effectRef>
        <a:fontRef idx="minor"/>
      </dsp:style>
    </dsp:sp>
    <dsp:sp modelId="{B6971980-AC29-4DF4-842A-E43F613231A5}">
      <dsp:nvSpPr>
        <dsp:cNvPr id="0" name=""/>
        <dsp:cNvSpPr/>
      </dsp:nvSpPr>
      <dsp:spPr>
        <a:xfrm>
          <a:off x="25" y="447674"/>
          <a:ext cx="1010731" cy="609601"/>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cs-CZ" sz="1000" kern="1200">
              <a:latin typeface="Times New Roman" pitchFamily="18" charset="0"/>
              <a:cs typeface="Times New Roman" pitchFamily="18" charset="0"/>
            </a:rPr>
            <a:t>Zpomalení ekonomické aktivity, nárůst nezaměstnanosti</a:t>
          </a:r>
        </a:p>
      </dsp:txBody>
      <dsp:txXfrm>
        <a:off x="25" y="447674"/>
        <a:ext cx="1010731" cy="609601"/>
      </dsp:txXfrm>
    </dsp:sp>
    <dsp:sp modelId="{A677FE4F-820C-4319-9CC3-E5AD2A6B4C9B}">
      <dsp:nvSpPr>
        <dsp:cNvPr id="0" name=""/>
        <dsp:cNvSpPr/>
      </dsp:nvSpPr>
      <dsp:spPr>
        <a:xfrm>
          <a:off x="1134204" y="428624"/>
          <a:ext cx="1010731" cy="64770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cs-CZ" sz="1000" kern="1200">
              <a:latin typeface="Times New Roman" pitchFamily="18" charset="0"/>
              <a:cs typeface="Times New Roman" pitchFamily="18" charset="0"/>
            </a:rPr>
            <a:t>Omezení schvalování úvěrů bankami</a:t>
          </a:r>
        </a:p>
      </dsp:txBody>
      <dsp:txXfrm>
        <a:off x="1134204" y="428624"/>
        <a:ext cx="1010731" cy="647700"/>
      </dsp:txXfrm>
    </dsp:sp>
    <dsp:sp modelId="{C760868F-4366-4671-92DC-E2D69FF0D384}">
      <dsp:nvSpPr>
        <dsp:cNvPr id="0" name=""/>
        <dsp:cNvSpPr/>
      </dsp:nvSpPr>
      <dsp:spPr>
        <a:xfrm>
          <a:off x="2268383" y="409575"/>
          <a:ext cx="1010731" cy="685799"/>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cs-CZ" sz="1000" kern="1200">
              <a:latin typeface="Times New Roman" pitchFamily="18" charset="0"/>
              <a:cs typeface="Times New Roman" pitchFamily="18" charset="0"/>
            </a:rPr>
            <a:t>Pokles bankovního kapitálu (úvěrové prostředky)</a:t>
          </a:r>
        </a:p>
      </dsp:txBody>
      <dsp:txXfrm>
        <a:off x="2268383" y="409575"/>
        <a:ext cx="1010731" cy="685799"/>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1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0.44831</cdr:x>
      <cdr:y>0.55207</cdr:y>
    </cdr:from>
    <cdr:to>
      <cdr:x>0.45011</cdr:x>
      <cdr:y>0.88214</cdr:y>
    </cdr:to>
    <cdr:sp macro="" textlink="">
      <cdr:nvSpPr>
        <cdr:cNvPr id="6" name="Přímá spojovací čára 5"/>
        <cdr:cNvSpPr/>
      </cdr:nvSpPr>
      <cdr:spPr>
        <a:xfrm xmlns:a="http://schemas.openxmlformats.org/drawingml/2006/main" rot="5400000">
          <a:off x="2061543" y="1565414"/>
          <a:ext cx="8283" cy="935935"/>
        </a:xfrm>
        <a:prstGeom xmlns:a="http://schemas.openxmlformats.org/drawingml/2006/main" prst="line">
          <a:avLst/>
        </a:prstGeom>
        <a:ln xmlns:a="http://schemas.openxmlformats.org/drawingml/2006/main" w="12700">
          <a:solidFill>
            <a:sysClr val="windowText" lastClr="000000"/>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0.51424</cdr:x>
      <cdr:y>0.4887</cdr:y>
    </cdr:from>
    <cdr:to>
      <cdr:x>0.51906</cdr:x>
      <cdr:y>0.88146</cdr:y>
    </cdr:to>
    <cdr:sp macro="" textlink="">
      <cdr:nvSpPr>
        <cdr:cNvPr id="8" name="Přímá spojovací čára 7"/>
        <cdr:cNvSpPr/>
      </cdr:nvSpPr>
      <cdr:spPr>
        <a:xfrm xmlns:a="http://schemas.openxmlformats.org/drawingml/2006/main" rot="16200000" flipH="1">
          <a:off x="2345061" y="1385745"/>
          <a:ext cx="21982" cy="1113693"/>
        </a:xfrm>
        <a:prstGeom xmlns:a="http://schemas.openxmlformats.org/drawingml/2006/main" prst="line">
          <a:avLst/>
        </a:prstGeom>
        <a:ln xmlns:a="http://schemas.openxmlformats.org/drawingml/2006/main" w="12700">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0.14149</cdr:x>
      <cdr:y>0.55847</cdr:y>
    </cdr:from>
    <cdr:to>
      <cdr:x>0.45158</cdr:x>
      <cdr:y>0.55847</cdr:y>
    </cdr:to>
    <cdr:sp macro="" textlink="">
      <cdr:nvSpPr>
        <cdr:cNvPr id="10" name="Přímá spojovací čára 9"/>
        <cdr:cNvSpPr/>
      </cdr:nvSpPr>
      <cdr:spPr>
        <a:xfrm xmlns:a="http://schemas.openxmlformats.org/drawingml/2006/main" rot="10800000">
          <a:off x="645215" y="1583572"/>
          <a:ext cx="1414097" cy="2"/>
        </a:xfrm>
        <a:prstGeom xmlns:a="http://schemas.openxmlformats.org/drawingml/2006/main" prst="line">
          <a:avLst/>
        </a:prstGeom>
        <a:ln xmlns:a="http://schemas.openxmlformats.org/drawingml/2006/main" w="12700">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0.1447</cdr:x>
      <cdr:y>0.48354</cdr:y>
    </cdr:from>
    <cdr:to>
      <cdr:x>0.51424</cdr:x>
      <cdr:y>0.48354</cdr:y>
    </cdr:to>
    <cdr:sp macro="" textlink="">
      <cdr:nvSpPr>
        <cdr:cNvPr id="12" name="Přímá spojovací čára 11"/>
        <cdr:cNvSpPr/>
      </cdr:nvSpPr>
      <cdr:spPr>
        <a:xfrm xmlns:a="http://schemas.openxmlformats.org/drawingml/2006/main" rot="10800000" flipV="1">
          <a:off x="659869" y="1371089"/>
          <a:ext cx="1685188" cy="2"/>
        </a:xfrm>
        <a:prstGeom xmlns:a="http://schemas.openxmlformats.org/drawingml/2006/main" prst="line">
          <a:avLst/>
        </a:prstGeom>
        <a:ln xmlns:a="http://schemas.openxmlformats.org/drawingml/2006/main" w="12700">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0.77553</cdr:x>
      <cdr:y>0.88308</cdr:y>
    </cdr:from>
    <cdr:to>
      <cdr:x>0.95901</cdr:x>
      <cdr:y>0.99975</cdr:y>
    </cdr:to>
    <cdr:sp macro="" textlink="">
      <cdr:nvSpPr>
        <cdr:cNvPr id="7" name="TextovéPole 6"/>
        <cdr:cNvSpPr txBox="1"/>
      </cdr:nvSpPr>
      <cdr:spPr>
        <a:xfrm xmlns:a="http://schemas.openxmlformats.org/drawingml/2006/main">
          <a:off x="3782087" y="2674807"/>
          <a:ext cx="894811" cy="3534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cs-CZ" sz="1100">
              <a:latin typeface="Times New Roman" pitchFamily="18" charset="0"/>
              <a:cs typeface="Times New Roman" pitchFamily="18" charset="0"/>
            </a:rPr>
            <a:t>produkt (Y)</a:t>
          </a:r>
        </a:p>
      </cdr:txBody>
    </cdr:sp>
  </cdr:relSizeAnchor>
  <cdr:relSizeAnchor xmlns:cdr="http://schemas.openxmlformats.org/drawingml/2006/chartDrawing">
    <cdr:from>
      <cdr:x>2.05052E-7</cdr:x>
      <cdr:y>0.0283</cdr:y>
    </cdr:from>
    <cdr:to>
      <cdr:x>0.13477</cdr:x>
      <cdr:y>0.37421</cdr:y>
    </cdr:to>
    <cdr:sp macro="" textlink="">
      <cdr:nvSpPr>
        <cdr:cNvPr id="9" name="TextovéPole 8"/>
        <cdr:cNvSpPr txBox="1"/>
      </cdr:nvSpPr>
      <cdr:spPr>
        <a:xfrm xmlns:a="http://schemas.openxmlformats.org/drawingml/2006/main">
          <a:off x="1" y="85725"/>
          <a:ext cx="657224" cy="10477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cs-CZ" sz="1100">
              <a:latin typeface="Times New Roman" pitchFamily="18" charset="0"/>
              <a:cs typeface="Times New Roman" pitchFamily="18" charset="0"/>
            </a:rPr>
            <a:t>cenová hladina (P)</a:t>
          </a:r>
        </a:p>
      </cdr:txBody>
    </cdr:sp>
  </cdr:relSizeAnchor>
  <cdr:relSizeAnchor xmlns:cdr="http://schemas.openxmlformats.org/drawingml/2006/chartDrawing">
    <cdr:from>
      <cdr:x>0.14098</cdr:x>
      <cdr:y>0.88214</cdr:y>
    </cdr:from>
    <cdr:to>
      <cdr:x>0.83984</cdr:x>
      <cdr:y>0.8841</cdr:y>
    </cdr:to>
    <cdr:sp macro="" textlink="">
      <cdr:nvSpPr>
        <cdr:cNvPr id="13" name="Přímá spojovací šipka 12"/>
        <cdr:cNvSpPr/>
      </cdr:nvSpPr>
      <cdr:spPr>
        <a:xfrm xmlns:a="http://schemas.openxmlformats.org/drawingml/2006/main">
          <a:off x="687531" y="2671948"/>
          <a:ext cx="3408219" cy="5937"/>
        </a:xfrm>
        <a:prstGeom xmlns:a="http://schemas.openxmlformats.org/drawingml/2006/main" prst="straightConnector1">
          <a:avLst/>
        </a:prstGeom>
        <a:ln xmlns:a="http://schemas.openxmlformats.org/drawingml/2006/main">
          <a:solidFill>
            <a:schemeClr val="tx1"/>
          </a:solidFill>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0.13733</cdr:x>
      <cdr:y>0.01372</cdr:y>
    </cdr:from>
    <cdr:to>
      <cdr:x>0.13855</cdr:x>
      <cdr:y>0.87822</cdr:y>
    </cdr:to>
    <cdr:sp macro="" textlink="">
      <cdr:nvSpPr>
        <cdr:cNvPr id="15" name="Přímá spojovací šipka 14"/>
        <cdr:cNvSpPr/>
      </cdr:nvSpPr>
      <cdr:spPr>
        <a:xfrm xmlns:a="http://schemas.openxmlformats.org/drawingml/2006/main" rot="16200000" flipV="1">
          <a:off x="669718" y="41563"/>
          <a:ext cx="5939" cy="2618510"/>
        </a:xfrm>
        <a:prstGeom xmlns:a="http://schemas.openxmlformats.org/drawingml/2006/main" prst="straightConnector1">
          <a:avLst/>
        </a:prstGeom>
        <a:ln xmlns:a="http://schemas.openxmlformats.org/drawingml/2006/main">
          <a:solidFill>
            <a:schemeClr val="tx1"/>
          </a:solidFill>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0.44401</cdr:x>
      <cdr:y>0.54507</cdr:y>
    </cdr:from>
    <cdr:to>
      <cdr:x>0.45599</cdr:x>
      <cdr:y>0.56604</cdr:y>
    </cdr:to>
    <cdr:sp macro="" textlink="">
      <cdr:nvSpPr>
        <cdr:cNvPr id="17" name="Elipsa 16"/>
        <cdr:cNvSpPr/>
      </cdr:nvSpPr>
      <cdr:spPr>
        <a:xfrm xmlns:a="http://schemas.openxmlformats.org/drawingml/2006/main" flipH="1" flipV="1">
          <a:off x="2165349" y="1651000"/>
          <a:ext cx="58417" cy="63500"/>
        </a:xfrm>
        <a:prstGeom xmlns:a="http://schemas.openxmlformats.org/drawingml/2006/main" prst="ellipse">
          <a:avLst/>
        </a:prstGeom>
        <a:solidFill xmlns:a="http://schemas.openxmlformats.org/drawingml/2006/main">
          <a:schemeClr val="tx1"/>
        </a:solidFill>
        <a:ln xmlns:a="http://schemas.openxmlformats.org/drawingml/2006/main">
          <a:solidFill>
            <a:schemeClr val="tx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0.50781</cdr:x>
      <cdr:y>0.48428</cdr:y>
    </cdr:from>
    <cdr:to>
      <cdr:x>0.51719</cdr:x>
      <cdr:y>0.49937</cdr:y>
    </cdr:to>
    <cdr:sp macro="" textlink="">
      <cdr:nvSpPr>
        <cdr:cNvPr id="18" name="Elipsa 17"/>
        <cdr:cNvSpPr/>
      </cdr:nvSpPr>
      <cdr:spPr>
        <a:xfrm xmlns:a="http://schemas.openxmlformats.org/drawingml/2006/main" flipH="1" flipV="1">
          <a:off x="2476498" y="1466850"/>
          <a:ext cx="45719" cy="45719"/>
        </a:xfrm>
        <a:prstGeom xmlns:a="http://schemas.openxmlformats.org/drawingml/2006/main" prst="ellipse">
          <a:avLst/>
        </a:prstGeom>
        <a:solidFill xmlns:a="http://schemas.openxmlformats.org/drawingml/2006/main">
          <a:sysClr val="windowText" lastClr="000000"/>
        </a:solidFill>
        <a:ln xmlns:a="http://schemas.openxmlformats.org/drawingml/2006/main" w="25400" cap="flat" cmpd="sng" algn="ctr">
          <a:solidFill>
            <a:sysClr val="windowText" lastClr="000000"/>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rgbClr val="FFFFFF"/>
              </a:solidFill>
              <a:latin typeface="Calibri"/>
            </a:defRPr>
          </a:lvl1pPr>
          <a:lvl2pPr marL="457200" indent="0">
            <a:defRPr sz="1100">
              <a:solidFill>
                <a:srgbClr val="FFFFFF"/>
              </a:solidFill>
              <a:latin typeface="Calibri"/>
            </a:defRPr>
          </a:lvl2pPr>
          <a:lvl3pPr marL="914400" indent="0">
            <a:defRPr sz="1100">
              <a:solidFill>
                <a:srgbClr val="FFFFFF"/>
              </a:solidFill>
              <a:latin typeface="Calibri"/>
            </a:defRPr>
          </a:lvl3pPr>
          <a:lvl4pPr marL="1371600" indent="0">
            <a:defRPr sz="1100">
              <a:solidFill>
                <a:srgbClr val="FFFFFF"/>
              </a:solidFill>
              <a:latin typeface="Calibri"/>
            </a:defRPr>
          </a:lvl4pPr>
          <a:lvl5pPr marL="1828800" indent="0">
            <a:defRPr sz="1100">
              <a:solidFill>
                <a:srgbClr val="FFFFFF"/>
              </a:solidFill>
              <a:latin typeface="Calibri"/>
            </a:defRPr>
          </a:lvl5pPr>
          <a:lvl6pPr marL="2286000" indent="0">
            <a:defRPr sz="1100">
              <a:solidFill>
                <a:srgbClr val="FFFFFF"/>
              </a:solidFill>
              <a:latin typeface="Calibri"/>
            </a:defRPr>
          </a:lvl6pPr>
          <a:lvl7pPr marL="2743200" indent="0">
            <a:defRPr sz="1100">
              <a:solidFill>
                <a:srgbClr val="FFFFFF"/>
              </a:solidFill>
              <a:latin typeface="Calibri"/>
            </a:defRPr>
          </a:lvl7pPr>
          <a:lvl8pPr marL="3200400" indent="0">
            <a:defRPr sz="1100">
              <a:solidFill>
                <a:srgbClr val="FFFFFF"/>
              </a:solidFill>
              <a:latin typeface="Calibri"/>
            </a:defRPr>
          </a:lvl8pPr>
          <a:lvl9pPr marL="3657600" indent="0">
            <a:defRPr sz="1100">
              <a:solidFill>
                <a:srgbClr val="FFFFFF"/>
              </a:solidFill>
              <a:latin typeface="Calibri"/>
            </a:defRPr>
          </a:lvl9pPr>
        </a:lstStyle>
        <a:p xmlns:a="http://schemas.openxmlformats.org/drawingml/2006/main">
          <a:endParaRPr lang="cs-CZ"/>
        </a:p>
      </cdr:txBody>
    </cdr:sp>
  </cdr:relSizeAnchor>
  <cdr:relSizeAnchor xmlns:cdr="http://schemas.openxmlformats.org/drawingml/2006/chartDrawing">
    <cdr:from>
      <cdr:x>0.20322</cdr:x>
      <cdr:y>0.25274</cdr:y>
    </cdr:from>
    <cdr:to>
      <cdr:x>0.25336</cdr:x>
      <cdr:y>0.30891</cdr:y>
    </cdr:to>
    <cdr:sp macro="" textlink="">
      <cdr:nvSpPr>
        <cdr:cNvPr id="20" name="Přímá spojovací šipka 19"/>
        <cdr:cNvSpPr/>
      </cdr:nvSpPr>
      <cdr:spPr>
        <a:xfrm xmlns:a="http://schemas.openxmlformats.org/drawingml/2006/main" rot="5400000" flipH="1" flipV="1">
          <a:off x="1028259" y="728329"/>
          <a:ext cx="170122" cy="244551"/>
        </a:xfrm>
        <a:prstGeom xmlns:a="http://schemas.openxmlformats.org/drawingml/2006/main" prst="straightConnector1">
          <a:avLst/>
        </a:prstGeom>
        <a:ln xmlns:a="http://schemas.openxmlformats.org/drawingml/2006/main" w="19050">
          <a:solidFill>
            <a:schemeClr val="tx1"/>
          </a:solidFill>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0.0179</cdr:x>
      <cdr:y>0.39667</cdr:y>
    </cdr:from>
    <cdr:to>
      <cdr:x>0.10947</cdr:x>
      <cdr:y>0.60026</cdr:y>
    </cdr:to>
    <cdr:sp macro="" textlink="">
      <cdr:nvSpPr>
        <cdr:cNvPr id="21" name="TextovéPole 20"/>
        <cdr:cNvSpPr txBox="1"/>
      </cdr:nvSpPr>
      <cdr:spPr>
        <a:xfrm xmlns:a="http://schemas.openxmlformats.org/drawingml/2006/main">
          <a:off x="87276" y="1201479"/>
          <a:ext cx="446567" cy="61668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en-US">
              <a:latin typeface="Times New Roman" pitchFamily="18" charset="0"/>
              <a:cs typeface="Times New Roman" pitchFamily="18" charset="0"/>
            </a:rPr>
            <a:t>P</a:t>
          </a:r>
          <a:r>
            <a:rPr lang="cs-CZ">
              <a:latin typeface="Times New Roman" pitchFamily="18" charset="0"/>
              <a:cs typeface="Times New Roman" pitchFamily="18" charset="0"/>
            </a:rPr>
            <a:t>2</a:t>
          </a:r>
          <a:r>
            <a:rPr lang="en-US">
              <a:latin typeface="Times New Roman" pitchFamily="18" charset="0"/>
              <a:cs typeface="Times New Roman" pitchFamily="18" charset="0"/>
            </a:rPr>
            <a:t> </a:t>
          </a:r>
          <a:endParaRPr lang="cs-CZ">
            <a:latin typeface="Times New Roman" pitchFamily="18" charset="0"/>
            <a:cs typeface="Times New Roman" pitchFamily="18" charset="0"/>
            <a:sym typeface="Symbol"/>
          </a:endParaRPr>
        </a:p>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en-US">
              <a:latin typeface="Times New Roman"/>
              <a:cs typeface="Times New Roman"/>
              <a:sym typeface="Symbol"/>
            </a:rPr>
            <a:t>↑</a:t>
          </a:r>
          <a:endParaRPr lang="cs-CZ">
            <a:latin typeface="Times New Roman"/>
            <a:cs typeface="Times New Roman"/>
            <a:sym typeface="Symbol"/>
          </a:endParaRPr>
        </a:p>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en-US">
              <a:latin typeface="Times New Roman" pitchFamily="18" charset="0"/>
              <a:cs typeface="Times New Roman" pitchFamily="18" charset="0"/>
            </a:rPr>
            <a:t> P</a:t>
          </a:r>
          <a:r>
            <a:rPr lang="cs-CZ">
              <a:latin typeface="Times New Roman" pitchFamily="18" charset="0"/>
              <a:cs typeface="Times New Roman" pitchFamily="18" charset="0"/>
            </a:rPr>
            <a:t>1</a:t>
          </a:r>
          <a:endParaRPr lang="en-US">
            <a:latin typeface="Times New Roman" pitchFamily="18" charset="0"/>
            <a:cs typeface="Times New Roman" pitchFamily="18" charset="0"/>
          </a:endParaRPr>
        </a:p>
        <a:p xmlns:a="http://schemas.openxmlformats.org/drawingml/2006/main">
          <a:endParaRPr lang="cs-CZ" sz="1100"/>
        </a:p>
      </cdr:txBody>
    </cdr:sp>
  </cdr:relSizeAnchor>
</c:userShapes>
</file>

<file path=word/drawings/drawing2.xml><?xml version="1.0" encoding="utf-8"?>
<c:userShapes xmlns:c="http://schemas.openxmlformats.org/drawingml/2006/chart">
  <cdr:relSizeAnchor xmlns:cdr="http://schemas.openxmlformats.org/drawingml/2006/chartDrawing">
    <cdr:from>
      <cdr:x>0.44336</cdr:x>
      <cdr:y>0.42453</cdr:y>
    </cdr:from>
    <cdr:to>
      <cdr:x>0.44336</cdr:x>
      <cdr:y>0.87736</cdr:y>
    </cdr:to>
    <cdr:sp macro="" textlink="">
      <cdr:nvSpPr>
        <cdr:cNvPr id="6" name="Přímá spojovací čára 5"/>
        <cdr:cNvSpPr/>
      </cdr:nvSpPr>
      <cdr:spPr>
        <a:xfrm xmlns:a="http://schemas.openxmlformats.org/drawingml/2006/main" rot="5400000" flipV="1">
          <a:off x="1476376" y="1971676"/>
          <a:ext cx="1371600" cy="0"/>
        </a:xfrm>
        <a:prstGeom xmlns:a="http://schemas.openxmlformats.org/drawingml/2006/main" prst="line">
          <a:avLst/>
        </a:prstGeom>
        <a:ln xmlns:a="http://schemas.openxmlformats.org/drawingml/2006/main" w="12700">
          <a:solidFill>
            <a:sysClr val="windowText" lastClr="000000"/>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0.51424</cdr:x>
      <cdr:y>0.4887</cdr:y>
    </cdr:from>
    <cdr:to>
      <cdr:x>0.51906</cdr:x>
      <cdr:y>0.88146</cdr:y>
    </cdr:to>
    <cdr:sp macro="" textlink="">
      <cdr:nvSpPr>
        <cdr:cNvPr id="8" name="Přímá spojovací čára 7"/>
        <cdr:cNvSpPr/>
      </cdr:nvSpPr>
      <cdr:spPr>
        <a:xfrm xmlns:a="http://schemas.openxmlformats.org/drawingml/2006/main" rot="16200000" flipH="1">
          <a:off x="2345061" y="1385745"/>
          <a:ext cx="21982" cy="1113693"/>
        </a:xfrm>
        <a:prstGeom xmlns:a="http://schemas.openxmlformats.org/drawingml/2006/main" prst="line">
          <a:avLst/>
        </a:prstGeom>
        <a:ln xmlns:a="http://schemas.openxmlformats.org/drawingml/2006/main" w="12700">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0.1371</cdr:x>
      <cdr:y>0.49664</cdr:y>
    </cdr:from>
    <cdr:to>
      <cdr:x>0.51758</cdr:x>
      <cdr:y>0.49686</cdr:y>
    </cdr:to>
    <cdr:sp macro="" textlink="">
      <cdr:nvSpPr>
        <cdr:cNvPr id="10" name="Přímá spojovací čára 9"/>
        <cdr:cNvSpPr/>
      </cdr:nvSpPr>
      <cdr:spPr>
        <a:xfrm xmlns:a="http://schemas.openxmlformats.org/drawingml/2006/main" rot="10800000">
          <a:off x="670035" y="1504293"/>
          <a:ext cx="1859528" cy="657"/>
        </a:xfrm>
        <a:prstGeom xmlns:a="http://schemas.openxmlformats.org/drawingml/2006/main" prst="line">
          <a:avLst/>
        </a:prstGeom>
        <a:ln xmlns:a="http://schemas.openxmlformats.org/drawingml/2006/main" w="12700">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0.1371</cdr:x>
      <cdr:y>0.43082</cdr:y>
    </cdr:from>
    <cdr:to>
      <cdr:x>0.44336</cdr:x>
      <cdr:y>0.43158</cdr:y>
    </cdr:to>
    <cdr:sp macro="" textlink="">
      <cdr:nvSpPr>
        <cdr:cNvPr id="12" name="Přímá spojovací čára 11"/>
        <cdr:cNvSpPr/>
      </cdr:nvSpPr>
      <cdr:spPr>
        <a:xfrm xmlns:a="http://schemas.openxmlformats.org/drawingml/2006/main" rot="10800000" flipV="1">
          <a:off x="670035" y="1304926"/>
          <a:ext cx="1496800" cy="2298"/>
        </a:xfrm>
        <a:prstGeom xmlns:a="http://schemas.openxmlformats.org/drawingml/2006/main" prst="line">
          <a:avLst/>
        </a:prstGeom>
        <a:ln xmlns:a="http://schemas.openxmlformats.org/drawingml/2006/main" w="12700">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0.77553</cdr:x>
      <cdr:y>0.88308</cdr:y>
    </cdr:from>
    <cdr:to>
      <cdr:x>0.95901</cdr:x>
      <cdr:y>0.99975</cdr:y>
    </cdr:to>
    <cdr:sp macro="" textlink="">
      <cdr:nvSpPr>
        <cdr:cNvPr id="7" name="TextovéPole 6"/>
        <cdr:cNvSpPr txBox="1"/>
      </cdr:nvSpPr>
      <cdr:spPr>
        <a:xfrm xmlns:a="http://schemas.openxmlformats.org/drawingml/2006/main">
          <a:off x="3782087" y="2674807"/>
          <a:ext cx="894811" cy="3534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cs-CZ" sz="1100">
              <a:latin typeface="Times New Roman" pitchFamily="18" charset="0"/>
              <a:cs typeface="Times New Roman" pitchFamily="18" charset="0"/>
            </a:rPr>
            <a:t>produkt (Y)</a:t>
          </a:r>
        </a:p>
      </cdr:txBody>
    </cdr:sp>
  </cdr:relSizeAnchor>
  <cdr:relSizeAnchor xmlns:cdr="http://schemas.openxmlformats.org/drawingml/2006/chartDrawing">
    <cdr:from>
      <cdr:x>2.05052E-7</cdr:x>
      <cdr:y>0.0283</cdr:y>
    </cdr:from>
    <cdr:to>
      <cdr:x>0.13477</cdr:x>
      <cdr:y>0.37421</cdr:y>
    </cdr:to>
    <cdr:sp macro="" textlink="">
      <cdr:nvSpPr>
        <cdr:cNvPr id="9" name="TextovéPole 8"/>
        <cdr:cNvSpPr txBox="1"/>
      </cdr:nvSpPr>
      <cdr:spPr>
        <a:xfrm xmlns:a="http://schemas.openxmlformats.org/drawingml/2006/main">
          <a:off x="1" y="85725"/>
          <a:ext cx="657224" cy="10477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cs-CZ" sz="1100">
              <a:latin typeface="Times New Roman" pitchFamily="18" charset="0"/>
              <a:cs typeface="Times New Roman" pitchFamily="18" charset="0"/>
            </a:rPr>
            <a:t>cenová hladina (P)</a:t>
          </a:r>
        </a:p>
      </cdr:txBody>
    </cdr:sp>
  </cdr:relSizeAnchor>
  <cdr:relSizeAnchor xmlns:cdr="http://schemas.openxmlformats.org/drawingml/2006/chartDrawing">
    <cdr:from>
      <cdr:x>0.14098</cdr:x>
      <cdr:y>0.88214</cdr:y>
    </cdr:from>
    <cdr:to>
      <cdr:x>0.83984</cdr:x>
      <cdr:y>0.8841</cdr:y>
    </cdr:to>
    <cdr:sp macro="" textlink="">
      <cdr:nvSpPr>
        <cdr:cNvPr id="13" name="Přímá spojovací šipka 12"/>
        <cdr:cNvSpPr/>
      </cdr:nvSpPr>
      <cdr:spPr>
        <a:xfrm xmlns:a="http://schemas.openxmlformats.org/drawingml/2006/main">
          <a:off x="687531" y="2671948"/>
          <a:ext cx="3408219" cy="5937"/>
        </a:xfrm>
        <a:prstGeom xmlns:a="http://schemas.openxmlformats.org/drawingml/2006/main" prst="straightConnector1">
          <a:avLst/>
        </a:prstGeom>
        <a:ln xmlns:a="http://schemas.openxmlformats.org/drawingml/2006/main">
          <a:solidFill>
            <a:schemeClr val="tx1"/>
          </a:solidFill>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0.13733</cdr:x>
      <cdr:y>0.01372</cdr:y>
    </cdr:from>
    <cdr:to>
      <cdr:x>0.13855</cdr:x>
      <cdr:y>0.87822</cdr:y>
    </cdr:to>
    <cdr:sp macro="" textlink="">
      <cdr:nvSpPr>
        <cdr:cNvPr id="15" name="Přímá spojovací šipka 14"/>
        <cdr:cNvSpPr/>
      </cdr:nvSpPr>
      <cdr:spPr>
        <a:xfrm xmlns:a="http://schemas.openxmlformats.org/drawingml/2006/main" rot="16200000" flipV="1">
          <a:off x="669718" y="41563"/>
          <a:ext cx="5939" cy="2618510"/>
        </a:xfrm>
        <a:prstGeom xmlns:a="http://schemas.openxmlformats.org/drawingml/2006/main" prst="straightConnector1">
          <a:avLst/>
        </a:prstGeom>
        <a:ln xmlns:a="http://schemas.openxmlformats.org/drawingml/2006/main">
          <a:solidFill>
            <a:schemeClr val="tx1"/>
          </a:solidFill>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0.50748</cdr:x>
      <cdr:y>0.48608</cdr:y>
    </cdr:from>
    <cdr:to>
      <cdr:x>0.51946</cdr:x>
      <cdr:y>0.50705</cdr:y>
    </cdr:to>
    <cdr:sp macro="" textlink="">
      <cdr:nvSpPr>
        <cdr:cNvPr id="17" name="Elipsa 16"/>
        <cdr:cNvSpPr/>
      </cdr:nvSpPr>
      <cdr:spPr>
        <a:xfrm xmlns:a="http://schemas.openxmlformats.org/drawingml/2006/main" flipH="1" flipV="1">
          <a:off x="2480193" y="1472314"/>
          <a:ext cx="58550" cy="63517"/>
        </a:xfrm>
        <a:prstGeom xmlns:a="http://schemas.openxmlformats.org/drawingml/2006/main" prst="ellipse">
          <a:avLst/>
        </a:prstGeom>
        <a:solidFill xmlns:a="http://schemas.openxmlformats.org/drawingml/2006/main">
          <a:schemeClr val="tx1"/>
        </a:solidFill>
        <a:ln xmlns:a="http://schemas.openxmlformats.org/drawingml/2006/main">
          <a:solidFill>
            <a:schemeClr val="tx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0.43884</cdr:x>
      <cdr:y>0.42475</cdr:y>
    </cdr:from>
    <cdr:to>
      <cdr:x>0.44822</cdr:x>
      <cdr:y>0.43984</cdr:y>
    </cdr:to>
    <cdr:sp macro="" textlink="">
      <cdr:nvSpPr>
        <cdr:cNvPr id="18" name="Elipsa 17"/>
        <cdr:cNvSpPr/>
      </cdr:nvSpPr>
      <cdr:spPr>
        <a:xfrm xmlns:a="http://schemas.openxmlformats.org/drawingml/2006/main" flipH="1" flipV="1">
          <a:off x="2144756" y="1286542"/>
          <a:ext cx="45842" cy="45707"/>
        </a:xfrm>
        <a:prstGeom xmlns:a="http://schemas.openxmlformats.org/drawingml/2006/main" prst="ellipse">
          <a:avLst/>
        </a:prstGeom>
        <a:solidFill xmlns:a="http://schemas.openxmlformats.org/drawingml/2006/main">
          <a:sysClr val="windowText" lastClr="000000"/>
        </a:solidFill>
        <a:ln xmlns:a="http://schemas.openxmlformats.org/drawingml/2006/main" w="25400" cap="flat" cmpd="sng" algn="ctr">
          <a:solidFill>
            <a:sysClr val="windowText" lastClr="000000"/>
          </a:solid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rgbClr val="FFFFFF"/>
              </a:solidFill>
              <a:latin typeface="Calibri"/>
            </a:defRPr>
          </a:lvl1pPr>
          <a:lvl2pPr marL="457200" indent="0">
            <a:defRPr sz="1100">
              <a:solidFill>
                <a:srgbClr val="FFFFFF"/>
              </a:solidFill>
              <a:latin typeface="Calibri"/>
            </a:defRPr>
          </a:lvl2pPr>
          <a:lvl3pPr marL="914400" indent="0">
            <a:defRPr sz="1100">
              <a:solidFill>
                <a:srgbClr val="FFFFFF"/>
              </a:solidFill>
              <a:latin typeface="Calibri"/>
            </a:defRPr>
          </a:lvl3pPr>
          <a:lvl4pPr marL="1371600" indent="0">
            <a:defRPr sz="1100">
              <a:solidFill>
                <a:srgbClr val="FFFFFF"/>
              </a:solidFill>
              <a:latin typeface="Calibri"/>
            </a:defRPr>
          </a:lvl4pPr>
          <a:lvl5pPr marL="1828800" indent="0">
            <a:defRPr sz="1100">
              <a:solidFill>
                <a:srgbClr val="FFFFFF"/>
              </a:solidFill>
              <a:latin typeface="Calibri"/>
            </a:defRPr>
          </a:lvl5pPr>
          <a:lvl6pPr marL="2286000" indent="0">
            <a:defRPr sz="1100">
              <a:solidFill>
                <a:srgbClr val="FFFFFF"/>
              </a:solidFill>
              <a:latin typeface="Calibri"/>
            </a:defRPr>
          </a:lvl6pPr>
          <a:lvl7pPr marL="2743200" indent="0">
            <a:defRPr sz="1100">
              <a:solidFill>
                <a:srgbClr val="FFFFFF"/>
              </a:solidFill>
              <a:latin typeface="Calibri"/>
            </a:defRPr>
          </a:lvl7pPr>
          <a:lvl8pPr marL="3200400" indent="0">
            <a:defRPr sz="1100">
              <a:solidFill>
                <a:srgbClr val="FFFFFF"/>
              </a:solidFill>
              <a:latin typeface="Calibri"/>
            </a:defRPr>
          </a:lvl8pPr>
          <a:lvl9pPr marL="3657600" indent="0">
            <a:defRPr sz="1100">
              <a:solidFill>
                <a:srgbClr val="FFFFFF"/>
              </a:solidFill>
              <a:latin typeface="Calibri"/>
            </a:defRPr>
          </a:lvl9pPr>
        </a:lstStyle>
        <a:p xmlns:a="http://schemas.openxmlformats.org/drawingml/2006/main">
          <a:endParaRPr lang="cs-CZ"/>
        </a:p>
      </cdr:txBody>
    </cdr:sp>
  </cdr:relSizeAnchor>
  <cdr:relSizeAnchor xmlns:cdr="http://schemas.openxmlformats.org/drawingml/2006/chartDrawing">
    <cdr:from>
      <cdr:x>0.62109</cdr:x>
      <cdr:y>0.27736</cdr:y>
    </cdr:from>
    <cdr:to>
      <cdr:x>0.66777</cdr:x>
      <cdr:y>0.3355</cdr:y>
    </cdr:to>
    <cdr:sp macro="" textlink="">
      <cdr:nvSpPr>
        <cdr:cNvPr id="20" name="Přímá spojovací šipka 19"/>
        <cdr:cNvSpPr/>
      </cdr:nvSpPr>
      <cdr:spPr>
        <a:xfrm xmlns:a="http://schemas.openxmlformats.org/drawingml/2006/main" rot="5400000" flipV="1">
          <a:off x="3054706" y="814359"/>
          <a:ext cx="176110" cy="227615"/>
        </a:xfrm>
        <a:prstGeom xmlns:a="http://schemas.openxmlformats.org/drawingml/2006/main" prst="straightConnector1">
          <a:avLst/>
        </a:prstGeom>
        <a:ln xmlns:a="http://schemas.openxmlformats.org/drawingml/2006/main" w="19050">
          <a:solidFill>
            <a:schemeClr val="tx1"/>
          </a:solidFill>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0.02285</cdr:x>
      <cdr:y>0.36218</cdr:y>
    </cdr:from>
    <cdr:to>
      <cdr:x>0.11422</cdr:x>
      <cdr:y>0.56578</cdr:y>
    </cdr:to>
    <cdr:sp macro="" textlink="">
      <cdr:nvSpPr>
        <cdr:cNvPr id="16" name="TextovéPole 1"/>
        <cdr:cNvSpPr txBox="1"/>
      </cdr:nvSpPr>
      <cdr:spPr>
        <a:xfrm xmlns:a="http://schemas.openxmlformats.org/drawingml/2006/main">
          <a:off x="111672" y="1097017"/>
          <a:ext cx="446567" cy="616689"/>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en-US">
              <a:latin typeface="Times New Roman" pitchFamily="18" charset="0"/>
              <a:cs typeface="Times New Roman" pitchFamily="18" charset="0"/>
            </a:rPr>
            <a:t>P1 </a:t>
          </a:r>
          <a:endParaRPr lang="cs-CZ">
            <a:latin typeface="Times New Roman" pitchFamily="18" charset="0"/>
            <a:cs typeface="Times New Roman" pitchFamily="18" charset="0"/>
            <a:sym typeface="Symbol"/>
          </a:endParaRPr>
        </a:p>
        <a:p xmlns:a="http://schemas.openxmlformats.org/drawingml/2006/main">
          <a:pPr marL="0" marR="0" indent="0" algn="ctr" defTabSz="914400" rtl="0" eaLnBrk="1" fontAlgn="auto" latinLnBrk="0" hangingPunct="1">
            <a:lnSpc>
              <a:spcPct val="100000"/>
            </a:lnSpc>
            <a:spcBef>
              <a:spcPts val="0"/>
            </a:spcBef>
            <a:spcAft>
              <a:spcPts val="0"/>
            </a:spcAft>
            <a:buClrTx/>
            <a:buSzTx/>
            <a:buFontTx/>
            <a:buNone/>
            <a:tabLst/>
            <a:defRPr/>
          </a:pPr>
          <a:r>
            <a:rPr lang="en-US">
              <a:latin typeface="Times New Roman" pitchFamily="18" charset="0"/>
              <a:cs typeface="Times New Roman" pitchFamily="18" charset="0"/>
              <a:sym typeface="Symbol"/>
            </a:rPr>
            <a:t></a:t>
          </a:r>
          <a:r>
            <a:rPr lang="en-US">
              <a:latin typeface="Times New Roman" pitchFamily="18" charset="0"/>
              <a:cs typeface="Times New Roman" pitchFamily="18" charset="0"/>
            </a:rPr>
            <a:t> P2</a:t>
          </a:r>
        </a:p>
        <a:p xmlns:a="http://schemas.openxmlformats.org/drawingml/2006/main">
          <a:endParaRPr lang="cs-CZ" sz="1100"/>
        </a:p>
      </cdr:txBody>
    </cdr:sp>
  </cdr:relSizeAnchor>
</c:userShapes>
</file>

<file path=word/drawings/drawing3.xml><?xml version="1.0" encoding="utf-8"?>
<c:userShapes xmlns:c="http://schemas.openxmlformats.org/drawingml/2006/chart">
  <cdr:relSizeAnchor xmlns:cdr="http://schemas.openxmlformats.org/drawingml/2006/chartDrawing">
    <cdr:from>
      <cdr:x>0.67525</cdr:x>
      <cdr:y>0.8496</cdr:y>
    </cdr:from>
    <cdr:to>
      <cdr:x>1</cdr:x>
      <cdr:y>0.97977</cdr:y>
    </cdr:to>
    <cdr:sp macro="" textlink="">
      <cdr:nvSpPr>
        <cdr:cNvPr id="7" name="TextovéPole 6"/>
        <cdr:cNvSpPr txBox="1"/>
      </cdr:nvSpPr>
      <cdr:spPr>
        <a:xfrm xmlns:a="http://schemas.openxmlformats.org/drawingml/2006/main">
          <a:off x="3167268" y="2800350"/>
          <a:ext cx="1523278" cy="42903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cs-CZ" sz="1100">
              <a:latin typeface="Times New Roman" pitchFamily="18" charset="0"/>
              <a:cs typeface="Times New Roman" pitchFamily="18" charset="0"/>
            </a:rPr>
            <a:t>průměrná míra zdanění </a:t>
          </a:r>
          <a:r>
            <a:rPr lang="en-US" sz="1100">
              <a:latin typeface="Times New Roman" pitchFamily="18" charset="0"/>
              <a:cs typeface="Times New Roman" pitchFamily="18" charset="0"/>
            </a:rPr>
            <a:t>[%]</a:t>
          </a:r>
          <a:endParaRPr lang="cs-CZ" sz="1100">
            <a:latin typeface="Times New Roman" pitchFamily="18" charset="0"/>
            <a:cs typeface="Times New Roman" pitchFamily="18" charset="0"/>
          </a:endParaRPr>
        </a:p>
        <a:p xmlns:a="http://schemas.openxmlformats.org/drawingml/2006/main">
          <a:endParaRPr lang="cs-CZ" sz="1100">
            <a:latin typeface="Times New Roman" pitchFamily="18" charset="0"/>
            <a:cs typeface="Times New Roman" pitchFamily="18" charset="0"/>
          </a:endParaRPr>
        </a:p>
      </cdr:txBody>
    </cdr:sp>
  </cdr:relSizeAnchor>
  <cdr:relSizeAnchor xmlns:cdr="http://schemas.openxmlformats.org/drawingml/2006/chartDrawing">
    <cdr:from>
      <cdr:x>0.04054</cdr:x>
      <cdr:y>0.03081</cdr:y>
    </cdr:from>
    <cdr:to>
      <cdr:x>0.17531</cdr:x>
      <cdr:y>0.37672</cdr:y>
    </cdr:to>
    <cdr:sp macro="" textlink="">
      <cdr:nvSpPr>
        <cdr:cNvPr id="9" name="TextovéPole 8"/>
        <cdr:cNvSpPr txBox="1"/>
      </cdr:nvSpPr>
      <cdr:spPr>
        <a:xfrm xmlns:a="http://schemas.openxmlformats.org/drawingml/2006/main">
          <a:off x="198784" y="101561"/>
          <a:ext cx="660818" cy="114014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cs-CZ" sz="1100">
              <a:latin typeface="Times New Roman" pitchFamily="18" charset="0"/>
              <a:cs typeface="Times New Roman" pitchFamily="18" charset="0"/>
            </a:rPr>
            <a:t>daňové příjmy</a:t>
          </a:r>
        </a:p>
        <a:p xmlns:a="http://schemas.openxmlformats.org/drawingml/2006/main">
          <a:endParaRPr lang="cs-CZ" sz="1100">
            <a:latin typeface="Times New Roman" pitchFamily="18" charset="0"/>
            <a:cs typeface="Times New Roman" pitchFamily="18" charset="0"/>
          </a:endParaRPr>
        </a:p>
      </cdr:txBody>
    </cdr:sp>
  </cdr:relSizeAnchor>
  <cdr:relSizeAnchor xmlns:cdr="http://schemas.openxmlformats.org/drawingml/2006/chartDrawing">
    <cdr:from>
      <cdr:x>0.46927</cdr:x>
      <cdr:y>0.1279</cdr:y>
    </cdr:from>
    <cdr:to>
      <cdr:x>0.48125</cdr:x>
      <cdr:y>0.14887</cdr:y>
    </cdr:to>
    <cdr:sp macro="" textlink="">
      <cdr:nvSpPr>
        <cdr:cNvPr id="17" name="Elipsa 16"/>
        <cdr:cNvSpPr/>
      </cdr:nvSpPr>
      <cdr:spPr>
        <a:xfrm xmlns:a="http://schemas.openxmlformats.org/drawingml/2006/main" flipH="1" flipV="1">
          <a:off x="2279588" y="414881"/>
          <a:ext cx="58196" cy="68020"/>
        </a:xfrm>
        <a:prstGeom xmlns:a="http://schemas.openxmlformats.org/drawingml/2006/main" prst="ellipse">
          <a:avLst/>
        </a:prstGeom>
        <a:solidFill xmlns:a="http://schemas.openxmlformats.org/drawingml/2006/main">
          <a:schemeClr val="tx1"/>
        </a:solidFill>
        <a:ln xmlns:a="http://schemas.openxmlformats.org/drawingml/2006/main">
          <a:solidFill>
            <a:schemeClr val="tx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0.47181</cdr:x>
      <cdr:y>0.17099</cdr:y>
    </cdr:from>
    <cdr:to>
      <cdr:x>0.5098</cdr:x>
      <cdr:y>0.19654</cdr:y>
    </cdr:to>
    <cdr:sp macro="" textlink="">
      <cdr:nvSpPr>
        <cdr:cNvPr id="19" name="Přímá spojovací čára 18"/>
        <cdr:cNvSpPr/>
      </cdr:nvSpPr>
      <cdr:spPr>
        <a:xfrm xmlns:a="http://schemas.openxmlformats.org/drawingml/2006/main" flipV="1">
          <a:off x="2291953" y="517922"/>
          <a:ext cx="184547" cy="77391"/>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0.47304</cdr:x>
      <cdr:y>0.19064</cdr:y>
    </cdr:from>
    <cdr:to>
      <cdr:x>0.53554</cdr:x>
      <cdr:y>0.23781</cdr:y>
    </cdr:to>
    <cdr:sp macro="" textlink="">
      <cdr:nvSpPr>
        <cdr:cNvPr id="22" name="Přímá spojovací čára 21"/>
        <cdr:cNvSpPr/>
      </cdr:nvSpPr>
      <cdr:spPr>
        <a:xfrm xmlns:a="http://schemas.openxmlformats.org/drawingml/2006/main" flipV="1">
          <a:off x="2297906" y="577453"/>
          <a:ext cx="303609" cy="142875"/>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0.47426</cdr:x>
      <cdr:y>0.20833</cdr:y>
    </cdr:from>
    <cdr:to>
      <cdr:x>0.55637</cdr:x>
      <cdr:y>0.27516</cdr:y>
    </cdr:to>
    <cdr:sp macro="" textlink="">
      <cdr:nvSpPr>
        <cdr:cNvPr id="24" name="Přímá spojovací čára 23"/>
        <cdr:cNvSpPr/>
      </cdr:nvSpPr>
      <cdr:spPr>
        <a:xfrm xmlns:a="http://schemas.openxmlformats.org/drawingml/2006/main" flipV="1">
          <a:off x="2303859" y="631031"/>
          <a:ext cx="398860" cy="202407"/>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0.47304</cdr:x>
      <cdr:y>0.22602</cdr:y>
    </cdr:from>
    <cdr:to>
      <cdr:x>0.57475</cdr:x>
      <cdr:y>0.31053</cdr:y>
    </cdr:to>
    <cdr:sp macro="" textlink="">
      <cdr:nvSpPr>
        <cdr:cNvPr id="26" name="Přímá spojovací čára 25"/>
        <cdr:cNvSpPr/>
      </cdr:nvSpPr>
      <cdr:spPr>
        <a:xfrm xmlns:a="http://schemas.openxmlformats.org/drawingml/2006/main" flipV="1">
          <a:off x="2297906" y="684609"/>
          <a:ext cx="494109" cy="255985"/>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0.47426</cdr:x>
      <cdr:y>0.24764</cdr:y>
    </cdr:from>
    <cdr:to>
      <cdr:x>0.58946</cdr:x>
      <cdr:y>0.34788</cdr:y>
    </cdr:to>
    <cdr:sp macro="" textlink="">
      <cdr:nvSpPr>
        <cdr:cNvPr id="28" name="Přímá spojovací čára 27"/>
        <cdr:cNvSpPr/>
      </cdr:nvSpPr>
      <cdr:spPr>
        <a:xfrm xmlns:a="http://schemas.openxmlformats.org/drawingml/2006/main" flipV="1">
          <a:off x="2303859" y="750093"/>
          <a:ext cx="559594" cy="303609"/>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0.47426</cdr:x>
      <cdr:y>0.27319</cdr:y>
    </cdr:from>
    <cdr:to>
      <cdr:x>0.60417</cdr:x>
      <cdr:y>0.38915</cdr:y>
    </cdr:to>
    <cdr:sp macro="" textlink="">
      <cdr:nvSpPr>
        <cdr:cNvPr id="30" name="Přímá spojovací čára 29"/>
        <cdr:cNvSpPr/>
      </cdr:nvSpPr>
      <cdr:spPr>
        <a:xfrm xmlns:a="http://schemas.openxmlformats.org/drawingml/2006/main" flipV="1">
          <a:off x="2303859" y="827484"/>
          <a:ext cx="631031" cy="351235"/>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0.47426</cdr:x>
      <cdr:y>0.29678</cdr:y>
    </cdr:from>
    <cdr:to>
      <cdr:x>0.6152</cdr:x>
      <cdr:y>0.42649</cdr:y>
    </cdr:to>
    <cdr:sp macro="" textlink="">
      <cdr:nvSpPr>
        <cdr:cNvPr id="32" name="Přímá spojovací čára 31"/>
        <cdr:cNvSpPr/>
      </cdr:nvSpPr>
      <cdr:spPr>
        <a:xfrm xmlns:a="http://schemas.openxmlformats.org/drawingml/2006/main" flipV="1">
          <a:off x="2303859" y="898922"/>
          <a:ext cx="684610" cy="392906"/>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0.47426</cdr:x>
      <cdr:y>0.32822</cdr:y>
    </cdr:from>
    <cdr:to>
      <cdr:x>0.62377</cdr:x>
      <cdr:y>0.4717</cdr:y>
    </cdr:to>
    <cdr:sp macro="" textlink="">
      <cdr:nvSpPr>
        <cdr:cNvPr id="34" name="Přímá spojovací čára 33"/>
        <cdr:cNvSpPr/>
      </cdr:nvSpPr>
      <cdr:spPr>
        <a:xfrm xmlns:a="http://schemas.openxmlformats.org/drawingml/2006/main" flipV="1">
          <a:off x="2303859" y="994172"/>
          <a:ext cx="726281" cy="434578"/>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0.47549</cdr:x>
      <cdr:y>0.36164</cdr:y>
    </cdr:from>
    <cdr:to>
      <cdr:x>0.62868</cdr:x>
      <cdr:y>0.51101</cdr:y>
    </cdr:to>
    <cdr:sp macro="" textlink="">
      <cdr:nvSpPr>
        <cdr:cNvPr id="36" name="Přímá spojovací čára 35"/>
        <cdr:cNvSpPr/>
      </cdr:nvSpPr>
      <cdr:spPr>
        <a:xfrm xmlns:a="http://schemas.openxmlformats.org/drawingml/2006/main" flipV="1">
          <a:off x="2309812" y="1095375"/>
          <a:ext cx="744141" cy="452438"/>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0.47426</cdr:x>
      <cdr:y>0.39308</cdr:y>
    </cdr:from>
    <cdr:to>
      <cdr:x>0.63725</cdr:x>
      <cdr:y>0.55228</cdr:y>
    </cdr:to>
    <cdr:sp macro="" textlink="">
      <cdr:nvSpPr>
        <cdr:cNvPr id="38" name="Přímá spojovací čára 37"/>
        <cdr:cNvSpPr/>
      </cdr:nvSpPr>
      <cdr:spPr>
        <a:xfrm xmlns:a="http://schemas.openxmlformats.org/drawingml/2006/main" flipV="1">
          <a:off x="2303859" y="1190625"/>
          <a:ext cx="791766" cy="482203"/>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0.47549</cdr:x>
      <cdr:y>0.42256</cdr:y>
    </cdr:from>
    <cdr:to>
      <cdr:x>0.64461</cdr:x>
      <cdr:y>0.59945</cdr:y>
    </cdr:to>
    <cdr:sp macro="" textlink="">
      <cdr:nvSpPr>
        <cdr:cNvPr id="40" name="Přímá spojovací čára 39"/>
        <cdr:cNvSpPr/>
      </cdr:nvSpPr>
      <cdr:spPr>
        <a:xfrm xmlns:a="http://schemas.openxmlformats.org/drawingml/2006/main" flipV="1">
          <a:off x="2309812" y="1279922"/>
          <a:ext cx="821532" cy="535781"/>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0.47549</cdr:x>
      <cdr:y>0.43984</cdr:y>
    </cdr:from>
    <cdr:to>
      <cdr:x>0.66427</cdr:x>
      <cdr:y>0.64662</cdr:y>
    </cdr:to>
    <cdr:sp macro="" textlink="">
      <cdr:nvSpPr>
        <cdr:cNvPr id="42" name="Přímá spojovací čára 41"/>
        <cdr:cNvSpPr/>
      </cdr:nvSpPr>
      <cdr:spPr>
        <a:xfrm xmlns:a="http://schemas.openxmlformats.org/drawingml/2006/main" flipV="1">
          <a:off x="2318870" y="1426708"/>
          <a:ext cx="920650" cy="670716"/>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0.47672</cdr:x>
      <cdr:y>0.4734</cdr:y>
    </cdr:from>
    <cdr:to>
      <cdr:x>0.67097</cdr:x>
      <cdr:y>0.68986</cdr:y>
    </cdr:to>
    <cdr:sp macro="" textlink="">
      <cdr:nvSpPr>
        <cdr:cNvPr id="44" name="Přímá spojovací čára 43"/>
        <cdr:cNvSpPr/>
      </cdr:nvSpPr>
      <cdr:spPr>
        <a:xfrm xmlns:a="http://schemas.openxmlformats.org/drawingml/2006/main" flipV="1">
          <a:off x="2324846" y="1535566"/>
          <a:ext cx="947331" cy="702112"/>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0.47672</cdr:x>
      <cdr:y>0.50696</cdr:y>
    </cdr:from>
    <cdr:to>
      <cdr:x>0.68101</cdr:x>
      <cdr:y>0.73113</cdr:y>
    </cdr:to>
    <cdr:sp macro="" textlink="">
      <cdr:nvSpPr>
        <cdr:cNvPr id="46" name="Přímá spojovací čára 45"/>
        <cdr:cNvSpPr/>
      </cdr:nvSpPr>
      <cdr:spPr>
        <a:xfrm xmlns:a="http://schemas.openxmlformats.org/drawingml/2006/main" flipV="1">
          <a:off x="2324846" y="1644422"/>
          <a:ext cx="996317" cy="727133"/>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0.48012</cdr:x>
      <cdr:y>0.54052</cdr:y>
    </cdr:from>
    <cdr:to>
      <cdr:x>0.68659</cdr:x>
      <cdr:y>0.77209</cdr:y>
    </cdr:to>
    <cdr:sp macro="" textlink="">
      <cdr:nvSpPr>
        <cdr:cNvPr id="48" name="Přímá spojovací čára 47"/>
        <cdr:cNvSpPr/>
      </cdr:nvSpPr>
      <cdr:spPr>
        <a:xfrm xmlns:a="http://schemas.openxmlformats.org/drawingml/2006/main" flipV="1">
          <a:off x="2341449" y="1753280"/>
          <a:ext cx="1006928" cy="751114"/>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0.5022</cdr:x>
      <cdr:y>0.57408</cdr:y>
    </cdr:from>
    <cdr:to>
      <cdr:x>0.69106</cdr:x>
      <cdr:y>0.7852</cdr:y>
    </cdr:to>
    <cdr:sp macro="" textlink="">
      <cdr:nvSpPr>
        <cdr:cNvPr id="50" name="Přímá spojovací čára 49"/>
        <cdr:cNvSpPr/>
      </cdr:nvSpPr>
      <cdr:spPr>
        <a:xfrm xmlns:a="http://schemas.openxmlformats.org/drawingml/2006/main" flipV="1">
          <a:off x="2355573" y="1892211"/>
          <a:ext cx="885861" cy="695867"/>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0.53817</cdr:x>
      <cdr:y>0.60261</cdr:y>
    </cdr:from>
    <cdr:to>
      <cdr:x>0.7011</cdr:x>
      <cdr:y>0.78685</cdr:y>
    </cdr:to>
    <cdr:sp macro="" textlink="">
      <cdr:nvSpPr>
        <cdr:cNvPr id="52" name="Přímá spojovací čára 51"/>
        <cdr:cNvSpPr/>
      </cdr:nvSpPr>
      <cdr:spPr>
        <a:xfrm xmlns:a="http://schemas.openxmlformats.org/drawingml/2006/main" flipV="1">
          <a:off x="2524303" y="1986234"/>
          <a:ext cx="764248" cy="607287"/>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0.57298</cdr:x>
      <cdr:y>0.63952</cdr:y>
    </cdr:from>
    <cdr:to>
      <cdr:x>0.70333</cdr:x>
      <cdr:y>0.7852</cdr:y>
    </cdr:to>
    <cdr:sp macro="" textlink="">
      <cdr:nvSpPr>
        <cdr:cNvPr id="54" name="Přímá spojovací čára 53"/>
        <cdr:cNvSpPr/>
      </cdr:nvSpPr>
      <cdr:spPr>
        <a:xfrm xmlns:a="http://schemas.openxmlformats.org/drawingml/2006/main" flipV="1">
          <a:off x="2687588" y="2107910"/>
          <a:ext cx="611433" cy="480169"/>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0.60663</cdr:x>
      <cdr:y>0.66973</cdr:y>
    </cdr:from>
    <cdr:to>
      <cdr:x>0.71226</cdr:x>
      <cdr:y>0.78685</cdr:y>
    </cdr:to>
    <cdr:sp macro="" textlink="">
      <cdr:nvSpPr>
        <cdr:cNvPr id="56" name="Přímá spojovací čára 55"/>
        <cdr:cNvSpPr/>
      </cdr:nvSpPr>
      <cdr:spPr>
        <a:xfrm xmlns:a="http://schemas.openxmlformats.org/drawingml/2006/main" flipV="1">
          <a:off x="2845431" y="2207465"/>
          <a:ext cx="495469" cy="386055"/>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0.64724</cdr:x>
      <cdr:y>0.69993</cdr:y>
    </cdr:from>
    <cdr:to>
      <cdr:x>0.71896</cdr:x>
      <cdr:y>0.78685</cdr:y>
    </cdr:to>
    <cdr:sp macro="" textlink="">
      <cdr:nvSpPr>
        <cdr:cNvPr id="58" name="Přímá spojovací čára 57"/>
        <cdr:cNvSpPr/>
      </cdr:nvSpPr>
      <cdr:spPr>
        <a:xfrm xmlns:a="http://schemas.openxmlformats.org/drawingml/2006/main" flipV="1">
          <a:off x="3035931" y="2307017"/>
          <a:ext cx="336379" cy="286503"/>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0.68438</cdr:x>
      <cdr:y>0.7402</cdr:y>
    </cdr:from>
    <cdr:to>
      <cdr:x>0.72119</cdr:x>
      <cdr:y>0.78851</cdr:y>
    </cdr:to>
    <cdr:sp macro="" textlink="">
      <cdr:nvSpPr>
        <cdr:cNvPr id="60" name="Přímá spojovací čára 59"/>
        <cdr:cNvSpPr/>
      </cdr:nvSpPr>
      <cdr:spPr>
        <a:xfrm xmlns:a="http://schemas.openxmlformats.org/drawingml/2006/main" flipV="1">
          <a:off x="3210103" y="2439756"/>
          <a:ext cx="172678" cy="159207"/>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0.14828</cdr:x>
      <cdr:y>0.80146</cdr:y>
    </cdr:from>
    <cdr:to>
      <cdr:x>0.21936</cdr:x>
      <cdr:y>0.90366</cdr:y>
    </cdr:to>
    <cdr:sp macro="" textlink="">
      <cdr:nvSpPr>
        <cdr:cNvPr id="67" name="TextovéPole 66"/>
        <cdr:cNvSpPr txBox="1"/>
      </cdr:nvSpPr>
      <cdr:spPr>
        <a:xfrm xmlns:a="http://schemas.openxmlformats.org/drawingml/2006/main">
          <a:off x="720329" y="2599661"/>
          <a:ext cx="345281" cy="33150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latin typeface="Times New Roman" pitchFamily="18" charset="0"/>
              <a:cs typeface="Times New Roman" pitchFamily="18" charset="0"/>
            </a:rPr>
            <a:t>0</a:t>
          </a:r>
        </a:p>
        <a:p xmlns:a="http://schemas.openxmlformats.org/drawingml/2006/main">
          <a:endParaRPr lang="cs-CZ" sz="1100"/>
        </a:p>
      </cdr:txBody>
    </cdr:sp>
  </cdr:relSizeAnchor>
  <cdr:relSizeAnchor xmlns:cdr="http://schemas.openxmlformats.org/drawingml/2006/chartDrawing">
    <cdr:from>
      <cdr:x>0.71803</cdr:x>
      <cdr:y>0.77041</cdr:y>
    </cdr:from>
    <cdr:to>
      <cdr:x>0.73012</cdr:x>
      <cdr:y>0.7852</cdr:y>
    </cdr:to>
    <cdr:sp macro="" textlink="">
      <cdr:nvSpPr>
        <cdr:cNvPr id="69" name="Přímá spojovací čára 68"/>
        <cdr:cNvSpPr/>
      </cdr:nvSpPr>
      <cdr:spPr>
        <a:xfrm xmlns:a="http://schemas.openxmlformats.org/drawingml/2006/main" rot="5400000" flipH="1" flipV="1">
          <a:off x="3371919" y="2535337"/>
          <a:ext cx="48768" cy="56716"/>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0.47342</cdr:x>
      <cdr:y>0.14116</cdr:y>
    </cdr:from>
    <cdr:to>
      <cdr:x>0.47997</cdr:x>
      <cdr:y>0.78583</cdr:y>
    </cdr:to>
    <cdr:sp macro="" textlink="">
      <cdr:nvSpPr>
        <cdr:cNvPr id="73" name="Přímá spojovací čára 72"/>
        <cdr:cNvSpPr/>
      </cdr:nvSpPr>
      <cdr:spPr>
        <a:xfrm xmlns:a="http://schemas.openxmlformats.org/drawingml/2006/main" rot="16200000" flipH="1">
          <a:off x="1177913" y="1512330"/>
          <a:ext cx="2124870" cy="30757"/>
        </a:xfrm>
        <a:prstGeom xmlns:a="http://schemas.openxmlformats.org/drawingml/2006/main" prst="line">
          <a:avLst/>
        </a:prstGeom>
        <a:ln xmlns:a="http://schemas.openxmlformats.org/drawingml/2006/main">
          <a:solidFill>
            <a:schemeClr val="tx1"/>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0.66455</cdr:x>
      <cdr:y>0.01445</cdr:y>
    </cdr:from>
    <cdr:to>
      <cdr:x>0.93408</cdr:x>
      <cdr:y>0.09825</cdr:y>
    </cdr:to>
    <cdr:sp macro="" textlink="">
      <cdr:nvSpPr>
        <cdr:cNvPr id="74" name="TextovéPole 73"/>
        <cdr:cNvSpPr txBox="1"/>
      </cdr:nvSpPr>
      <cdr:spPr>
        <a:xfrm xmlns:a="http://schemas.openxmlformats.org/drawingml/2006/main">
          <a:off x="3240881" y="47625"/>
          <a:ext cx="1314450" cy="2762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cs-CZ" sz="1100">
              <a:latin typeface="Times New Roman" pitchFamily="18" charset="0"/>
              <a:cs typeface="Times New Roman" pitchFamily="18" charset="0"/>
            </a:rPr>
            <a:t>Lafferův bod</a:t>
          </a:r>
        </a:p>
      </cdr:txBody>
    </cdr:sp>
  </cdr:relSizeAnchor>
  <cdr:relSizeAnchor xmlns:cdr="http://schemas.openxmlformats.org/drawingml/2006/chartDrawing">
    <cdr:from>
      <cdr:x>0.729</cdr:x>
      <cdr:y>0.25719</cdr:y>
    </cdr:from>
    <cdr:to>
      <cdr:x>0.98096</cdr:x>
      <cdr:y>0.35545</cdr:y>
    </cdr:to>
    <cdr:sp macro="" textlink="">
      <cdr:nvSpPr>
        <cdr:cNvPr id="75" name="TextovéPole 74"/>
        <cdr:cNvSpPr txBox="1"/>
      </cdr:nvSpPr>
      <cdr:spPr>
        <a:xfrm xmlns:a="http://schemas.openxmlformats.org/drawingml/2006/main">
          <a:off x="3555206" y="847725"/>
          <a:ext cx="1228725" cy="3238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cs-CZ" sz="1100">
              <a:latin typeface="Times New Roman" pitchFamily="18" charset="0"/>
              <a:cs typeface="Times New Roman" pitchFamily="18" charset="0"/>
            </a:rPr>
            <a:t>zakázaná oblast</a:t>
          </a:r>
        </a:p>
      </cdr:txBody>
    </cdr:sp>
  </cdr:relSizeAnchor>
  <cdr:relSizeAnchor xmlns:cdr="http://schemas.openxmlformats.org/drawingml/2006/chartDrawing">
    <cdr:from>
      <cdr:x>0.564</cdr:x>
      <cdr:y>0.3121</cdr:y>
    </cdr:from>
    <cdr:to>
      <cdr:x>0.72705</cdr:x>
      <cdr:y>0.37718</cdr:y>
    </cdr:to>
    <cdr:sp macro="" textlink="">
      <cdr:nvSpPr>
        <cdr:cNvPr id="77" name="Přímá spojovací šipka 76"/>
        <cdr:cNvSpPr/>
      </cdr:nvSpPr>
      <cdr:spPr>
        <a:xfrm xmlns:a="http://schemas.openxmlformats.org/drawingml/2006/main" rot="10800000" flipV="1">
          <a:off x="2765459" y="1028699"/>
          <a:ext cx="799491" cy="214521"/>
        </a:xfrm>
        <a:prstGeom xmlns:a="http://schemas.openxmlformats.org/drawingml/2006/main" prst="straightConnector1">
          <a:avLst/>
        </a:prstGeom>
        <a:ln xmlns:a="http://schemas.openxmlformats.org/drawingml/2006/main">
          <a:solidFill>
            <a:schemeClr val="tx1"/>
          </a:solidFill>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0.19646</cdr:x>
      <cdr:y>0.78782</cdr:y>
    </cdr:from>
    <cdr:to>
      <cdr:x>0.83758</cdr:x>
      <cdr:y>0.7883</cdr:y>
    </cdr:to>
    <cdr:sp macro="" textlink="">
      <cdr:nvSpPr>
        <cdr:cNvPr id="79" name="Přímá spojovací šipka 78"/>
        <cdr:cNvSpPr/>
      </cdr:nvSpPr>
      <cdr:spPr>
        <a:xfrm xmlns:a="http://schemas.openxmlformats.org/drawingml/2006/main">
          <a:off x="960137" y="2596712"/>
          <a:ext cx="3133396" cy="1588"/>
        </a:xfrm>
        <a:prstGeom xmlns:a="http://schemas.openxmlformats.org/drawingml/2006/main" prst="straightConnector1">
          <a:avLst/>
        </a:prstGeom>
        <a:ln xmlns:a="http://schemas.openxmlformats.org/drawingml/2006/main">
          <a:solidFill>
            <a:schemeClr val="tx1"/>
          </a:solidFill>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dr:relSizeAnchor xmlns:cdr="http://schemas.openxmlformats.org/drawingml/2006/chartDrawing">
    <cdr:from>
      <cdr:x>0.19559</cdr:x>
      <cdr:y>0.06583</cdr:y>
    </cdr:from>
    <cdr:to>
      <cdr:x>0.19592</cdr:x>
      <cdr:y>0.78451</cdr:y>
    </cdr:to>
    <cdr:sp macro="" textlink="">
      <cdr:nvSpPr>
        <cdr:cNvPr id="81" name="Přímá spojovací šipka 80"/>
        <cdr:cNvSpPr/>
      </cdr:nvSpPr>
      <cdr:spPr>
        <a:xfrm xmlns:a="http://schemas.openxmlformats.org/drawingml/2006/main" rot="5400000" flipH="1" flipV="1">
          <a:off x="959057" y="216970"/>
          <a:ext cx="1588" cy="2368826"/>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cs-CZ"/>
        </a:p>
      </cdr:txBody>
    </cdr:sp>
  </cdr:relSizeAnchor>
</c:userShapes>
</file>

<file path=word/drawings/drawing4.xml><?xml version="1.0" encoding="utf-8"?>
<c:userShapes xmlns:c="http://schemas.openxmlformats.org/drawingml/2006/chart">
  <cdr:relSizeAnchor xmlns:cdr="http://schemas.openxmlformats.org/drawingml/2006/chartDrawing">
    <cdr:from>
      <cdr:x>0.08841</cdr:x>
      <cdr:y>0.34081</cdr:y>
    </cdr:from>
    <cdr:to>
      <cdr:x>0.08841</cdr:x>
      <cdr:y>0.34081</cdr:y>
    </cdr:to>
    <cdr:sp macro="" textlink="">
      <cdr:nvSpPr>
        <cdr:cNvPr id="9222" name="Line 6"/>
        <cdr:cNvSpPr>
          <a:spLocks xmlns:a="http://schemas.openxmlformats.org/drawingml/2006/main" noChangeShapeType="1"/>
        </cdr:cNvSpPr>
      </cdr:nvSpPr>
      <cdr:spPr bwMode="auto">
        <a:xfrm xmlns:a="http://schemas.openxmlformats.org/drawingml/2006/main">
          <a:off x="755186" y="1873009"/>
          <a:ext cx="0" cy="0"/>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a:ln>
      </cdr:spPr>
    </cdr:sp>
  </cdr:relSizeAnchor>
</c:userShapes>
</file>

<file path=word/theme/theme1.xml><?xml version="1.0" encoding="utf-8"?>
<a:theme xmlns:a="http://schemas.openxmlformats.org/drawingml/2006/main" name="Motiv sady Office">
  <a:themeElements>
    <a:clrScheme name="Deloitte">
      <a:dk1>
        <a:sysClr val="windowText" lastClr="000000"/>
      </a:dk1>
      <a:lt1>
        <a:srgbClr val="FFFFFF"/>
      </a:lt1>
      <a:dk2>
        <a:srgbClr val="002776"/>
      </a:dk2>
      <a:lt2>
        <a:srgbClr val="FFFFFF"/>
      </a:lt2>
      <a:accent1>
        <a:srgbClr val="002776"/>
      </a:accent1>
      <a:accent2>
        <a:srgbClr val="92D400"/>
      </a:accent2>
      <a:accent3>
        <a:srgbClr val="00A1DE"/>
      </a:accent3>
      <a:accent4>
        <a:srgbClr val="72C7E7"/>
      </a:accent4>
      <a:accent5>
        <a:srgbClr val="3C8A2E"/>
      </a:accent5>
      <a:accent6>
        <a:srgbClr val="C9DD03"/>
      </a:accent6>
      <a:hlink>
        <a:srgbClr val="3C8A2E"/>
      </a:hlink>
      <a:folHlink>
        <a:srgbClr val="C9DD03"/>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Deloitte">
    <a:dk1>
      <a:sysClr val="windowText" lastClr="000000"/>
    </a:dk1>
    <a:lt1>
      <a:srgbClr val="FFFFFF"/>
    </a:lt1>
    <a:dk2>
      <a:srgbClr val="002776"/>
    </a:dk2>
    <a:lt2>
      <a:srgbClr val="FFFFFF"/>
    </a:lt2>
    <a:accent1>
      <a:srgbClr val="002776"/>
    </a:accent1>
    <a:accent2>
      <a:srgbClr val="92D400"/>
    </a:accent2>
    <a:accent3>
      <a:srgbClr val="00A1DE"/>
    </a:accent3>
    <a:accent4>
      <a:srgbClr val="72C7E7"/>
    </a:accent4>
    <a:accent5>
      <a:srgbClr val="3C8A2E"/>
    </a:accent5>
    <a:accent6>
      <a:srgbClr val="C9DD03"/>
    </a:accent6>
    <a:hlink>
      <a:srgbClr val="3C8A2E"/>
    </a:hlink>
    <a:folHlink>
      <a:srgbClr val="C9DD03"/>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Deloitte">
    <a:dk1>
      <a:sysClr val="windowText" lastClr="000000"/>
    </a:dk1>
    <a:lt1>
      <a:srgbClr val="FFFFFF"/>
    </a:lt1>
    <a:dk2>
      <a:srgbClr val="002776"/>
    </a:dk2>
    <a:lt2>
      <a:srgbClr val="FFFFFF"/>
    </a:lt2>
    <a:accent1>
      <a:srgbClr val="002776"/>
    </a:accent1>
    <a:accent2>
      <a:srgbClr val="92D400"/>
    </a:accent2>
    <a:accent3>
      <a:srgbClr val="00A1DE"/>
    </a:accent3>
    <a:accent4>
      <a:srgbClr val="72C7E7"/>
    </a:accent4>
    <a:accent5>
      <a:srgbClr val="3C8A2E"/>
    </a:accent5>
    <a:accent6>
      <a:srgbClr val="C9DD03"/>
    </a:accent6>
    <a:hlink>
      <a:srgbClr val="3C8A2E"/>
    </a:hlink>
    <a:folHlink>
      <a:srgbClr val="C9DD03"/>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Deloitte">
    <a:dk1>
      <a:sysClr val="windowText" lastClr="000000"/>
    </a:dk1>
    <a:lt1>
      <a:srgbClr val="FFFFFF"/>
    </a:lt1>
    <a:dk2>
      <a:srgbClr val="002776"/>
    </a:dk2>
    <a:lt2>
      <a:srgbClr val="FFFFFF"/>
    </a:lt2>
    <a:accent1>
      <a:srgbClr val="002776"/>
    </a:accent1>
    <a:accent2>
      <a:srgbClr val="92D400"/>
    </a:accent2>
    <a:accent3>
      <a:srgbClr val="00A1DE"/>
    </a:accent3>
    <a:accent4>
      <a:srgbClr val="72C7E7"/>
    </a:accent4>
    <a:accent5>
      <a:srgbClr val="3C8A2E"/>
    </a:accent5>
    <a:accent6>
      <a:srgbClr val="C9DD03"/>
    </a:accent6>
    <a:hlink>
      <a:srgbClr val="3C8A2E"/>
    </a:hlink>
    <a:folHlink>
      <a:srgbClr val="C9DD03"/>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Deloitte">
    <a:dk1>
      <a:sysClr val="windowText" lastClr="000000"/>
    </a:dk1>
    <a:lt1>
      <a:srgbClr val="FFFFFF"/>
    </a:lt1>
    <a:dk2>
      <a:srgbClr val="002776"/>
    </a:dk2>
    <a:lt2>
      <a:srgbClr val="FFFFFF"/>
    </a:lt2>
    <a:accent1>
      <a:srgbClr val="002776"/>
    </a:accent1>
    <a:accent2>
      <a:srgbClr val="92D400"/>
    </a:accent2>
    <a:accent3>
      <a:srgbClr val="00A1DE"/>
    </a:accent3>
    <a:accent4>
      <a:srgbClr val="72C7E7"/>
    </a:accent4>
    <a:accent5>
      <a:srgbClr val="3C8A2E"/>
    </a:accent5>
    <a:accent6>
      <a:srgbClr val="C9DD03"/>
    </a:accent6>
    <a:hlink>
      <a:srgbClr val="3C8A2E"/>
    </a:hlink>
    <a:folHlink>
      <a:srgbClr val="C9DD03"/>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Deloitte">
    <a:dk1>
      <a:sysClr val="windowText" lastClr="000000"/>
    </a:dk1>
    <a:lt1>
      <a:srgbClr val="FFFFFF"/>
    </a:lt1>
    <a:dk2>
      <a:srgbClr val="002776"/>
    </a:dk2>
    <a:lt2>
      <a:srgbClr val="FFFFFF"/>
    </a:lt2>
    <a:accent1>
      <a:srgbClr val="002776"/>
    </a:accent1>
    <a:accent2>
      <a:srgbClr val="92D400"/>
    </a:accent2>
    <a:accent3>
      <a:srgbClr val="00A1DE"/>
    </a:accent3>
    <a:accent4>
      <a:srgbClr val="72C7E7"/>
    </a:accent4>
    <a:accent5>
      <a:srgbClr val="3C8A2E"/>
    </a:accent5>
    <a:accent6>
      <a:srgbClr val="C9DD03"/>
    </a:accent6>
    <a:hlink>
      <a:srgbClr val="3C8A2E"/>
    </a:hlink>
    <a:folHlink>
      <a:srgbClr val="C9DD03"/>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Deloitte">
    <a:dk1>
      <a:sysClr val="windowText" lastClr="000000"/>
    </a:dk1>
    <a:lt1>
      <a:srgbClr val="FFFFFF"/>
    </a:lt1>
    <a:dk2>
      <a:srgbClr val="002776"/>
    </a:dk2>
    <a:lt2>
      <a:srgbClr val="FFFFFF"/>
    </a:lt2>
    <a:accent1>
      <a:srgbClr val="002776"/>
    </a:accent1>
    <a:accent2>
      <a:srgbClr val="92D400"/>
    </a:accent2>
    <a:accent3>
      <a:srgbClr val="00A1DE"/>
    </a:accent3>
    <a:accent4>
      <a:srgbClr val="72C7E7"/>
    </a:accent4>
    <a:accent5>
      <a:srgbClr val="3C8A2E"/>
    </a:accent5>
    <a:accent6>
      <a:srgbClr val="C9DD03"/>
    </a:accent6>
    <a:hlink>
      <a:srgbClr val="3C8A2E"/>
    </a:hlink>
    <a:folHlink>
      <a:srgbClr val="C9DD03"/>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Deloitte">
    <a:dk1>
      <a:sysClr val="windowText" lastClr="000000"/>
    </a:dk1>
    <a:lt1>
      <a:srgbClr val="FFFFFF"/>
    </a:lt1>
    <a:dk2>
      <a:srgbClr val="002776"/>
    </a:dk2>
    <a:lt2>
      <a:srgbClr val="FFFFFF"/>
    </a:lt2>
    <a:accent1>
      <a:srgbClr val="002776"/>
    </a:accent1>
    <a:accent2>
      <a:srgbClr val="92D400"/>
    </a:accent2>
    <a:accent3>
      <a:srgbClr val="00A1DE"/>
    </a:accent3>
    <a:accent4>
      <a:srgbClr val="72C7E7"/>
    </a:accent4>
    <a:accent5>
      <a:srgbClr val="3C8A2E"/>
    </a:accent5>
    <a:accent6>
      <a:srgbClr val="C9DD03"/>
    </a:accent6>
    <a:hlink>
      <a:srgbClr val="3C8A2E"/>
    </a:hlink>
    <a:folHlink>
      <a:srgbClr val="C9DD03"/>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Deloitte">
    <a:dk1>
      <a:sysClr val="windowText" lastClr="000000"/>
    </a:dk1>
    <a:lt1>
      <a:srgbClr val="FFFFFF"/>
    </a:lt1>
    <a:dk2>
      <a:srgbClr val="002776"/>
    </a:dk2>
    <a:lt2>
      <a:srgbClr val="FFFFFF"/>
    </a:lt2>
    <a:accent1>
      <a:srgbClr val="002776"/>
    </a:accent1>
    <a:accent2>
      <a:srgbClr val="92D400"/>
    </a:accent2>
    <a:accent3>
      <a:srgbClr val="00A1DE"/>
    </a:accent3>
    <a:accent4>
      <a:srgbClr val="72C7E7"/>
    </a:accent4>
    <a:accent5>
      <a:srgbClr val="3C8A2E"/>
    </a:accent5>
    <a:accent6>
      <a:srgbClr val="C9DD03"/>
    </a:accent6>
    <a:hlink>
      <a:srgbClr val="3C8A2E"/>
    </a:hlink>
    <a:folHlink>
      <a:srgbClr val="C9DD03"/>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Deloitte">
    <a:dk1>
      <a:sysClr val="windowText" lastClr="000000"/>
    </a:dk1>
    <a:lt1>
      <a:srgbClr val="FFFFFF"/>
    </a:lt1>
    <a:dk2>
      <a:srgbClr val="002776"/>
    </a:dk2>
    <a:lt2>
      <a:srgbClr val="FFFFFF"/>
    </a:lt2>
    <a:accent1>
      <a:srgbClr val="002776"/>
    </a:accent1>
    <a:accent2>
      <a:srgbClr val="92D400"/>
    </a:accent2>
    <a:accent3>
      <a:srgbClr val="00A1DE"/>
    </a:accent3>
    <a:accent4>
      <a:srgbClr val="72C7E7"/>
    </a:accent4>
    <a:accent5>
      <a:srgbClr val="3C8A2E"/>
    </a:accent5>
    <a:accent6>
      <a:srgbClr val="C9DD03"/>
    </a:accent6>
    <a:hlink>
      <a:srgbClr val="3C8A2E"/>
    </a:hlink>
    <a:folHlink>
      <a:srgbClr val="C9DD03"/>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Deloitte">
    <a:dk1>
      <a:sysClr val="windowText" lastClr="000000"/>
    </a:dk1>
    <a:lt1>
      <a:srgbClr val="FFFFFF"/>
    </a:lt1>
    <a:dk2>
      <a:srgbClr val="002776"/>
    </a:dk2>
    <a:lt2>
      <a:srgbClr val="FFFFFF"/>
    </a:lt2>
    <a:accent1>
      <a:srgbClr val="002776"/>
    </a:accent1>
    <a:accent2>
      <a:srgbClr val="92D400"/>
    </a:accent2>
    <a:accent3>
      <a:srgbClr val="00A1DE"/>
    </a:accent3>
    <a:accent4>
      <a:srgbClr val="72C7E7"/>
    </a:accent4>
    <a:accent5>
      <a:srgbClr val="3C8A2E"/>
    </a:accent5>
    <a:accent6>
      <a:srgbClr val="C9DD03"/>
    </a:accent6>
    <a:hlink>
      <a:srgbClr val="3C8A2E"/>
    </a:hlink>
    <a:folHlink>
      <a:srgbClr val="C9DD03"/>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Deloitte">
    <a:dk1>
      <a:sysClr val="windowText" lastClr="000000"/>
    </a:dk1>
    <a:lt1>
      <a:srgbClr val="FFFFFF"/>
    </a:lt1>
    <a:dk2>
      <a:srgbClr val="002776"/>
    </a:dk2>
    <a:lt2>
      <a:srgbClr val="FFFFFF"/>
    </a:lt2>
    <a:accent1>
      <a:srgbClr val="002776"/>
    </a:accent1>
    <a:accent2>
      <a:srgbClr val="92D400"/>
    </a:accent2>
    <a:accent3>
      <a:srgbClr val="00A1DE"/>
    </a:accent3>
    <a:accent4>
      <a:srgbClr val="72C7E7"/>
    </a:accent4>
    <a:accent5>
      <a:srgbClr val="3C8A2E"/>
    </a:accent5>
    <a:accent6>
      <a:srgbClr val="C9DD03"/>
    </a:accent6>
    <a:hlink>
      <a:srgbClr val="3C8A2E"/>
    </a:hlink>
    <a:folHlink>
      <a:srgbClr val="C9DD03"/>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Deloitte">
    <a:dk1>
      <a:sysClr val="windowText" lastClr="000000"/>
    </a:dk1>
    <a:lt1>
      <a:srgbClr val="FFFFFF"/>
    </a:lt1>
    <a:dk2>
      <a:srgbClr val="002776"/>
    </a:dk2>
    <a:lt2>
      <a:srgbClr val="FFFFFF"/>
    </a:lt2>
    <a:accent1>
      <a:srgbClr val="002776"/>
    </a:accent1>
    <a:accent2>
      <a:srgbClr val="92D400"/>
    </a:accent2>
    <a:accent3>
      <a:srgbClr val="00A1DE"/>
    </a:accent3>
    <a:accent4>
      <a:srgbClr val="72C7E7"/>
    </a:accent4>
    <a:accent5>
      <a:srgbClr val="3C8A2E"/>
    </a:accent5>
    <a:accent6>
      <a:srgbClr val="C9DD03"/>
    </a:accent6>
    <a:hlink>
      <a:srgbClr val="3C8A2E"/>
    </a:hlink>
    <a:folHlink>
      <a:srgbClr val="C9DD03"/>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Deloitte">
    <a:dk1>
      <a:sysClr val="windowText" lastClr="000000"/>
    </a:dk1>
    <a:lt1>
      <a:srgbClr val="FFFFFF"/>
    </a:lt1>
    <a:dk2>
      <a:srgbClr val="002776"/>
    </a:dk2>
    <a:lt2>
      <a:srgbClr val="FFFFFF"/>
    </a:lt2>
    <a:accent1>
      <a:srgbClr val="002776"/>
    </a:accent1>
    <a:accent2>
      <a:srgbClr val="92D400"/>
    </a:accent2>
    <a:accent3>
      <a:srgbClr val="00A1DE"/>
    </a:accent3>
    <a:accent4>
      <a:srgbClr val="72C7E7"/>
    </a:accent4>
    <a:accent5>
      <a:srgbClr val="3C8A2E"/>
    </a:accent5>
    <a:accent6>
      <a:srgbClr val="C9DD03"/>
    </a:accent6>
    <a:hlink>
      <a:srgbClr val="3C8A2E"/>
    </a:hlink>
    <a:folHlink>
      <a:srgbClr val="C9DD03"/>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Deloitte">
    <a:dk1>
      <a:sysClr val="windowText" lastClr="000000"/>
    </a:dk1>
    <a:lt1>
      <a:srgbClr val="FFFFFF"/>
    </a:lt1>
    <a:dk2>
      <a:srgbClr val="002776"/>
    </a:dk2>
    <a:lt2>
      <a:srgbClr val="FFFFFF"/>
    </a:lt2>
    <a:accent1>
      <a:srgbClr val="002776"/>
    </a:accent1>
    <a:accent2>
      <a:srgbClr val="92D400"/>
    </a:accent2>
    <a:accent3>
      <a:srgbClr val="00A1DE"/>
    </a:accent3>
    <a:accent4>
      <a:srgbClr val="72C7E7"/>
    </a:accent4>
    <a:accent5>
      <a:srgbClr val="3C8A2E"/>
    </a:accent5>
    <a:accent6>
      <a:srgbClr val="C9DD03"/>
    </a:accent6>
    <a:hlink>
      <a:srgbClr val="3C8A2E"/>
    </a:hlink>
    <a:folHlink>
      <a:srgbClr val="C9DD03"/>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Deloitte">
    <a:dk1>
      <a:sysClr val="windowText" lastClr="000000"/>
    </a:dk1>
    <a:lt1>
      <a:srgbClr val="FFFFFF"/>
    </a:lt1>
    <a:dk2>
      <a:srgbClr val="002776"/>
    </a:dk2>
    <a:lt2>
      <a:srgbClr val="FFFFFF"/>
    </a:lt2>
    <a:accent1>
      <a:srgbClr val="002776"/>
    </a:accent1>
    <a:accent2>
      <a:srgbClr val="92D400"/>
    </a:accent2>
    <a:accent3>
      <a:srgbClr val="00A1DE"/>
    </a:accent3>
    <a:accent4>
      <a:srgbClr val="72C7E7"/>
    </a:accent4>
    <a:accent5>
      <a:srgbClr val="3C8A2E"/>
    </a:accent5>
    <a:accent6>
      <a:srgbClr val="C9DD03"/>
    </a:accent6>
    <a:hlink>
      <a:srgbClr val="3C8A2E"/>
    </a:hlink>
    <a:folHlink>
      <a:srgbClr val="C9DD03"/>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Deloitte">
    <a:dk1>
      <a:sysClr val="windowText" lastClr="000000"/>
    </a:dk1>
    <a:lt1>
      <a:srgbClr val="FFFFFF"/>
    </a:lt1>
    <a:dk2>
      <a:srgbClr val="002776"/>
    </a:dk2>
    <a:lt2>
      <a:srgbClr val="FFFFFF"/>
    </a:lt2>
    <a:accent1>
      <a:srgbClr val="002776"/>
    </a:accent1>
    <a:accent2>
      <a:srgbClr val="92D400"/>
    </a:accent2>
    <a:accent3>
      <a:srgbClr val="00A1DE"/>
    </a:accent3>
    <a:accent4>
      <a:srgbClr val="72C7E7"/>
    </a:accent4>
    <a:accent5>
      <a:srgbClr val="3C8A2E"/>
    </a:accent5>
    <a:accent6>
      <a:srgbClr val="C9DD03"/>
    </a:accent6>
    <a:hlink>
      <a:srgbClr val="3C8A2E"/>
    </a:hlink>
    <a:folHlink>
      <a:srgbClr val="C9DD03"/>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A4894C-839B-4BDB-8F75-CFA41FDC77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4517</TotalTime>
  <Pages>109</Pages>
  <Words>20979</Words>
  <Characters>125713</Characters>
  <Application>Microsoft Office Word</Application>
  <DocSecurity>8</DocSecurity>
  <Lines>3132</Lines>
  <Paragraphs>1234</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145794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Šípoš</dc:creator>
  <cp:lastModifiedBy>Marek Šípoš</cp:lastModifiedBy>
  <cp:revision>274</cp:revision>
  <cp:lastPrinted>2010-12-10T16:51:00Z</cp:lastPrinted>
  <dcterms:created xsi:type="dcterms:W3CDTF">2010-10-24T18:16:00Z</dcterms:created>
  <dcterms:modified xsi:type="dcterms:W3CDTF">2011-01-03T07:33:00Z</dcterms:modified>
</cp:coreProperties>
</file>